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BE" w:rsidRPr="00E066BE" w:rsidRDefault="00E066BE" w:rsidP="00E066BE">
      <w:pPr>
        <w:spacing w:after="120" w:line="360" w:lineRule="auto"/>
        <w:rPr>
          <w:rFonts w:ascii="Arial" w:eastAsia="Times New Roman" w:hAnsi="Arial" w:cs="Arial"/>
        </w:rPr>
      </w:pPr>
    </w:p>
    <w:p w:rsidR="00E066BE" w:rsidRPr="00E066BE" w:rsidRDefault="00E066BE" w:rsidP="00E066BE">
      <w:pPr>
        <w:spacing w:after="120" w:line="360" w:lineRule="auto"/>
        <w:rPr>
          <w:rFonts w:ascii="Arial" w:eastAsia="Times New Roman" w:hAnsi="Arial" w:cs="Arial"/>
        </w:rPr>
      </w:pPr>
      <w:r w:rsidRPr="00E066BE">
        <w:rPr>
          <w:rFonts w:ascii="Arial" w:eastAsia="Times New Roman" w:hAnsi="Arial" w:cs="Arial"/>
          <w:noProof/>
          <w:lang w:eastAsia="en-NZ"/>
        </w:rPr>
        <w:drawing>
          <wp:anchor distT="0" distB="0" distL="114300" distR="114300" simplePos="0" relativeHeight="251659264" behindDoc="0" locked="0" layoutInCell="1" allowOverlap="1" wp14:anchorId="35A2CE0F" wp14:editId="41C7DFC7">
            <wp:simplePos x="0" y="0"/>
            <wp:positionH relativeFrom="column">
              <wp:posOffset>0</wp:posOffset>
            </wp:positionH>
            <wp:positionV relativeFrom="paragraph">
              <wp:posOffset>334645</wp:posOffset>
            </wp:positionV>
            <wp:extent cx="196850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Clogo07_RG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6850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066BE" w:rsidRPr="00E066BE" w:rsidRDefault="00E066BE" w:rsidP="00E066BE">
      <w:pPr>
        <w:spacing w:after="120" w:line="360" w:lineRule="auto"/>
        <w:rPr>
          <w:rFonts w:ascii="Arial" w:eastAsia="Times New Roman" w:hAnsi="Arial" w:cs="Arial"/>
        </w:rPr>
      </w:pPr>
    </w:p>
    <w:p w:rsidR="00E066BE" w:rsidRPr="00E066BE" w:rsidRDefault="00E066BE" w:rsidP="00E066BE">
      <w:pPr>
        <w:spacing w:after="120" w:line="360" w:lineRule="auto"/>
        <w:rPr>
          <w:rFonts w:ascii="Arial" w:eastAsia="Times New Roman" w:hAnsi="Arial" w:cs="Arial"/>
          <w:b/>
          <w:sz w:val="52"/>
          <w:szCs w:val="52"/>
        </w:rPr>
      </w:pPr>
    </w:p>
    <w:p w:rsidR="00E066BE" w:rsidRPr="00E066BE" w:rsidRDefault="00E066BE" w:rsidP="00E066BE">
      <w:pPr>
        <w:spacing w:after="120" w:line="360" w:lineRule="auto"/>
        <w:rPr>
          <w:rFonts w:ascii="Arial" w:eastAsia="Times New Roman" w:hAnsi="Arial" w:cs="Arial"/>
          <w:b/>
          <w:sz w:val="52"/>
          <w:szCs w:val="52"/>
        </w:rPr>
      </w:pPr>
    </w:p>
    <w:p w:rsidR="00E066BE" w:rsidRPr="00E066BE" w:rsidRDefault="00E066BE" w:rsidP="00E066BE">
      <w:pPr>
        <w:spacing w:after="120" w:line="360" w:lineRule="auto"/>
        <w:rPr>
          <w:rFonts w:ascii="Arial" w:eastAsia="Times New Roman" w:hAnsi="Arial" w:cs="Arial"/>
          <w:b/>
          <w:sz w:val="52"/>
          <w:szCs w:val="52"/>
        </w:rPr>
      </w:pPr>
    </w:p>
    <w:p w:rsidR="00E066BE" w:rsidRPr="00E066BE" w:rsidRDefault="00E066BE" w:rsidP="00E066BE">
      <w:pPr>
        <w:spacing w:after="120" w:line="360" w:lineRule="auto"/>
        <w:rPr>
          <w:rFonts w:ascii="Arial" w:eastAsia="Times New Roman" w:hAnsi="Arial" w:cs="Arial"/>
          <w:b/>
          <w:sz w:val="52"/>
          <w:szCs w:val="52"/>
        </w:rPr>
      </w:pPr>
      <w:r w:rsidRPr="00E066BE">
        <w:rPr>
          <w:rFonts w:ascii="Arial" w:eastAsia="Times New Roman" w:hAnsi="Arial" w:cs="Arial"/>
          <w:b/>
          <w:sz w:val="52"/>
          <w:szCs w:val="52"/>
        </w:rPr>
        <w:t>Submission to the Social Services Committee on the Social Security Legislation Rewrite Bill</w:t>
      </w:r>
    </w:p>
    <w:p w:rsidR="00E066BE" w:rsidRPr="00E066BE" w:rsidRDefault="00E066BE" w:rsidP="00E066BE">
      <w:pPr>
        <w:spacing w:after="120" w:line="360" w:lineRule="auto"/>
        <w:rPr>
          <w:rFonts w:ascii="Arial" w:eastAsia="Times New Roman" w:hAnsi="Arial" w:cs="Arial"/>
          <w:b/>
          <w:sz w:val="52"/>
          <w:szCs w:val="52"/>
        </w:rPr>
      </w:pPr>
    </w:p>
    <w:p w:rsidR="00E066BE" w:rsidRPr="00E066BE" w:rsidRDefault="00E066BE" w:rsidP="00E066BE">
      <w:pPr>
        <w:spacing w:after="120" w:line="360" w:lineRule="auto"/>
        <w:rPr>
          <w:rFonts w:ascii="Arial" w:eastAsia="Times New Roman" w:hAnsi="Arial" w:cs="Arial"/>
          <w:b/>
          <w:color w:val="FF0000"/>
          <w:sz w:val="32"/>
          <w:szCs w:val="32"/>
        </w:rPr>
      </w:pPr>
      <w:r w:rsidRPr="00E066BE">
        <w:rPr>
          <w:rFonts w:ascii="Arial" w:eastAsia="Times New Roman" w:hAnsi="Arial" w:cs="Arial"/>
          <w:b/>
          <w:color w:val="FF0000"/>
          <w:sz w:val="32"/>
          <w:szCs w:val="32"/>
        </w:rPr>
        <w:t xml:space="preserve">22 June 2016  </w:t>
      </w:r>
    </w:p>
    <w:p w:rsidR="00E066BE" w:rsidRPr="00E066BE" w:rsidRDefault="00E066BE" w:rsidP="00E066BE">
      <w:pPr>
        <w:spacing w:after="120" w:line="360" w:lineRule="auto"/>
        <w:rPr>
          <w:rFonts w:ascii="Arial" w:eastAsia="Times New Roman" w:hAnsi="Arial" w:cs="Arial"/>
        </w:rPr>
      </w:pPr>
    </w:p>
    <w:p w:rsidR="00E066BE" w:rsidRPr="00E066BE" w:rsidRDefault="00E066BE" w:rsidP="00E066BE">
      <w:pPr>
        <w:spacing w:after="120" w:line="360" w:lineRule="auto"/>
        <w:rPr>
          <w:rFonts w:ascii="Arial" w:eastAsia="Times New Roman" w:hAnsi="Arial" w:cs="Arial"/>
          <w:b/>
        </w:rPr>
      </w:pPr>
    </w:p>
    <w:p w:rsidR="00E066BE" w:rsidRPr="00E066BE" w:rsidRDefault="00E066BE" w:rsidP="00E066BE">
      <w:pPr>
        <w:spacing w:after="120" w:line="360" w:lineRule="auto"/>
        <w:rPr>
          <w:rFonts w:ascii="Arial" w:eastAsia="Times New Roman" w:hAnsi="Arial" w:cs="Arial"/>
          <w:b/>
        </w:rPr>
      </w:pPr>
    </w:p>
    <w:p w:rsidR="00E066BE" w:rsidRPr="00E066BE" w:rsidRDefault="00E066BE" w:rsidP="00E066BE">
      <w:pPr>
        <w:spacing w:after="120" w:line="360" w:lineRule="auto"/>
        <w:rPr>
          <w:rFonts w:ascii="Arial" w:eastAsia="Times New Roman" w:hAnsi="Arial" w:cs="Arial"/>
          <w:b/>
        </w:rPr>
      </w:pPr>
    </w:p>
    <w:p w:rsidR="00E066BE" w:rsidRPr="00E066BE" w:rsidRDefault="00E066BE" w:rsidP="00E066BE">
      <w:pPr>
        <w:spacing w:after="120" w:line="360" w:lineRule="auto"/>
        <w:rPr>
          <w:rFonts w:ascii="Arial" w:eastAsia="Times New Roman" w:hAnsi="Arial" w:cs="Arial"/>
          <w:b/>
        </w:rPr>
      </w:pPr>
      <w:r w:rsidRPr="00E066BE">
        <w:rPr>
          <w:rFonts w:ascii="Arial" w:eastAsia="Times New Roman" w:hAnsi="Arial" w:cs="Arial"/>
          <w:b/>
        </w:rPr>
        <w:t xml:space="preserve">Contact Person: </w:t>
      </w:r>
    </w:p>
    <w:p w:rsidR="00E066BE" w:rsidRPr="00E066BE" w:rsidRDefault="00E066BE" w:rsidP="00E066BE">
      <w:pPr>
        <w:spacing w:after="120" w:line="360" w:lineRule="auto"/>
        <w:rPr>
          <w:rFonts w:ascii="Arial" w:eastAsia="Times New Roman" w:hAnsi="Arial" w:cs="Arial"/>
        </w:rPr>
      </w:pPr>
      <w:r>
        <w:rPr>
          <w:rFonts w:ascii="Arial" w:eastAsia="Times New Roman" w:hAnsi="Arial" w:cs="Arial"/>
        </w:rPr>
        <w:t>John Hancock</w:t>
      </w:r>
    </w:p>
    <w:p w:rsidR="00E066BE" w:rsidRPr="00E066BE" w:rsidRDefault="00E066BE" w:rsidP="00E066BE">
      <w:pPr>
        <w:spacing w:after="120" w:line="360" w:lineRule="auto"/>
        <w:rPr>
          <w:rFonts w:ascii="Arial" w:eastAsia="Times New Roman" w:hAnsi="Arial" w:cs="Arial"/>
        </w:rPr>
      </w:pPr>
      <w:r>
        <w:rPr>
          <w:rFonts w:ascii="Arial" w:eastAsia="Times New Roman" w:hAnsi="Arial" w:cs="Arial"/>
        </w:rPr>
        <w:t xml:space="preserve">Senior </w:t>
      </w:r>
      <w:r w:rsidRPr="00E066BE">
        <w:rPr>
          <w:rFonts w:ascii="Arial" w:eastAsia="Times New Roman" w:hAnsi="Arial" w:cs="Arial"/>
        </w:rPr>
        <w:t xml:space="preserve">Legal Adviser </w:t>
      </w:r>
    </w:p>
    <w:p w:rsidR="00E066BE" w:rsidRDefault="006A3B52" w:rsidP="00E066BE">
      <w:pPr>
        <w:spacing w:after="120" w:line="480" w:lineRule="auto"/>
        <w:rPr>
          <w:rFonts w:ascii="Arial" w:eastAsia="Times New Roman" w:hAnsi="Arial" w:cs="Arial"/>
        </w:rPr>
      </w:pPr>
      <w:hyperlink r:id="rId9" w:history="1">
        <w:r w:rsidR="00E066BE" w:rsidRPr="00874BFD">
          <w:rPr>
            <w:rStyle w:val="Hyperlink"/>
            <w:rFonts w:ascii="Arial" w:eastAsia="Times New Roman" w:hAnsi="Arial" w:cs="Arial"/>
          </w:rPr>
          <w:t>JohnH@hrc.co.nz</w:t>
        </w:r>
      </w:hyperlink>
    </w:p>
    <w:p w:rsidR="00E066BE" w:rsidRPr="00E066BE" w:rsidRDefault="00E066BE" w:rsidP="00E066BE">
      <w:pPr>
        <w:spacing w:after="120" w:line="480" w:lineRule="auto"/>
        <w:rPr>
          <w:rFonts w:ascii="Arial" w:eastAsia="Times New Roman" w:hAnsi="Arial" w:cs="Arial"/>
        </w:rPr>
      </w:pPr>
    </w:p>
    <w:p w:rsidR="00E066BE" w:rsidRDefault="00E066BE" w:rsidP="00DE29E2">
      <w:pPr>
        <w:pStyle w:val="NoSpacing"/>
        <w:spacing w:line="276" w:lineRule="auto"/>
        <w:ind w:right="-46"/>
        <w:jc w:val="both"/>
        <w:rPr>
          <w:rFonts w:ascii="Arial" w:hAnsi="Arial" w:cs="Arial"/>
          <w:b/>
        </w:rPr>
      </w:pPr>
    </w:p>
    <w:p w:rsidR="00E066BE" w:rsidRDefault="00DE29E2" w:rsidP="00E066BE">
      <w:pPr>
        <w:rPr>
          <w:rFonts w:ascii="Arial" w:hAnsi="Arial" w:cs="Arial"/>
          <w:b/>
        </w:rPr>
      </w:pPr>
      <w:r w:rsidRPr="002E362D">
        <w:rPr>
          <w:rFonts w:ascii="Arial" w:hAnsi="Arial" w:cs="Arial"/>
          <w:b/>
        </w:rPr>
        <w:t>Submission</w:t>
      </w:r>
      <w:r w:rsidR="00E066BE">
        <w:rPr>
          <w:rFonts w:ascii="Arial" w:hAnsi="Arial" w:cs="Arial"/>
          <w:b/>
        </w:rPr>
        <w:t xml:space="preserve"> of </w:t>
      </w:r>
      <w:r w:rsidR="00FB0711">
        <w:rPr>
          <w:rFonts w:ascii="Arial" w:hAnsi="Arial" w:cs="Arial"/>
          <w:b/>
        </w:rPr>
        <w:t xml:space="preserve">the </w:t>
      </w:r>
      <w:r w:rsidR="00E066BE">
        <w:rPr>
          <w:rFonts w:ascii="Arial" w:hAnsi="Arial" w:cs="Arial"/>
          <w:b/>
        </w:rPr>
        <w:t>Human Rights Commission</w:t>
      </w:r>
      <w:r w:rsidRPr="002E362D">
        <w:rPr>
          <w:rFonts w:ascii="Arial" w:hAnsi="Arial" w:cs="Arial"/>
          <w:b/>
        </w:rPr>
        <w:t xml:space="preserve"> on</w:t>
      </w:r>
      <w:r w:rsidR="0010204D">
        <w:rPr>
          <w:rFonts w:ascii="Arial" w:hAnsi="Arial" w:cs="Arial"/>
          <w:b/>
        </w:rPr>
        <w:t xml:space="preserve"> </w:t>
      </w:r>
      <w:r w:rsidR="00A748AE">
        <w:rPr>
          <w:rFonts w:ascii="Arial" w:hAnsi="Arial" w:cs="Arial"/>
          <w:b/>
        </w:rPr>
        <w:t>Social S</w:t>
      </w:r>
      <w:r w:rsidR="00E066BE">
        <w:rPr>
          <w:rFonts w:ascii="Arial" w:hAnsi="Arial" w:cs="Arial"/>
          <w:b/>
        </w:rPr>
        <w:t>ecurity Legislation Rewrite Bill</w:t>
      </w:r>
    </w:p>
    <w:p w:rsidR="00DE29E2" w:rsidRPr="002E362D" w:rsidRDefault="00973DD0" w:rsidP="00E066BE">
      <w:pPr>
        <w:rPr>
          <w:rFonts w:ascii="Arial" w:hAnsi="Arial" w:cs="Arial"/>
          <w:b/>
        </w:rPr>
      </w:pPr>
      <w:r>
        <w:rPr>
          <w:rFonts w:ascii="Arial" w:hAnsi="Arial" w:cs="Arial"/>
          <w:b/>
        </w:rPr>
        <w:t xml:space="preserve">To: </w:t>
      </w:r>
      <w:r w:rsidR="00DE29E2">
        <w:rPr>
          <w:rFonts w:ascii="Arial" w:hAnsi="Arial" w:cs="Arial"/>
          <w:b/>
        </w:rPr>
        <w:t xml:space="preserve">Social Services </w:t>
      </w:r>
      <w:r w:rsidR="00DE29E2" w:rsidRPr="002E362D">
        <w:rPr>
          <w:rFonts w:ascii="Arial" w:hAnsi="Arial" w:cs="Arial"/>
          <w:b/>
        </w:rPr>
        <w:t>Committee</w:t>
      </w:r>
    </w:p>
    <w:p w:rsidR="00DE29E2" w:rsidRPr="002E362D" w:rsidRDefault="00DE29E2" w:rsidP="00DE29E2">
      <w:pPr>
        <w:pStyle w:val="NoSpacing"/>
        <w:spacing w:line="276" w:lineRule="auto"/>
        <w:jc w:val="both"/>
        <w:rPr>
          <w:rFonts w:ascii="Arial" w:hAnsi="Arial" w:cs="Arial"/>
          <w:b/>
        </w:rPr>
      </w:pPr>
    </w:p>
    <w:p w:rsidR="00DE29E2" w:rsidRPr="002E362D" w:rsidRDefault="00A748AE" w:rsidP="00DE29E2">
      <w:pPr>
        <w:pStyle w:val="NoSpacing"/>
        <w:spacing w:line="276" w:lineRule="auto"/>
        <w:jc w:val="both"/>
        <w:rPr>
          <w:rFonts w:ascii="Arial" w:hAnsi="Arial" w:cs="Arial"/>
          <w:b/>
        </w:rPr>
      </w:pPr>
      <w:r>
        <w:rPr>
          <w:rFonts w:ascii="Arial" w:hAnsi="Arial" w:cs="Arial"/>
          <w:b/>
        </w:rPr>
        <w:t>22 June 2016</w:t>
      </w:r>
    </w:p>
    <w:p w:rsidR="00DE29E2" w:rsidRDefault="00DE29E2" w:rsidP="00DE29E2">
      <w:pPr>
        <w:pStyle w:val="NoSpacing"/>
        <w:jc w:val="both"/>
      </w:pPr>
    </w:p>
    <w:p w:rsidR="00DE29E2" w:rsidRDefault="00DE29E2" w:rsidP="00DE29E2">
      <w:pPr>
        <w:pStyle w:val="NoSpacing"/>
        <w:jc w:val="both"/>
      </w:pPr>
    </w:p>
    <w:p w:rsidR="00DE29E2" w:rsidRDefault="00DE29E2" w:rsidP="00DE29E2">
      <w:pPr>
        <w:pStyle w:val="NoSpacing"/>
        <w:jc w:val="both"/>
        <w:rPr>
          <w:rFonts w:ascii="Arial" w:hAnsi="Arial" w:cs="Arial"/>
          <w:b/>
        </w:rPr>
      </w:pPr>
      <w:r w:rsidRPr="00DE29E2">
        <w:rPr>
          <w:rFonts w:ascii="Arial" w:hAnsi="Arial" w:cs="Arial"/>
          <w:b/>
        </w:rPr>
        <w:t>Introduction</w:t>
      </w:r>
    </w:p>
    <w:p w:rsidR="00DE29E2" w:rsidRDefault="00DE29E2" w:rsidP="00DE29E2">
      <w:pPr>
        <w:pStyle w:val="NoSpacing"/>
        <w:jc w:val="both"/>
        <w:rPr>
          <w:rFonts w:ascii="Arial" w:hAnsi="Arial" w:cs="Arial"/>
          <w:b/>
        </w:rPr>
      </w:pPr>
    </w:p>
    <w:p w:rsidR="00DE29E2" w:rsidRDefault="00DE29E2" w:rsidP="00DE29E2">
      <w:pPr>
        <w:pStyle w:val="NoSpacing"/>
        <w:numPr>
          <w:ilvl w:val="0"/>
          <w:numId w:val="16"/>
        </w:numPr>
        <w:spacing w:line="360" w:lineRule="auto"/>
        <w:jc w:val="both"/>
        <w:rPr>
          <w:rFonts w:ascii="Arial" w:hAnsi="Arial" w:cs="Arial"/>
        </w:rPr>
      </w:pPr>
      <w:r w:rsidRPr="00DD4C8E">
        <w:rPr>
          <w:rFonts w:ascii="Arial" w:hAnsi="Arial" w:cs="Arial"/>
        </w:rPr>
        <w:t>The Human Rights Commission</w:t>
      </w:r>
      <w:r w:rsidR="003C5228">
        <w:rPr>
          <w:rFonts w:ascii="Arial" w:hAnsi="Arial" w:cs="Arial"/>
        </w:rPr>
        <w:t xml:space="preserve"> (‘the Commission’)</w:t>
      </w:r>
      <w:r w:rsidRPr="00DD4C8E">
        <w:rPr>
          <w:rFonts w:ascii="Arial" w:hAnsi="Arial" w:cs="Arial"/>
        </w:rPr>
        <w:t xml:space="preserve"> welcomes the opportunity to provide this submission to the </w:t>
      </w:r>
      <w:r>
        <w:rPr>
          <w:rFonts w:ascii="Arial" w:hAnsi="Arial" w:cs="Arial"/>
        </w:rPr>
        <w:t xml:space="preserve">Social Services </w:t>
      </w:r>
      <w:r w:rsidRPr="00DD4C8E">
        <w:rPr>
          <w:rFonts w:ascii="Arial" w:hAnsi="Arial" w:cs="Arial"/>
        </w:rPr>
        <w:t xml:space="preserve">Committee on the </w:t>
      </w:r>
      <w:r w:rsidR="00A42CCE">
        <w:rPr>
          <w:rFonts w:ascii="Arial" w:hAnsi="Arial" w:cs="Arial"/>
        </w:rPr>
        <w:t>Social Security Legislation Rewrite Bill (‘the Bill’).</w:t>
      </w:r>
    </w:p>
    <w:p w:rsidR="00DE29E2" w:rsidRDefault="00DE29E2" w:rsidP="00DE29E2">
      <w:pPr>
        <w:pStyle w:val="NoSpacing"/>
        <w:spacing w:line="360" w:lineRule="auto"/>
        <w:ind w:left="720"/>
        <w:jc w:val="both"/>
        <w:rPr>
          <w:rFonts w:ascii="Arial" w:hAnsi="Arial" w:cs="Arial"/>
        </w:rPr>
      </w:pPr>
    </w:p>
    <w:p w:rsidR="00960104" w:rsidRPr="006918D6" w:rsidRDefault="00A42CCE" w:rsidP="006918D6">
      <w:pPr>
        <w:pStyle w:val="NoSpacing"/>
        <w:numPr>
          <w:ilvl w:val="0"/>
          <w:numId w:val="16"/>
        </w:numPr>
        <w:spacing w:line="360" w:lineRule="auto"/>
        <w:jc w:val="both"/>
        <w:rPr>
          <w:rFonts w:ascii="Arial" w:hAnsi="Arial" w:cs="Arial"/>
        </w:rPr>
      </w:pPr>
      <w:r>
        <w:rPr>
          <w:rFonts w:ascii="Arial" w:hAnsi="Arial" w:cs="Arial"/>
        </w:rPr>
        <w:t xml:space="preserve">As its title indicates, the Bill </w:t>
      </w:r>
      <w:r w:rsidR="00363993">
        <w:rPr>
          <w:rFonts w:ascii="Arial" w:hAnsi="Arial" w:cs="Arial"/>
        </w:rPr>
        <w:t xml:space="preserve">rewrites the </w:t>
      </w:r>
      <w:r>
        <w:rPr>
          <w:rFonts w:ascii="Arial" w:hAnsi="Arial" w:cs="Arial"/>
        </w:rPr>
        <w:t>incumbent Social Security Act 1964 (‘the Act’)</w:t>
      </w:r>
      <w:r w:rsidR="00363993">
        <w:rPr>
          <w:rFonts w:ascii="Arial" w:hAnsi="Arial" w:cs="Arial"/>
        </w:rPr>
        <w:t xml:space="preserve"> in order to make it more accessible and cohesive.</w:t>
      </w:r>
      <w:r w:rsidR="00B62C8F">
        <w:rPr>
          <w:rFonts w:ascii="Arial" w:hAnsi="Arial" w:cs="Arial"/>
        </w:rPr>
        <w:t xml:space="preserve"> </w:t>
      </w:r>
      <w:r w:rsidR="00B62C8F" w:rsidRPr="006918D6">
        <w:rPr>
          <w:rFonts w:ascii="Arial" w:hAnsi="Arial" w:cs="Arial"/>
        </w:rPr>
        <w:t>The Commission notes that the Bill</w:t>
      </w:r>
      <w:r w:rsidR="00363993" w:rsidRPr="006918D6">
        <w:rPr>
          <w:rFonts w:ascii="Arial" w:hAnsi="Arial" w:cs="Arial"/>
        </w:rPr>
        <w:t xml:space="preserve"> is intended to be largely neutral in terms of its impact on current policy. Nevertheless, the Bill introduces some policy reform, including:</w:t>
      </w:r>
    </w:p>
    <w:p w:rsidR="00960104" w:rsidRPr="00DE29E2" w:rsidRDefault="00960104" w:rsidP="00DE29E2">
      <w:pPr>
        <w:pStyle w:val="NoSpacing"/>
        <w:spacing w:line="360" w:lineRule="auto"/>
        <w:ind w:left="720"/>
        <w:jc w:val="both"/>
        <w:rPr>
          <w:rFonts w:ascii="Arial" w:hAnsi="Arial" w:cs="Arial"/>
        </w:rPr>
      </w:pPr>
    </w:p>
    <w:p w:rsidR="00960104" w:rsidRDefault="00363993" w:rsidP="00DE29E2">
      <w:pPr>
        <w:pStyle w:val="NoSpacing"/>
        <w:numPr>
          <w:ilvl w:val="0"/>
          <w:numId w:val="5"/>
        </w:numPr>
        <w:spacing w:line="360" w:lineRule="auto"/>
        <w:jc w:val="both"/>
        <w:rPr>
          <w:rFonts w:ascii="Arial" w:hAnsi="Arial" w:cs="Arial"/>
        </w:rPr>
      </w:pPr>
      <w:r>
        <w:rPr>
          <w:rFonts w:ascii="Arial" w:hAnsi="Arial" w:cs="Arial"/>
        </w:rPr>
        <w:t xml:space="preserve">Amending the principles of </w:t>
      </w:r>
      <w:r w:rsidR="004B2C7A">
        <w:rPr>
          <w:rFonts w:ascii="Arial" w:hAnsi="Arial" w:cs="Arial"/>
        </w:rPr>
        <w:t>the Act to introduce a principle concerning support for investing in better long-term outcomes, thus providing legislative expression to the Government’s “investment approach” policy.</w:t>
      </w:r>
    </w:p>
    <w:p w:rsidR="004B2C7A" w:rsidRPr="00DE29E2" w:rsidRDefault="004B2C7A" w:rsidP="00DE29E2">
      <w:pPr>
        <w:pStyle w:val="NoSpacing"/>
        <w:numPr>
          <w:ilvl w:val="0"/>
          <w:numId w:val="5"/>
        </w:numPr>
        <w:spacing w:line="360" w:lineRule="auto"/>
        <w:jc w:val="both"/>
        <w:rPr>
          <w:rFonts w:ascii="Arial" w:hAnsi="Arial" w:cs="Arial"/>
        </w:rPr>
      </w:pPr>
      <w:r>
        <w:rPr>
          <w:rFonts w:ascii="Arial" w:hAnsi="Arial" w:cs="Arial"/>
        </w:rPr>
        <w:t>Amending and renaming the orphans benefit, the unsupported child’s benefit and the emergency benefit.</w:t>
      </w:r>
    </w:p>
    <w:p w:rsidR="00A859DD" w:rsidRDefault="004B2C7A" w:rsidP="0091403A">
      <w:pPr>
        <w:pStyle w:val="NoSpacing"/>
        <w:numPr>
          <w:ilvl w:val="0"/>
          <w:numId w:val="5"/>
        </w:numPr>
        <w:spacing w:line="360" w:lineRule="auto"/>
        <w:jc w:val="both"/>
        <w:rPr>
          <w:rFonts w:ascii="Arial" w:hAnsi="Arial" w:cs="Arial"/>
        </w:rPr>
      </w:pPr>
      <w:r>
        <w:rPr>
          <w:rFonts w:ascii="Arial" w:hAnsi="Arial" w:cs="Arial"/>
        </w:rPr>
        <w:t>Introducing a new power to</w:t>
      </w:r>
      <w:r w:rsidR="0014669D">
        <w:rPr>
          <w:rFonts w:ascii="Arial" w:hAnsi="Arial" w:cs="Arial"/>
        </w:rPr>
        <w:t xml:space="preserve"> make regulations to specify</w:t>
      </w:r>
      <w:r>
        <w:rPr>
          <w:rFonts w:ascii="Arial" w:hAnsi="Arial" w:cs="Arial"/>
        </w:rPr>
        <w:t xml:space="preserve"> groups of beneficiaries whose benefit instalments can be redirected without consent.</w:t>
      </w:r>
    </w:p>
    <w:p w:rsidR="009D55E1" w:rsidRDefault="009D55E1" w:rsidP="009D55E1">
      <w:pPr>
        <w:pStyle w:val="NoSpacing"/>
        <w:spacing w:line="360" w:lineRule="auto"/>
        <w:jc w:val="both"/>
        <w:rPr>
          <w:rFonts w:ascii="Arial" w:hAnsi="Arial" w:cs="Arial"/>
        </w:rPr>
      </w:pPr>
    </w:p>
    <w:p w:rsidR="00D3125B" w:rsidRPr="00D3125B" w:rsidRDefault="00D3125B" w:rsidP="00942177">
      <w:pPr>
        <w:pStyle w:val="NoSpacing"/>
        <w:spacing w:line="360" w:lineRule="auto"/>
        <w:jc w:val="both"/>
        <w:rPr>
          <w:rFonts w:ascii="Arial" w:hAnsi="Arial" w:cs="Arial"/>
          <w:b/>
        </w:rPr>
      </w:pPr>
      <w:r w:rsidRPr="00D3125B">
        <w:rPr>
          <w:rFonts w:ascii="Arial" w:hAnsi="Arial" w:cs="Arial"/>
          <w:b/>
        </w:rPr>
        <w:t>Summary of the Commission’s</w:t>
      </w:r>
      <w:r w:rsidR="000A6468">
        <w:rPr>
          <w:rFonts w:ascii="Arial" w:hAnsi="Arial" w:cs="Arial"/>
          <w:b/>
        </w:rPr>
        <w:t xml:space="preserve"> positions and</w:t>
      </w:r>
      <w:r w:rsidRPr="00D3125B">
        <w:rPr>
          <w:rFonts w:ascii="Arial" w:hAnsi="Arial" w:cs="Arial"/>
          <w:b/>
        </w:rPr>
        <w:t xml:space="preserve"> </w:t>
      </w:r>
      <w:r w:rsidR="00B62C8F">
        <w:rPr>
          <w:rFonts w:ascii="Arial" w:hAnsi="Arial" w:cs="Arial"/>
          <w:b/>
        </w:rPr>
        <w:t>recommendations</w:t>
      </w:r>
    </w:p>
    <w:p w:rsidR="008F71CF" w:rsidRDefault="008F71CF" w:rsidP="008F71CF">
      <w:pPr>
        <w:pStyle w:val="NoSpacing"/>
        <w:spacing w:line="360" w:lineRule="auto"/>
        <w:ind w:left="720"/>
        <w:jc w:val="both"/>
        <w:rPr>
          <w:rFonts w:ascii="Arial" w:hAnsi="Arial" w:cs="Arial"/>
        </w:rPr>
      </w:pPr>
    </w:p>
    <w:p w:rsidR="000A6468" w:rsidRPr="000A6468" w:rsidRDefault="006918D6" w:rsidP="000A6468">
      <w:pPr>
        <w:pStyle w:val="NoSpacing"/>
        <w:numPr>
          <w:ilvl w:val="0"/>
          <w:numId w:val="16"/>
        </w:numPr>
        <w:spacing w:line="360" w:lineRule="auto"/>
        <w:jc w:val="both"/>
        <w:rPr>
          <w:rFonts w:ascii="Arial" w:hAnsi="Arial" w:cs="Arial"/>
        </w:rPr>
      </w:pPr>
      <w:r w:rsidRPr="006918D6">
        <w:rPr>
          <w:rFonts w:ascii="Arial" w:hAnsi="Arial" w:cs="Arial"/>
        </w:rPr>
        <w:t>The Commission supports th</w:t>
      </w:r>
      <w:r>
        <w:rPr>
          <w:rFonts w:ascii="Arial" w:hAnsi="Arial" w:cs="Arial"/>
        </w:rPr>
        <w:t>e intention of the Bill</w:t>
      </w:r>
      <w:r w:rsidRPr="006918D6">
        <w:rPr>
          <w:rFonts w:ascii="Arial" w:hAnsi="Arial" w:cs="Arial"/>
        </w:rPr>
        <w:t xml:space="preserve"> and agrees with the Explanatory Note’s description of the current Act as “awkward, disjointed and incoherent” due to its age and frequent amendments</w:t>
      </w:r>
      <w:r>
        <w:rPr>
          <w:rFonts w:ascii="Arial" w:hAnsi="Arial" w:cs="Arial"/>
        </w:rPr>
        <w:t>. Overall, the Commission considers that the Bill is a considerable improvement on the Act in terms of clarity and accessibility.</w:t>
      </w:r>
      <w:r w:rsidR="00FE5C5C">
        <w:rPr>
          <w:rFonts w:ascii="Arial" w:hAnsi="Arial" w:cs="Arial"/>
        </w:rPr>
        <w:t xml:space="preserve"> For this reason, the Commission also supports the Bill’s shifting of the provisions regarding residential care and disability support services and the artificial limb service into separate legislation.</w:t>
      </w:r>
    </w:p>
    <w:p w:rsidR="006918D6" w:rsidRDefault="006918D6" w:rsidP="006918D6">
      <w:pPr>
        <w:pStyle w:val="NoSpacing"/>
        <w:spacing w:line="360" w:lineRule="auto"/>
        <w:ind w:left="720"/>
        <w:jc w:val="both"/>
        <w:rPr>
          <w:rFonts w:ascii="Arial" w:hAnsi="Arial" w:cs="Arial"/>
        </w:rPr>
      </w:pPr>
    </w:p>
    <w:p w:rsidR="000A6468" w:rsidRPr="000A6468" w:rsidRDefault="000A6468" w:rsidP="000A6468">
      <w:pPr>
        <w:pStyle w:val="ListParagraph"/>
        <w:numPr>
          <w:ilvl w:val="0"/>
          <w:numId w:val="16"/>
        </w:numPr>
        <w:spacing w:line="360" w:lineRule="auto"/>
        <w:jc w:val="both"/>
        <w:rPr>
          <w:rFonts w:ascii="Arial" w:hAnsi="Arial" w:cs="Arial"/>
        </w:rPr>
      </w:pPr>
      <w:r w:rsidRPr="000A6468">
        <w:rPr>
          <w:rFonts w:ascii="Arial" w:hAnsi="Arial" w:cs="Arial"/>
        </w:rPr>
        <w:lastRenderedPageBreak/>
        <w:t>The Bill is also being introduced against the backdrop of the significant substantive reforms of New Zealand’s social security system that have occurred following the 2011 report of the Welfare Working Group (‘WWG’). The Commission has provided the Committee with submissions on the human rights implications of many of the Social Security Amendment Bills that have been introduced in the wake of the WWG report</w:t>
      </w:r>
      <w:r w:rsidR="00192EC1">
        <w:rPr>
          <w:rStyle w:val="FootnoteReference"/>
          <w:rFonts w:ascii="Arial" w:hAnsi="Arial" w:cs="Arial"/>
        </w:rPr>
        <w:footnoteReference w:id="1"/>
      </w:r>
      <w:r w:rsidRPr="000A6468">
        <w:rPr>
          <w:rFonts w:ascii="Arial" w:hAnsi="Arial" w:cs="Arial"/>
        </w:rPr>
        <w:t xml:space="preserve">.  </w:t>
      </w:r>
    </w:p>
    <w:p w:rsidR="000A6468" w:rsidRDefault="000A6468" w:rsidP="000A6468">
      <w:pPr>
        <w:pStyle w:val="ListParagraph"/>
        <w:spacing w:line="360" w:lineRule="auto"/>
        <w:jc w:val="both"/>
        <w:rPr>
          <w:rFonts w:ascii="Arial" w:hAnsi="Arial" w:cs="Arial"/>
        </w:rPr>
      </w:pPr>
    </w:p>
    <w:p w:rsidR="001C31A5" w:rsidRDefault="000A6468" w:rsidP="0074590D">
      <w:pPr>
        <w:pStyle w:val="ListParagraph"/>
        <w:numPr>
          <w:ilvl w:val="0"/>
          <w:numId w:val="16"/>
        </w:numPr>
        <w:spacing w:line="360" w:lineRule="auto"/>
        <w:jc w:val="both"/>
        <w:rPr>
          <w:rFonts w:ascii="Arial" w:hAnsi="Arial" w:cs="Arial"/>
        </w:rPr>
      </w:pPr>
      <w:r>
        <w:rPr>
          <w:rFonts w:ascii="Arial" w:hAnsi="Arial" w:cs="Arial"/>
        </w:rPr>
        <w:t>A</w:t>
      </w:r>
      <w:r w:rsidR="006918D6" w:rsidRPr="000A6468">
        <w:rPr>
          <w:rFonts w:ascii="Arial" w:hAnsi="Arial" w:cs="Arial"/>
        </w:rPr>
        <w:t xml:space="preserve">s it currently stands, the Bill does not update the legislative framework to reflect </w:t>
      </w:r>
      <w:r w:rsidR="00FE5C5C" w:rsidRPr="000A6468">
        <w:rPr>
          <w:rFonts w:ascii="Arial" w:hAnsi="Arial" w:cs="Arial"/>
        </w:rPr>
        <w:t>the developments in human rights policy and law that have occurred during the Act’s tenure</w:t>
      </w:r>
      <w:r>
        <w:rPr>
          <w:rFonts w:ascii="Arial" w:hAnsi="Arial" w:cs="Arial"/>
        </w:rPr>
        <w:t>.</w:t>
      </w:r>
      <w:r w:rsidRPr="000A6468">
        <w:rPr>
          <w:rFonts w:ascii="Arial" w:hAnsi="Arial" w:cs="Arial"/>
        </w:rPr>
        <w:t xml:space="preserve"> </w:t>
      </w:r>
      <w:r>
        <w:rPr>
          <w:rFonts w:ascii="Arial" w:hAnsi="Arial" w:cs="Arial"/>
        </w:rPr>
        <w:t xml:space="preserve">The Commission considers that the opportunity to do so should not be missed. </w:t>
      </w:r>
      <w:r w:rsidR="006918D6" w:rsidRPr="006918D6">
        <w:rPr>
          <w:rFonts w:ascii="Arial" w:hAnsi="Arial" w:cs="Arial"/>
        </w:rPr>
        <w:t xml:space="preserve">Social security policy and service provision, in its various forms and machinations, directly impacts upon the human rights of people whose welfare and economic well-being is dependent on a benefit, either directly or indirectly. </w:t>
      </w:r>
    </w:p>
    <w:p w:rsidR="001C31A5" w:rsidRPr="001C31A5" w:rsidRDefault="001C31A5" w:rsidP="001C31A5">
      <w:pPr>
        <w:pStyle w:val="ListParagraph"/>
        <w:rPr>
          <w:rFonts w:ascii="Arial" w:hAnsi="Arial" w:cs="Arial"/>
        </w:rPr>
      </w:pPr>
    </w:p>
    <w:p w:rsidR="006918D6" w:rsidRPr="006918D6" w:rsidRDefault="006918D6" w:rsidP="0074590D">
      <w:pPr>
        <w:pStyle w:val="ListParagraph"/>
        <w:numPr>
          <w:ilvl w:val="0"/>
          <w:numId w:val="16"/>
        </w:numPr>
        <w:spacing w:line="360" w:lineRule="auto"/>
        <w:jc w:val="both"/>
        <w:rPr>
          <w:rFonts w:ascii="Arial" w:hAnsi="Arial" w:cs="Arial"/>
        </w:rPr>
      </w:pPr>
      <w:r w:rsidRPr="006918D6">
        <w:rPr>
          <w:rFonts w:ascii="Arial" w:hAnsi="Arial" w:cs="Arial"/>
        </w:rPr>
        <w:t>Just as the re-write of the Act provides an opportunity to include the investment approach policy within the Act’s principles, it provides a similarly significant opportunity to ensure that the primary legislative framework is applied in a human rights consistent way.</w:t>
      </w:r>
      <w:r w:rsidR="001C31A5">
        <w:rPr>
          <w:rFonts w:ascii="Arial" w:hAnsi="Arial" w:cs="Arial"/>
        </w:rPr>
        <w:t xml:space="preserve"> Furthermore, the alignment of the Act’s legislative purpose and framework with human rights principles enables a greater degree of policy congruence with the Government’s commitment to measure its progress</w:t>
      </w:r>
      <w:r w:rsidR="009801A8">
        <w:rPr>
          <w:rFonts w:ascii="Arial" w:hAnsi="Arial" w:cs="Arial"/>
        </w:rPr>
        <w:t xml:space="preserve"> towards</w:t>
      </w:r>
      <w:r w:rsidR="00736C7D">
        <w:rPr>
          <w:rFonts w:ascii="Arial" w:hAnsi="Arial" w:cs="Arial"/>
        </w:rPr>
        <w:t xml:space="preserve"> meeting the 2030 targets set by the </w:t>
      </w:r>
      <w:r w:rsidR="001C31A5">
        <w:rPr>
          <w:rFonts w:ascii="Arial" w:hAnsi="Arial" w:cs="Arial"/>
        </w:rPr>
        <w:t>UN Sustainable Development Goals</w:t>
      </w:r>
      <w:r w:rsidR="009801A8">
        <w:rPr>
          <w:rFonts w:ascii="Arial" w:hAnsi="Arial" w:cs="Arial"/>
        </w:rPr>
        <w:t>, in particular</w:t>
      </w:r>
      <w:r w:rsidR="007A6B9B">
        <w:rPr>
          <w:rFonts w:ascii="Arial" w:hAnsi="Arial" w:cs="Arial"/>
        </w:rPr>
        <w:t xml:space="preserve"> those regarding the</w:t>
      </w:r>
      <w:r w:rsidR="00736C7D">
        <w:rPr>
          <w:rFonts w:ascii="Arial" w:hAnsi="Arial" w:cs="Arial"/>
        </w:rPr>
        <w:t xml:space="preserve"> reduction of poverty</w:t>
      </w:r>
      <w:r w:rsidR="00736C7D">
        <w:rPr>
          <w:rStyle w:val="FootnoteReference"/>
          <w:rFonts w:ascii="Arial" w:hAnsi="Arial" w:cs="Arial"/>
        </w:rPr>
        <w:footnoteReference w:id="2"/>
      </w:r>
      <w:r w:rsidR="007A6B9B">
        <w:rPr>
          <w:rFonts w:ascii="Arial" w:hAnsi="Arial" w:cs="Arial"/>
        </w:rPr>
        <w:t xml:space="preserve"> and inequality</w:t>
      </w:r>
      <w:r w:rsidR="007A6B9B">
        <w:rPr>
          <w:rStyle w:val="FootnoteReference"/>
          <w:rFonts w:ascii="Arial" w:hAnsi="Arial" w:cs="Arial"/>
        </w:rPr>
        <w:footnoteReference w:id="3"/>
      </w:r>
      <w:r w:rsidR="001C31A5">
        <w:rPr>
          <w:rFonts w:ascii="Arial" w:hAnsi="Arial" w:cs="Arial"/>
        </w:rPr>
        <w:t>.</w:t>
      </w:r>
    </w:p>
    <w:p w:rsidR="006918D6" w:rsidRDefault="00FE5C5C" w:rsidP="00D3125B">
      <w:pPr>
        <w:pStyle w:val="NoSpacing"/>
        <w:numPr>
          <w:ilvl w:val="0"/>
          <w:numId w:val="16"/>
        </w:numPr>
        <w:spacing w:line="360" w:lineRule="auto"/>
        <w:jc w:val="both"/>
        <w:rPr>
          <w:rFonts w:ascii="Arial" w:hAnsi="Arial" w:cs="Arial"/>
        </w:rPr>
      </w:pPr>
      <w:r>
        <w:rPr>
          <w:rFonts w:ascii="Arial" w:hAnsi="Arial" w:cs="Arial"/>
        </w:rPr>
        <w:t>In this submission, t</w:t>
      </w:r>
      <w:r w:rsidR="006918D6">
        <w:rPr>
          <w:rFonts w:ascii="Arial" w:hAnsi="Arial" w:cs="Arial"/>
        </w:rPr>
        <w:t xml:space="preserve">he Commission has </w:t>
      </w:r>
      <w:r>
        <w:rPr>
          <w:rFonts w:ascii="Arial" w:hAnsi="Arial" w:cs="Arial"/>
        </w:rPr>
        <w:t>made a number of recommendations aimed at enhancing the human rights consistency of the Act. A summary of the Commission’s recommendations is set out below:</w:t>
      </w:r>
    </w:p>
    <w:p w:rsidR="002B41CB" w:rsidRPr="006918D6" w:rsidRDefault="002B41CB" w:rsidP="0074590D">
      <w:pPr>
        <w:pStyle w:val="NoSpacing"/>
        <w:spacing w:line="360" w:lineRule="auto"/>
        <w:jc w:val="both"/>
        <w:rPr>
          <w:rFonts w:ascii="Arial" w:hAnsi="Arial" w:cs="Arial"/>
          <w:b/>
        </w:rPr>
      </w:pPr>
    </w:p>
    <w:p w:rsidR="00AD3450" w:rsidRDefault="00FE5C5C" w:rsidP="00AD3450">
      <w:pPr>
        <w:pStyle w:val="NoSpacing"/>
        <w:numPr>
          <w:ilvl w:val="0"/>
          <w:numId w:val="27"/>
        </w:numPr>
        <w:spacing w:line="360" w:lineRule="auto"/>
        <w:jc w:val="both"/>
        <w:rPr>
          <w:rFonts w:ascii="Arial" w:hAnsi="Arial" w:cs="Arial"/>
          <w:b/>
        </w:rPr>
      </w:pPr>
      <w:r>
        <w:rPr>
          <w:rFonts w:ascii="Arial" w:hAnsi="Arial" w:cs="Arial"/>
          <w:b/>
        </w:rPr>
        <w:t xml:space="preserve">The Commission recommends that </w:t>
      </w:r>
      <w:r w:rsidR="006918D6" w:rsidRPr="006918D6">
        <w:rPr>
          <w:rFonts w:ascii="Arial" w:hAnsi="Arial" w:cs="Arial"/>
          <w:b/>
        </w:rPr>
        <w:t xml:space="preserve">Clause 3(a) of the Bill is amended to include a new clause 3(a)(iv) that provides that </w:t>
      </w:r>
      <w:r w:rsidR="0074590D">
        <w:rPr>
          <w:rFonts w:ascii="Arial" w:hAnsi="Arial" w:cs="Arial"/>
          <w:b/>
        </w:rPr>
        <w:t>a</w:t>
      </w:r>
      <w:r w:rsidR="006918D6" w:rsidRPr="006918D6">
        <w:rPr>
          <w:rFonts w:ascii="Arial" w:hAnsi="Arial" w:cs="Arial"/>
          <w:b/>
        </w:rPr>
        <w:t xml:space="preserve"> purpose of the Act is to</w:t>
      </w:r>
      <w:r w:rsidR="00985B54">
        <w:rPr>
          <w:rFonts w:ascii="Arial" w:hAnsi="Arial" w:cs="Arial"/>
          <w:b/>
        </w:rPr>
        <w:t xml:space="preserve"> </w:t>
      </w:r>
      <w:r w:rsidR="00985B54">
        <w:rPr>
          <w:rFonts w:ascii="Arial" w:hAnsi="Arial" w:cs="Arial"/>
          <w:b/>
        </w:rPr>
        <w:lastRenderedPageBreak/>
        <w:t xml:space="preserve">protect and progressively realise the </w:t>
      </w:r>
      <w:r w:rsidR="005E6A8E">
        <w:rPr>
          <w:rFonts w:ascii="Arial" w:hAnsi="Arial" w:cs="Arial"/>
          <w:b/>
        </w:rPr>
        <w:t xml:space="preserve">Government’s </w:t>
      </w:r>
      <w:r w:rsidR="00985B54">
        <w:rPr>
          <w:rFonts w:ascii="Arial" w:hAnsi="Arial" w:cs="Arial"/>
          <w:b/>
        </w:rPr>
        <w:t>human rights</w:t>
      </w:r>
      <w:r w:rsidR="005E6A8E">
        <w:rPr>
          <w:rFonts w:ascii="Arial" w:hAnsi="Arial" w:cs="Arial"/>
          <w:b/>
        </w:rPr>
        <w:t xml:space="preserve"> obligations</w:t>
      </w:r>
      <w:r w:rsidR="005B50B7">
        <w:rPr>
          <w:rFonts w:ascii="Arial" w:hAnsi="Arial" w:cs="Arial"/>
          <w:b/>
        </w:rPr>
        <w:t>, including (but not limited to)</w:t>
      </w:r>
      <w:r w:rsidR="00AD3450">
        <w:rPr>
          <w:rFonts w:ascii="Arial" w:hAnsi="Arial" w:cs="Arial"/>
          <w:b/>
        </w:rPr>
        <w:t>:</w:t>
      </w:r>
    </w:p>
    <w:p w:rsidR="00AD3450" w:rsidRDefault="005B50B7" w:rsidP="00AD3450">
      <w:pPr>
        <w:pStyle w:val="NoSpacing"/>
        <w:numPr>
          <w:ilvl w:val="0"/>
          <w:numId w:val="29"/>
        </w:numPr>
        <w:spacing w:line="360" w:lineRule="auto"/>
        <w:jc w:val="both"/>
        <w:rPr>
          <w:rFonts w:ascii="Arial" w:hAnsi="Arial" w:cs="Arial"/>
          <w:b/>
        </w:rPr>
      </w:pPr>
      <w:r>
        <w:rPr>
          <w:rFonts w:ascii="Arial" w:hAnsi="Arial" w:cs="Arial"/>
          <w:b/>
        </w:rPr>
        <w:t>The reduction</w:t>
      </w:r>
      <w:r w:rsidR="00AD3450">
        <w:rPr>
          <w:rFonts w:ascii="Arial" w:hAnsi="Arial" w:cs="Arial"/>
          <w:b/>
        </w:rPr>
        <w:t xml:space="preserve"> </w:t>
      </w:r>
      <w:r>
        <w:rPr>
          <w:rFonts w:ascii="Arial" w:hAnsi="Arial" w:cs="Arial"/>
          <w:b/>
        </w:rPr>
        <w:t>and alleviation of hardship due to income poverty and material deprivation</w:t>
      </w:r>
      <w:r w:rsidR="00D367E8">
        <w:rPr>
          <w:rFonts w:ascii="Arial" w:hAnsi="Arial" w:cs="Arial"/>
          <w:b/>
        </w:rPr>
        <w:t>.</w:t>
      </w:r>
      <w:r>
        <w:rPr>
          <w:rFonts w:ascii="Arial" w:hAnsi="Arial" w:cs="Arial"/>
          <w:b/>
        </w:rPr>
        <w:t xml:space="preserve"> </w:t>
      </w:r>
    </w:p>
    <w:p w:rsidR="00985B54" w:rsidRPr="00AD3450" w:rsidRDefault="005B50B7" w:rsidP="00AD3450">
      <w:pPr>
        <w:pStyle w:val="NoSpacing"/>
        <w:numPr>
          <w:ilvl w:val="0"/>
          <w:numId w:val="29"/>
        </w:numPr>
        <w:spacing w:line="360" w:lineRule="auto"/>
        <w:jc w:val="both"/>
        <w:rPr>
          <w:rFonts w:ascii="Arial" w:hAnsi="Arial" w:cs="Arial"/>
          <w:b/>
        </w:rPr>
      </w:pPr>
      <w:r>
        <w:rPr>
          <w:rFonts w:ascii="Arial" w:hAnsi="Arial" w:cs="Arial"/>
          <w:b/>
        </w:rPr>
        <w:t>The promotion of</w:t>
      </w:r>
      <w:r w:rsidR="00AD3450" w:rsidRPr="00AD3450">
        <w:rPr>
          <w:rFonts w:ascii="Arial" w:hAnsi="Arial" w:cs="Arial"/>
          <w:b/>
        </w:rPr>
        <w:t xml:space="preserve"> social inclusion</w:t>
      </w:r>
      <w:r w:rsidR="007A6B9B">
        <w:rPr>
          <w:rFonts w:ascii="Arial" w:hAnsi="Arial" w:cs="Arial"/>
          <w:b/>
        </w:rPr>
        <w:t>.</w:t>
      </w:r>
    </w:p>
    <w:p w:rsidR="00985B54" w:rsidRPr="006918D6" w:rsidRDefault="00985B54" w:rsidP="00985B54">
      <w:pPr>
        <w:pStyle w:val="NoSpacing"/>
        <w:spacing w:line="360" w:lineRule="auto"/>
        <w:ind w:left="1080"/>
        <w:jc w:val="both"/>
        <w:rPr>
          <w:rFonts w:ascii="Arial" w:hAnsi="Arial" w:cs="Arial"/>
          <w:b/>
        </w:rPr>
      </w:pPr>
    </w:p>
    <w:p w:rsidR="006918D6" w:rsidRDefault="00FE5C5C" w:rsidP="0074590D">
      <w:pPr>
        <w:pStyle w:val="NoSpacing"/>
        <w:numPr>
          <w:ilvl w:val="0"/>
          <w:numId w:val="27"/>
        </w:numPr>
        <w:spacing w:line="360" w:lineRule="auto"/>
        <w:jc w:val="both"/>
        <w:rPr>
          <w:rFonts w:ascii="Arial" w:hAnsi="Arial" w:cs="Arial"/>
          <w:b/>
        </w:rPr>
      </w:pPr>
      <w:r>
        <w:rPr>
          <w:rFonts w:ascii="Arial" w:hAnsi="Arial" w:cs="Arial"/>
          <w:b/>
        </w:rPr>
        <w:t xml:space="preserve">The Commission recommends that </w:t>
      </w:r>
      <w:r w:rsidR="006918D6" w:rsidRPr="006918D6">
        <w:rPr>
          <w:rFonts w:ascii="Arial" w:hAnsi="Arial" w:cs="Arial"/>
          <w:b/>
        </w:rPr>
        <w:t>Clause 4 of the Bill is amended to include a new clause 4(f) in order to establish a requirement that any person performing or exercising a duty, function, or power under this Act must have regard to the Government’s human rights obligations, including the welfare and best interests of any child or vulnerable adult who may be affected, directly or indirectly, by the exercise of a duty, power or function under the Act.</w:t>
      </w:r>
    </w:p>
    <w:p w:rsidR="00985B54" w:rsidRDefault="00985B54" w:rsidP="00985B54">
      <w:pPr>
        <w:pStyle w:val="NoSpacing"/>
        <w:spacing w:line="360" w:lineRule="auto"/>
        <w:jc w:val="both"/>
        <w:rPr>
          <w:rFonts w:ascii="Arial" w:hAnsi="Arial" w:cs="Arial"/>
          <w:b/>
        </w:rPr>
      </w:pPr>
    </w:p>
    <w:p w:rsidR="00985B54" w:rsidRDefault="006918D6" w:rsidP="00985B54">
      <w:pPr>
        <w:pStyle w:val="ListParagraph"/>
        <w:numPr>
          <w:ilvl w:val="0"/>
          <w:numId w:val="27"/>
        </w:numPr>
        <w:spacing w:line="360" w:lineRule="auto"/>
        <w:jc w:val="both"/>
        <w:rPr>
          <w:rFonts w:ascii="Arial" w:hAnsi="Arial" w:cs="Arial"/>
          <w:b/>
        </w:rPr>
      </w:pPr>
      <w:r w:rsidRPr="006918D6">
        <w:rPr>
          <w:rFonts w:ascii="Arial" w:hAnsi="Arial" w:cs="Arial"/>
          <w:b/>
        </w:rPr>
        <w:t>The Commission recommends that the Social Services Committee reviews whether the qualifying criteria for the S</w:t>
      </w:r>
      <w:r w:rsidR="009801A8">
        <w:rPr>
          <w:rFonts w:ascii="Arial" w:hAnsi="Arial" w:cs="Arial"/>
          <w:b/>
        </w:rPr>
        <w:t xml:space="preserve">upported </w:t>
      </w:r>
      <w:r w:rsidRPr="006918D6">
        <w:rPr>
          <w:rFonts w:ascii="Arial" w:hAnsi="Arial" w:cs="Arial"/>
          <w:b/>
        </w:rPr>
        <w:t>L</w:t>
      </w:r>
      <w:r w:rsidR="009801A8">
        <w:rPr>
          <w:rFonts w:ascii="Arial" w:hAnsi="Arial" w:cs="Arial"/>
          <w:b/>
        </w:rPr>
        <w:t xml:space="preserve">iving </w:t>
      </w:r>
      <w:r w:rsidRPr="006918D6">
        <w:rPr>
          <w:rFonts w:ascii="Arial" w:hAnsi="Arial" w:cs="Arial"/>
          <w:b/>
        </w:rPr>
        <w:t>P</w:t>
      </w:r>
      <w:r w:rsidR="009801A8">
        <w:rPr>
          <w:rFonts w:ascii="Arial" w:hAnsi="Arial" w:cs="Arial"/>
          <w:b/>
        </w:rPr>
        <w:t>ayment</w:t>
      </w:r>
      <w:r w:rsidRPr="006918D6">
        <w:rPr>
          <w:rFonts w:ascii="Arial" w:hAnsi="Arial" w:cs="Arial"/>
          <w:b/>
        </w:rPr>
        <w:t xml:space="preserve"> under clause 34 of the Bill adequately reflects the “reasonable accommodation” requirements of the </w:t>
      </w:r>
      <w:r w:rsidR="009801A8">
        <w:rPr>
          <w:rFonts w:ascii="Arial" w:hAnsi="Arial" w:cs="Arial"/>
          <w:b/>
        </w:rPr>
        <w:t xml:space="preserve">UN </w:t>
      </w:r>
      <w:r w:rsidRPr="006918D6">
        <w:rPr>
          <w:rFonts w:ascii="Arial" w:hAnsi="Arial" w:cs="Arial"/>
          <w:b/>
        </w:rPr>
        <w:t>C</w:t>
      </w:r>
      <w:r w:rsidR="009801A8">
        <w:rPr>
          <w:rFonts w:ascii="Arial" w:hAnsi="Arial" w:cs="Arial"/>
          <w:b/>
        </w:rPr>
        <w:t xml:space="preserve">onvention on the </w:t>
      </w:r>
      <w:r w:rsidRPr="006918D6">
        <w:rPr>
          <w:rFonts w:ascii="Arial" w:hAnsi="Arial" w:cs="Arial"/>
          <w:b/>
        </w:rPr>
        <w:t>R</w:t>
      </w:r>
      <w:r w:rsidR="009801A8">
        <w:rPr>
          <w:rFonts w:ascii="Arial" w:hAnsi="Arial" w:cs="Arial"/>
          <w:b/>
        </w:rPr>
        <w:t xml:space="preserve">ights of </w:t>
      </w:r>
      <w:r w:rsidRPr="006918D6">
        <w:rPr>
          <w:rFonts w:ascii="Arial" w:hAnsi="Arial" w:cs="Arial"/>
          <w:b/>
        </w:rPr>
        <w:t>P</w:t>
      </w:r>
      <w:r w:rsidR="009801A8">
        <w:rPr>
          <w:rFonts w:ascii="Arial" w:hAnsi="Arial" w:cs="Arial"/>
          <w:b/>
        </w:rPr>
        <w:t xml:space="preserve">ersons with </w:t>
      </w:r>
      <w:r w:rsidRPr="006918D6">
        <w:rPr>
          <w:rFonts w:ascii="Arial" w:hAnsi="Arial" w:cs="Arial"/>
          <w:b/>
        </w:rPr>
        <w:t>D</w:t>
      </w:r>
      <w:r w:rsidR="009801A8">
        <w:rPr>
          <w:rFonts w:ascii="Arial" w:hAnsi="Arial" w:cs="Arial"/>
          <w:b/>
        </w:rPr>
        <w:t>isabilities</w:t>
      </w:r>
      <w:r w:rsidRPr="006918D6">
        <w:rPr>
          <w:rFonts w:ascii="Arial" w:hAnsi="Arial" w:cs="Arial"/>
          <w:b/>
        </w:rPr>
        <w:t xml:space="preserve">. </w:t>
      </w:r>
    </w:p>
    <w:p w:rsidR="00985B54" w:rsidRPr="00985B54" w:rsidRDefault="00985B54" w:rsidP="00985B54">
      <w:pPr>
        <w:pStyle w:val="ListParagraph"/>
        <w:rPr>
          <w:rFonts w:ascii="Arial" w:hAnsi="Arial" w:cs="Arial"/>
          <w:b/>
        </w:rPr>
      </w:pPr>
    </w:p>
    <w:p w:rsidR="00985B54" w:rsidRDefault="006918D6" w:rsidP="00985B54">
      <w:pPr>
        <w:pStyle w:val="ListParagraph"/>
        <w:numPr>
          <w:ilvl w:val="0"/>
          <w:numId w:val="27"/>
        </w:numPr>
        <w:spacing w:line="360" w:lineRule="auto"/>
        <w:jc w:val="both"/>
        <w:rPr>
          <w:rFonts w:ascii="Arial" w:hAnsi="Arial" w:cs="Arial"/>
          <w:b/>
        </w:rPr>
      </w:pPr>
      <w:r w:rsidRPr="00985B54">
        <w:rPr>
          <w:rFonts w:ascii="Arial" w:hAnsi="Arial" w:cs="Arial"/>
          <w:b/>
        </w:rPr>
        <w:t>In light of the historical issues regarding the treatment of New Zealand residents with overseas pensions under s 70 of the Act, the Commission recommends that the Social Services Committee considers the equity and fairness of the current policy settings reflected in clause 173-175 of the Bill.</w:t>
      </w:r>
    </w:p>
    <w:p w:rsidR="00985B54" w:rsidRPr="00985B54" w:rsidRDefault="00985B54" w:rsidP="00985B54">
      <w:pPr>
        <w:pStyle w:val="ListParagraph"/>
        <w:rPr>
          <w:rFonts w:ascii="Arial" w:hAnsi="Arial" w:cs="Arial"/>
          <w:b/>
        </w:rPr>
      </w:pPr>
    </w:p>
    <w:p w:rsidR="00985B54" w:rsidRDefault="0074590D" w:rsidP="00985B54">
      <w:pPr>
        <w:pStyle w:val="ListParagraph"/>
        <w:numPr>
          <w:ilvl w:val="0"/>
          <w:numId w:val="27"/>
        </w:numPr>
        <w:spacing w:line="360" w:lineRule="auto"/>
        <w:jc w:val="both"/>
        <w:rPr>
          <w:rFonts w:ascii="Arial" w:hAnsi="Arial" w:cs="Arial"/>
          <w:b/>
        </w:rPr>
      </w:pPr>
      <w:r w:rsidRPr="00985B54">
        <w:rPr>
          <w:rFonts w:ascii="Arial" w:hAnsi="Arial" w:cs="Arial"/>
          <w:b/>
        </w:rPr>
        <w:t xml:space="preserve">The Commission </w:t>
      </w:r>
      <w:r w:rsidR="006918D6" w:rsidRPr="00985B54">
        <w:rPr>
          <w:rFonts w:ascii="Arial" w:hAnsi="Arial" w:cs="Arial"/>
          <w:b/>
        </w:rPr>
        <w:t>recommends that</w:t>
      </w:r>
      <w:r w:rsidRPr="00985B54">
        <w:rPr>
          <w:rFonts w:ascii="Arial" w:hAnsi="Arial" w:cs="Arial"/>
          <w:b/>
        </w:rPr>
        <w:t xml:space="preserve"> </w:t>
      </w:r>
      <w:r w:rsidR="006918D6" w:rsidRPr="00985B54">
        <w:rPr>
          <w:rFonts w:ascii="Arial" w:hAnsi="Arial" w:cs="Arial"/>
          <w:b/>
        </w:rPr>
        <w:t xml:space="preserve">the Committee reviews clause 421 and considers the extent to which redirection provisions ought to be included in primary legislation, given the human rights implications. </w:t>
      </w:r>
    </w:p>
    <w:p w:rsidR="00985B54" w:rsidRPr="00985B54" w:rsidRDefault="00985B54" w:rsidP="00985B54">
      <w:pPr>
        <w:pStyle w:val="ListParagraph"/>
        <w:rPr>
          <w:rFonts w:ascii="Arial" w:hAnsi="Arial" w:cs="Arial"/>
          <w:b/>
        </w:rPr>
      </w:pPr>
    </w:p>
    <w:p w:rsidR="00B62C8F" w:rsidRPr="00985B54" w:rsidRDefault="0074590D" w:rsidP="00985B54">
      <w:pPr>
        <w:pStyle w:val="ListParagraph"/>
        <w:numPr>
          <w:ilvl w:val="0"/>
          <w:numId w:val="27"/>
        </w:numPr>
        <w:spacing w:line="360" w:lineRule="auto"/>
        <w:jc w:val="both"/>
        <w:rPr>
          <w:rFonts w:ascii="Arial" w:hAnsi="Arial" w:cs="Arial"/>
          <w:b/>
        </w:rPr>
      </w:pPr>
      <w:r w:rsidRPr="00985B54">
        <w:rPr>
          <w:rFonts w:ascii="Arial" w:hAnsi="Arial" w:cs="Arial"/>
          <w:b/>
        </w:rPr>
        <w:t>The Commission recommends that the phrase</w:t>
      </w:r>
      <w:r w:rsidR="006918D6" w:rsidRPr="00985B54">
        <w:rPr>
          <w:rFonts w:ascii="Arial" w:hAnsi="Arial" w:cs="Arial"/>
          <w:b/>
        </w:rPr>
        <w:t xml:space="preserve"> </w:t>
      </w:r>
      <w:r w:rsidR="00DD4CA8" w:rsidRPr="00985B54">
        <w:rPr>
          <w:rFonts w:ascii="Arial" w:hAnsi="Arial" w:cs="Arial"/>
          <w:b/>
        </w:rPr>
        <w:t xml:space="preserve">“without good cause” </w:t>
      </w:r>
      <w:r w:rsidR="006918D6" w:rsidRPr="00985B54">
        <w:rPr>
          <w:rFonts w:ascii="Arial" w:hAnsi="Arial" w:cs="Arial"/>
          <w:b/>
        </w:rPr>
        <w:t xml:space="preserve">is deleted </w:t>
      </w:r>
      <w:r w:rsidR="00DD4CA8" w:rsidRPr="00985B54">
        <w:rPr>
          <w:rFonts w:ascii="Arial" w:hAnsi="Arial" w:cs="Arial"/>
          <w:b/>
        </w:rPr>
        <w:t xml:space="preserve">from clause 421(2)(a). The Commission notes that the RIS does not appear to </w:t>
      </w:r>
      <w:r w:rsidR="00535D2C" w:rsidRPr="00985B54">
        <w:rPr>
          <w:rFonts w:ascii="Arial" w:hAnsi="Arial" w:cs="Arial"/>
          <w:b/>
        </w:rPr>
        <w:t>identify or analyse any circumstance where the use of redi</w:t>
      </w:r>
      <w:r w:rsidR="00154BC4" w:rsidRPr="00985B54">
        <w:rPr>
          <w:rFonts w:ascii="Arial" w:hAnsi="Arial" w:cs="Arial"/>
          <w:b/>
        </w:rPr>
        <w:t>rection without good cause can</w:t>
      </w:r>
      <w:r w:rsidRPr="00985B54">
        <w:rPr>
          <w:rFonts w:ascii="Arial" w:hAnsi="Arial" w:cs="Arial"/>
          <w:b/>
        </w:rPr>
        <w:t xml:space="preserve"> be justified.</w:t>
      </w:r>
    </w:p>
    <w:p w:rsidR="00A834F7" w:rsidRPr="00A834F7" w:rsidRDefault="004A7BB6" w:rsidP="00942177">
      <w:pPr>
        <w:rPr>
          <w:rFonts w:ascii="Arial" w:hAnsi="Arial" w:cs="Arial"/>
          <w:b/>
        </w:rPr>
      </w:pPr>
      <w:r>
        <w:rPr>
          <w:rFonts w:ascii="Arial" w:hAnsi="Arial" w:cs="Arial"/>
          <w:b/>
        </w:rPr>
        <w:t>Human rights implications</w:t>
      </w:r>
    </w:p>
    <w:p w:rsidR="00A834F7" w:rsidRDefault="00915A72" w:rsidP="0074590D">
      <w:pPr>
        <w:pStyle w:val="NoSpacing"/>
        <w:numPr>
          <w:ilvl w:val="0"/>
          <w:numId w:val="16"/>
        </w:numPr>
        <w:spacing w:line="360" w:lineRule="auto"/>
        <w:jc w:val="both"/>
        <w:rPr>
          <w:rFonts w:ascii="Arial" w:hAnsi="Arial" w:cs="Arial"/>
        </w:rPr>
      </w:pPr>
      <w:r>
        <w:rPr>
          <w:rFonts w:ascii="Arial" w:hAnsi="Arial" w:cs="Arial"/>
        </w:rPr>
        <w:t>Reform of social security legislation has inherent human rights implications. The rights to social security and an adequate standard of living</w:t>
      </w:r>
      <w:r w:rsidR="00AF7D44">
        <w:rPr>
          <w:rFonts w:ascii="Arial" w:hAnsi="Arial" w:cs="Arial"/>
        </w:rPr>
        <w:t xml:space="preserve"> are enshrined in</w:t>
      </w:r>
      <w:r w:rsidR="00A42A10">
        <w:rPr>
          <w:rFonts w:ascii="Arial" w:hAnsi="Arial" w:cs="Arial"/>
        </w:rPr>
        <w:t xml:space="preserve"> human rights </w:t>
      </w:r>
      <w:r w:rsidR="00A42A10">
        <w:rPr>
          <w:rFonts w:ascii="Arial" w:hAnsi="Arial" w:cs="Arial"/>
        </w:rPr>
        <w:lastRenderedPageBreak/>
        <w:t>treaties that the New Zealand Government has ratified, notably</w:t>
      </w:r>
      <w:r w:rsidR="00AF7D44">
        <w:rPr>
          <w:rFonts w:ascii="Arial" w:hAnsi="Arial" w:cs="Arial"/>
        </w:rPr>
        <w:t xml:space="preserve"> the International Covenant on Economic, Social and Cultural Rights</w:t>
      </w:r>
      <w:r w:rsidR="00A42A10">
        <w:rPr>
          <w:rStyle w:val="FootnoteReference"/>
          <w:rFonts w:ascii="Arial" w:hAnsi="Arial" w:cs="Arial"/>
        </w:rPr>
        <w:footnoteReference w:id="4"/>
      </w:r>
      <w:r w:rsidR="00AF7D44">
        <w:rPr>
          <w:rFonts w:ascii="Arial" w:hAnsi="Arial" w:cs="Arial"/>
        </w:rPr>
        <w:t xml:space="preserve"> (‘ICESCR’), the UN Convention on the Rights of the Child</w:t>
      </w:r>
      <w:r w:rsidR="00A42A10">
        <w:rPr>
          <w:rStyle w:val="FootnoteReference"/>
          <w:rFonts w:ascii="Arial" w:hAnsi="Arial" w:cs="Arial"/>
        </w:rPr>
        <w:footnoteReference w:id="5"/>
      </w:r>
      <w:r w:rsidR="00AF7D44">
        <w:rPr>
          <w:rFonts w:ascii="Arial" w:hAnsi="Arial" w:cs="Arial"/>
        </w:rPr>
        <w:t xml:space="preserve"> (‘UNCROC’)</w:t>
      </w:r>
      <w:r w:rsidR="00A42A10">
        <w:rPr>
          <w:rFonts w:ascii="Arial" w:hAnsi="Arial" w:cs="Arial"/>
        </w:rPr>
        <w:t xml:space="preserve"> and the UN Convention on the Rights of Persons with Disabilities</w:t>
      </w:r>
      <w:r w:rsidR="00A42A10">
        <w:rPr>
          <w:rStyle w:val="FootnoteReference"/>
          <w:rFonts w:ascii="Arial" w:hAnsi="Arial" w:cs="Arial"/>
        </w:rPr>
        <w:footnoteReference w:id="6"/>
      </w:r>
      <w:r w:rsidR="00A42A10">
        <w:rPr>
          <w:rFonts w:ascii="Arial" w:hAnsi="Arial" w:cs="Arial"/>
        </w:rPr>
        <w:t xml:space="preserve"> (‘UNCRPD’).</w:t>
      </w:r>
      <w:r w:rsidR="00D75EB2">
        <w:rPr>
          <w:rFonts w:ascii="Arial" w:hAnsi="Arial" w:cs="Arial"/>
        </w:rPr>
        <w:t xml:space="preserve"> </w:t>
      </w:r>
    </w:p>
    <w:p w:rsidR="004A7BB6" w:rsidRDefault="004A7BB6" w:rsidP="004A7BB6">
      <w:pPr>
        <w:pStyle w:val="NoSpacing"/>
        <w:spacing w:line="360" w:lineRule="auto"/>
        <w:ind w:left="720"/>
        <w:jc w:val="both"/>
        <w:rPr>
          <w:rFonts w:ascii="Arial" w:hAnsi="Arial" w:cs="Arial"/>
        </w:rPr>
      </w:pPr>
    </w:p>
    <w:p w:rsidR="004A7BB6" w:rsidRDefault="004A7BB6" w:rsidP="0074590D">
      <w:pPr>
        <w:pStyle w:val="NoSpacing"/>
        <w:numPr>
          <w:ilvl w:val="0"/>
          <w:numId w:val="16"/>
        </w:numPr>
        <w:spacing w:line="360" w:lineRule="auto"/>
        <w:jc w:val="both"/>
        <w:rPr>
          <w:rFonts w:ascii="Arial" w:hAnsi="Arial" w:cs="Arial"/>
        </w:rPr>
      </w:pPr>
      <w:r w:rsidRPr="004A7BB6">
        <w:rPr>
          <w:rFonts w:ascii="Arial" w:hAnsi="Arial" w:cs="Arial"/>
        </w:rPr>
        <w:t xml:space="preserve">International human rights principles provide that </w:t>
      </w:r>
      <w:r>
        <w:rPr>
          <w:rFonts w:ascii="Arial" w:hAnsi="Arial" w:cs="Arial"/>
        </w:rPr>
        <w:t xml:space="preserve">social security </w:t>
      </w:r>
      <w:r w:rsidRPr="004A7BB6">
        <w:rPr>
          <w:rFonts w:ascii="Arial" w:hAnsi="Arial" w:cs="Arial"/>
        </w:rPr>
        <w:t xml:space="preserve">benefits are crucial public policy mechanisms for enabling all </w:t>
      </w:r>
      <w:r>
        <w:rPr>
          <w:rFonts w:ascii="Arial" w:hAnsi="Arial" w:cs="Arial"/>
        </w:rPr>
        <w:t xml:space="preserve">people </w:t>
      </w:r>
      <w:r w:rsidRPr="004A7BB6">
        <w:rPr>
          <w:rFonts w:ascii="Arial" w:hAnsi="Arial" w:cs="Arial"/>
        </w:rPr>
        <w:t xml:space="preserve">to enjoy their right to </w:t>
      </w:r>
      <w:r>
        <w:rPr>
          <w:rFonts w:ascii="Arial" w:hAnsi="Arial" w:cs="Arial"/>
        </w:rPr>
        <w:t>an adequate standard of living.</w:t>
      </w:r>
      <w:r w:rsidRPr="004A7BB6">
        <w:rPr>
          <w:rFonts w:ascii="Arial" w:hAnsi="Arial" w:cs="Arial"/>
        </w:rPr>
        <w:t xml:space="preserve"> </w:t>
      </w:r>
      <w:r>
        <w:rPr>
          <w:rFonts w:ascii="Arial" w:hAnsi="Arial" w:cs="Arial"/>
        </w:rPr>
        <w:t xml:space="preserve">In </w:t>
      </w:r>
      <w:r w:rsidRPr="004A7BB6">
        <w:rPr>
          <w:rFonts w:ascii="Arial" w:hAnsi="Arial" w:cs="Arial"/>
        </w:rPr>
        <w:t>its General Comment 19 on the right to social security</w:t>
      </w:r>
      <w:r>
        <w:rPr>
          <w:rStyle w:val="FootnoteReference"/>
          <w:rFonts w:ascii="Arial" w:hAnsi="Arial" w:cs="Arial"/>
        </w:rPr>
        <w:footnoteReference w:id="7"/>
      </w:r>
      <w:r w:rsidRPr="004A7BB6">
        <w:rPr>
          <w:rFonts w:ascii="Arial" w:hAnsi="Arial" w:cs="Arial"/>
        </w:rPr>
        <w:t xml:space="preserve">, the UN Committee on Economic, Social and Cultural Rights made a number of </w:t>
      </w:r>
      <w:r w:rsidR="0074590D">
        <w:rPr>
          <w:rFonts w:ascii="Arial" w:hAnsi="Arial" w:cs="Arial"/>
        </w:rPr>
        <w:t>observations wh</w:t>
      </w:r>
      <w:r w:rsidRPr="004A7BB6">
        <w:rPr>
          <w:rFonts w:ascii="Arial" w:hAnsi="Arial" w:cs="Arial"/>
        </w:rPr>
        <w:t>ich ar</w:t>
      </w:r>
      <w:r>
        <w:rPr>
          <w:rFonts w:ascii="Arial" w:hAnsi="Arial" w:cs="Arial"/>
        </w:rPr>
        <w:t>e instructive when assessing the social securit</w:t>
      </w:r>
      <w:r w:rsidR="0074590D">
        <w:rPr>
          <w:rFonts w:ascii="Arial" w:hAnsi="Arial" w:cs="Arial"/>
        </w:rPr>
        <w:t>y policy. These include the foll</w:t>
      </w:r>
      <w:r>
        <w:rPr>
          <w:rFonts w:ascii="Arial" w:hAnsi="Arial" w:cs="Arial"/>
        </w:rPr>
        <w:t>owing</w:t>
      </w:r>
      <w:r w:rsidRPr="004A7BB6">
        <w:rPr>
          <w:rFonts w:ascii="Arial" w:hAnsi="Arial" w:cs="Arial"/>
        </w:rPr>
        <w:t>:</w:t>
      </w:r>
    </w:p>
    <w:p w:rsidR="004A7BB6" w:rsidRPr="004A7BB6" w:rsidRDefault="004A7BB6" w:rsidP="004A7BB6">
      <w:pPr>
        <w:pStyle w:val="NoSpacing"/>
        <w:spacing w:line="360" w:lineRule="auto"/>
        <w:jc w:val="both"/>
        <w:rPr>
          <w:rFonts w:ascii="Arial" w:hAnsi="Arial" w:cs="Arial"/>
        </w:rPr>
      </w:pPr>
    </w:p>
    <w:p w:rsidR="004A7BB6" w:rsidRPr="004A7BB6" w:rsidRDefault="004A7BB6" w:rsidP="004A7BB6">
      <w:pPr>
        <w:pStyle w:val="NoSpacing"/>
        <w:numPr>
          <w:ilvl w:val="0"/>
          <w:numId w:val="20"/>
        </w:numPr>
        <w:spacing w:line="360" w:lineRule="auto"/>
        <w:jc w:val="both"/>
        <w:rPr>
          <w:rFonts w:ascii="Arial" w:hAnsi="Arial" w:cs="Arial"/>
        </w:rPr>
      </w:pPr>
      <w:r w:rsidRPr="004A7BB6">
        <w:rPr>
          <w:rFonts w:ascii="Arial" w:hAnsi="Arial" w:cs="Arial"/>
        </w:rPr>
        <w:t>The right to social security includes the right not to be subject to arbitrary or unreasonable restrictions of existing social security coverage</w:t>
      </w:r>
      <w:r w:rsidR="00152A86">
        <w:rPr>
          <w:rFonts w:ascii="Arial" w:hAnsi="Arial" w:cs="Arial"/>
        </w:rPr>
        <w:t>.</w:t>
      </w:r>
      <w:r w:rsidR="00152A86">
        <w:rPr>
          <w:rStyle w:val="FootnoteReference"/>
          <w:rFonts w:ascii="Arial" w:hAnsi="Arial" w:cs="Arial"/>
        </w:rPr>
        <w:footnoteReference w:id="8"/>
      </w:r>
      <w:r w:rsidRPr="004A7BB6">
        <w:rPr>
          <w:rFonts w:ascii="Arial" w:hAnsi="Arial" w:cs="Arial"/>
        </w:rPr>
        <w:t xml:space="preserve"> </w:t>
      </w:r>
    </w:p>
    <w:p w:rsidR="004A7BB6" w:rsidRPr="004A7BB6" w:rsidRDefault="004A7BB6" w:rsidP="004A7BB6">
      <w:pPr>
        <w:pStyle w:val="NoSpacing"/>
        <w:numPr>
          <w:ilvl w:val="0"/>
          <w:numId w:val="20"/>
        </w:numPr>
        <w:spacing w:line="360" w:lineRule="auto"/>
        <w:jc w:val="both"/>
        <w:rPr>
          <w:rFonts w:ascii="Arial" w:hAnsi="Arial" w:cs="Arial"/>
        </w:rPr>
      </w:pPr>
      <w:r w:rsidRPr="004A7BB6">
        <w:rPr>
          <w:rFonts w:ascii="Arial" w:hAnsi="Arial" w:cs="Arial"/>
        </w:rPr>
        <w:t xml:space="preserve">Social security policy should be treated as a social good, not a subset </w:t>
      </w:r>
      <w:r w:rsidR="00246C9C">
        <w:rPr>
          <w:rFonts w:ascii="Arial" w:hAnsi="Arial" w:cs="Arial"/>
        </w:rPr>
        <w:t>of financial or economic policy.</w:t>
      </w:r>
      <w:r w:rsidR="00152A86">
        <w:rPr>
          <w:rStyle w:val="FootnoteReference"/>
          <w:rFonts w:ascii="Arial" w:hAnsi="Arial" w:cs="Arial"/>
        </w:rPr>
        <w:footnoteReference w:id="9"/>
      </w:r>
    </w:p>
    <w:p w:rsidR="004A7BB6" w:rsidRPr="004A7BB6" w:rsidRDefault="004A7BB6" w:rsidP="004A7BB6">
      <w:pPr>
        <w:pStyle w:val="NoSpacing"/>
        <w:numPr>
          <w:ilvl w:val="0"/>
          <w:numId w:val="20"/>
        </w:numPr>
        <w:spacing w:line="360" w:lineRule="auto"/>
        <w:jc w:val="both"/>
        <w:rPr>
          <w:rFonts w:ascii="Arial" w:hAnsi="Arial" w:cs="Arial"/>
        </w:rPr>
      </w:pPr>
      <w:r w:rsidRPr="004A7BB6">
        <w:rPr>
          <w:rFonts w:ascii="Arial" w:hAnsi="Arial" w:cs="Arial"/>
        </w:rPr>
        <w:t>Family and child benefits are crucial mechanisms in enabling the protective functions of Article 9 and 10 of ICESCR (and by association Article 27 of U</w:t>
      </w:r>
      <w:r w:rsidR="00246C9C">
        <w:rPr>
          <w:rFonts w:ascii="Arial" w:hAnsi="Arial" w:cs="Arial"/>
        </w:rPr>
        <w:t>NCROC)</w:t>
      </w:r>
      <w:r w:rsidRPr="004A7BB6">
        <w:rPr>
          <w:rFonts w:ascii="Arial" w:hAnsi="Arial" w:cs="Arial"/>
        </w:rPr>
        <w:t>.</w:t>
      </w:r>
      <w:r w:rsidR="00152A86">
        <w:rPr>
          <w:rStyle w:val="FootnoteReference"/>
          <w:rFonts w:ascii="Arial" w:hAnsi="Arial" w:cs="Arial"/>
        </w:rPr>
        <w:footnoteReference w:id="10"/>
      </w:r>
    </w:p>
    <w:p w:rsidR="004A7BB6" w:rsidRPr="004A7BB6" w:rsidRDefault="004A7BB6" w:rsidP="004A7BB6">
      <w:pPr>
        <w:pStyle w:val="NoSpacing"/>
        <w:numPr>
          <w:ilvl w:val="0"/>
          <w:numId w:val="20"/>
        </w:numPr>
        <w:spacing w:line="360" w:lineRule="auto"/>
        <w:jc w:val="both"/>
        <w:rPr>
          <w:rFonts w:ascii="Arial" w:hAnsi="Arial" w:cs="Arial"/>
        </w:rPr>
      </w:pPr>
      <w:r w:rsidRPr="004A7BB6">
        <w:rPr>
          <w:rFonts w:ascii="Arial" w:hAnsi="Arial" w:cs="Arial"/>
        </w:rPr>
        <w:t>Benefits must be of adequate value (both cash and in kind) to enable the realisation of, inter alia, the right to an adequate standa</w:t>
      </w:r>
      <w:r w:rsidR="00246C9C">
        <w:rPr>
          <w:rFonts w:ascii="Arial" w:hAnsi="Arial" w:cs="Arial"/>
        </w:rPr>
        <w:t>rd of living; and be accessible</w:t>
      </w:r>
      <w:r w:rsidRPr="004A7BB6">
        <w:rPr>
          <w:rFonts w:ascii="Arial" w:hAnsi="Arial" w:cs="Arial"/>
        </w:rPr>
        <w:t>.</w:t>
      </w:r>
      <w:r w:rsidR="00152A86">
        <w:rPr>
          <w:rStyle w:val="FootnoteReference"/>
          <w:rFonts w:ascii="Arial" w:hAnsi="Arial" w:cs="Arial"/>
        </w:rPr>
        <w:footnoteReference w:id="11"/>
      </w:r>
      <w:r w:rsidRPr="004A7BB6">
        <w:rPr>
          <w:rFonts w:ascii="Arial" w:hAnsi="Arial" w:cs="Arial"/>
        </w:rPr>
        <w:t xml:space="preserve"> </w:t>
      </w:r>
    </w:p>
    <w:p w:rsidR="004A7BB6" w:rsidRPr="004A7BB6" w:rsidRDefault="004A7BB6" w:rsidP="004A7BB6">
      <w:pPr>
        <w:pStyle w:val="NoSpacing"/>
        <w:numPr>
          <w:ilvl w:val="0"/>
          <w:numId w:val="20"/>
        </w:numPr>
        <w:spacing w:line="360" w:lineRule="auto"/>
        <w:jc w:val="both"/>
        <w:rPr>
          <w:rFonts w:ascii="Arial" w:hAnsi="Arial" w:cs="Arial"/>
        </w:rPr>
      </w:pPr>
      <w:r w:rsidRPr="004A7BB6">
        <w:rPr>
          <w:rFonts w:ascii="Arial" w:hAnsi="Arial" w:cs="Arial"/>
        </w:rPr>
        <w:t>Qualifying criteria must be reasonable, proportionate and transparent. Sanctions should be circumscribed, reasonable and sub</w:t>
      </w:r>
      <w:r w:rsidR="00246C9C">
        <w:rPr>
          <w:rFonts w:ascii="Arial" w:hAnsi="Arial" w:cs="Arial"/>
        </w:rPr>
        <w:t>ject to due process protections</w:t>
      </w:r>
      <w:r w:rsidRPr="004A7BB6">
        <w:rPr>
          <w:rFonts w:ascii="Arial" w:hAnsi="Arial" w:cs="Arial"/>
        </w:rPr>
        <w:t>.</w:t>
      </w:r>
      <w:r w:rsidR="00152A86">
        <w:rPr>
          <w:rStyle w:val="FootnoteReference"/>
          <w:rFonts w:ascii="Arial" w:hAnsi="Arial" w:cs="Arial"/>
        </w:rPr>
        <w:footnoteReference w:id="12"/>
      </w:r>
    </w:p>
    <w:p w:rsidR="004A7BB6" w:rsidRPr="004A7BB6" w:rsidRDefault="004A7BB6" w:rsidP="004A7BB6">
      <w:pPr>
        <w:pStyle w:val="NoSpacing"/>
        <w:numPr>
          <w:ilvl w:val="0"/>
          <w:numId w:val="20"/>
        </w:numPr>
        <w:spacing w:line="360" w:lineRule="auto"/>
        <w:jc w:val="both"/>
        <w:rPr>
          <w:rFonts w:ascii="Arial" w:hAnsi="Arial" w:cs="Arial"/>
        </w:rPr>
      </w:pPr>
      <w:r w:rsidRPr="004A7BB6">
        <w:rPr>
          <w:rFonts w:ascii="Arial" w:hAnsi="Arial" w:cs="Arial"/>
        </w:rPr>
        <w:t>Special attention should be given to enabling vulnerable groups to realise their right to social security</w:t>
      </w:r>
      <w:r w:rsidR="00246C9C">
        <w:rPr>
          <w:rFonts w:ascii="Arial" w:hAnsi="Arial" w:cs="Arial"/>
        </w:rPr>
        <w:t>.</w:t>
      </w:r>
      <w:r w:rsidR="00152A86">
        <w:rPr>
          <w:rStyle w:val="FootnoteReference"/>
          <w:rFonts w:ascii="Arial" w:hAnsi="Arial" w:cs="Arial"/>
        </w:rPr>
        <w:footnoteReference w:id="13"/>
      </w:r>
    </w:p>
    <w:p w:rsidR="004A7BB6" w:rsidRPr="004A7BB6" w:rsidRDefault="004A7BB6" w:rsidP="004A7BB6">
      <w:pPr>
        <w:pStyle w:val="NoSpacing"/>
        <w:numPr>
          <w:ilvl w:val="0"/>
          <w:numId w:val="20"/>
        </w:numPr>
        <w:spacing w:line="360" w:lineRule="auto"/>
        <w:jc w:val="both"/>
        <w:rPr>
          <w:rFonts w:ascii="Arial" w:hAnsi="Arial" w:cs="Arial"/>
        </w:rPr>
      </w:pPr>
      <w:r w:rsidRPr="004A7BB6">
        <w:rPr>
          <w:rFonts w:ascii="Arial" w:hAnsi="Arial" w:cs="Arial"/>
        </w:rPr>
        <w:lastRenderedPageBreak/>
        <w:t>There is a strong presumption against the adoption or introduction of retrogressive measures</w:t>
      </w:r>
      <w:r w:rsidR="00246C9C">
        <w:rPr>
          <w:rFonts w:ascii="Arial" w:hAnsi="Arial" w:cs="Arial"/>
        </w:rPr>
        <w:t>.</w:t>
      </w:r>
      <w:r w:rsidR="00152A86">
        <w:rPr>
          <w:rStyle w:val="FootnoteReference"/>
          <w:rFonts w:ascii="Arial" w:hAnsi="Arial" w:cs="Arial"/>
        </w:rPr>
        <w:footnoteReference w:id="14"/>
      </w:r>
      <w:r w:rsidRPr="004A7BB6">
        <w:rPr>
          <w:rFonts w:ascii="Arial" w:hAnsi="Arial" w:cs="Arial"/>
        </w:rPr>
        <w:t xml:space="preserve"> </w:t>
      </w:r>
    </w:p>
    <w:p w:rsidR="004A7BB6" w:rsidRPr="00246C9C" w:rsidRDefault="004A7BB6" w:rsidP="00246C9C">
      <w:pPr>
        <w:pStyle w:val="NoSpacing"/>
        <w:numPr>
          <w:ilvl w:val="0"/>
          <w:numId w:val="20"/>
        </w:numPr>
        <w:spacing w:line="360" w:lineRule="auto"/>
        <w:jc w:val="both"/>
        <w:rPr>
          <w:rFonts w:ascii="Arial" w:hAnsi="Arial" w:cs="Arial"/>
        </w:rPr>
      </w:pPr>
      <w:r w:rsidRPr="004A7BB6">
        <w:rPr>
          <w:rFonts w:ascii="Arial" w:hAnsi="Arial" w:cs="Arial"/>
        </w:rPr>
        <w:t>Any persons who have experienced a violation of their right to social security have access to effective judicial recourse or oth</w:t>
      </w:r>
      <w:r w:rsidR="00246C9C">
        <w:rPr>
          <w:rFonts w:ascii="Arial" w:hAnsi="Arial" w:cs="Arial"/>
        </w:rPr>
        <w:t>er appropriate remedial avenues</w:t>
      </w:r>
      <w:r w:rsidRPr="004A7BB6">
        <w:rPr>
          <w:rFonts w:ascii="Arial" w:hAnsi="Arial" w:cs="Arial"/>
        </w:rPr>
        <w:t>.</w:t>
      </w:r>
      <w:r w:rsidR="00152A86">
        <w:rPr>
          <w:rStyle w:val="FootnoteReference"/>
          <w:rFonts w:ascii="Arial" w:hAnsi="Arial" w:cs="Arial"/>
        </w:rPr>
        <w:footnoteReference w:id="15"/>
      </w:r>
    </w:p>
    <w:p w:rsidR="00A834F7" w:rsidRDefault="00A834F7" w:rsidP="00A834F7">
      <w:pPr>
        <w:pStyle w:val="NoSpacing"/>
        <w:spacing w:line="360" w:lineRule="auto"/>
        <w:ind w:left="720"/>
        <w:jc w:val="both"/>
        <w:rPr>
          <w:rFonts w:ascii="Arial" w:hAnsi="Arial" w:cs="Arial"/>
        </w:rPr>
      </w:pPr>
    </w:p>
    <w:p w:rsidR="00A42A10" w:rsidRPr="00D3125B" w:rsidRDefault="00246C9C" w:rsidP="0074590D">
      <w:pPr>
        <w:pStyle w:val="NoSpacing"/>
        <w:numPr>
          <w:ilvl w:val="0"/>
          <w:numId w:val="16"/>
        </w:numPr>
        <w:spacing w:line="360" w:lineRule="auto"/>
        <w:jc w:val="both"/>
        <w:rPr>
          <w:rFonts w:ascii="Arial" w:hAnsi="Arial" w:cs="Arial"/>
        </w:rPr>
      </w:pPr>
      <w:r>
        <w:rPr>
          <w:rFonts w:ascii="Arial" w:hAnsi="Arial" w:cs="Arial"/>
        </w:rPr>
        <w:t>The</w:t>
      </w:r>
      <w:r w:rsidR="00AE5C75">
        <w:rPr>
          <w:rFonts w:ascii="Arial" w:hAnsi="Arial" w:cs="Arial"/>
        </w:rPr>
        <w:t xml:space="preserve"> Commission notes that both the Bill’s Regulatory Impact Statement (‘RIS’)</w:t>
      </w:r>
      <w:r w:rsidR="00124997">
        <w:rPr>
          <w:rFonts w:ascii="Arial" w:hAnsi="Arial" w:cs="Arial"/>
        </w:rPr>
        <w:t xml:space="preserve"> </w:t>
      </w:r>
      <w:r w:rsidR="00AE5C75">
        <w:rPr>
          <w:rFonts w:ascii="Arial" w:hAnsi="Arial" w:cs="Arial"/>
        </w:rPr>
        <w:t>and Explanatory Note acknowledge the</w:t>
      </w:r>
      <w:r>
        <w:rPr>
          <w:rFonts w:ascii="Arial" w:hAnsi="Arial" w:cs="Arial"/>
        </w:rPr>
        <w:t xml:space="preserve"> nexus between </w:t>
      </w:r>
      <w:r w:rsidR="00AE5C75">
        <w:rPr>
          <w:rFonts w:ascii="Arial" w:hAnsi="Arial" w:cs="Arial"/>
        </w:rPr>
        <w:t>social security policy and human rights</w:t>
      </w:r>
      <w:r w:rsidR="00AE5C75">
        <w:rPr>
          <w:rStyle w:val="FootnoteReference"/>
          <w:rFonts w:ascii="Arial" w:hAnsi="Arial" w:cs="Arial"/>
        </w:rPr>
        <w:footnoteReference w:id="16"/>
      </w:r>
      <w:r w:rsidR="00AE5C75">
        <w:rPr>
          <w:rFonts w:ascii="Arial" w:hAnsi="Arial" w:cs="Arial"/>
        </w:rPr>
        <w:t>. The</w:t>
      </w:r>
      <w:r w:rsidR="00F00FE9">
        <w:rPr>
          <w:rFonts w:ascii="Arial" w:hAnsi="Arial" w:cs="Arial"/>
        </w:rPr>
        <w:t xml:space="preserve"> RIS states that “protection of human rights is fundamental to our democratic social system.”</w:t>
      </w:r>
      <w:r w:rsidR="00F00FE9">
        <w:rPr>
          <w:rStyle w:val="FootnoteReference"/>
          <w:rFonts w:ascii="Arial" w:hAnsi="Arial" w:cs="Arial"/>
        </w:rPr>
        <w:footnoteReference w:id="17"/>
      </w:r>
      <w:r w:rsidR="00F00FE9">
        <w:rPr>
          <w:rFonts w:ascii="Arial" w:hAnsi="Arial" w:cs="Arial"/>
        </w:rPr>
        <w:t xml:space="preserve"> The</w:t>
      </w:r>
      <w:r w:rsidR="00AE5C75">
        <w:rPr>
          <w:rFonts w:ascii="Arial" w:hAnsi="Arial" w:cs="Arial"/>
        </w:rPr>
        <w:t xml:space="preserve"> </w:t>
      </w:r>
      <w:r w:rsidR="00F00FE9">
        <w:rPr>
          <w:rFonts w:ascii="Arial" w:hAnsi="Arial" w:cs="Arial"/>
        </w:rPr>
        <w:t>Expl</w:t>
      </w:r>
      <w:r w:rsidR="00DD6B55">
        <w:rPr>
          <w:rFonts w:ascii="Arial" w:hAnsi="Arial" w:cs="Arial"/>
        </w:rPr>
        <w:t>anatory Note appears to reflect</w:t>
      </w:r>
      <w:r w:rsidR="00F00FE9">
        <w:rPr>
          <w:rFonts w:ascii="Arial" w:hAnsi="Arial" w:cs="Arial"/>
        </w:rPr>
        <w:t xml:space="preserve"> this statement of principle, stating</w:t>
      </w:r>
      <w:r w:rsidR="00D3125B" w:rsidRPr="00D3125B">
        <w:rPr>
          <w:rFonts w:ascii="Arial" w:hAnsi="Arial" w:cs="Arial"/>
        </w:rPr>
        <w:t xml:space="preserve"> that the rewrite has been drafted in such a way so as to ensure that “matters relating to human rights and freedoms”</w:t>
      </w:r>
      <w:r w:rsidR="00AD7B2C">
        <w:rPr>
          <w:rFonts w:ascii="Arial" w:hAnsi="Arial" w:cs="Arial"/>
        </w:rPr>
        <w:t xml:space="preserve"> and “provisions that confer economic rights”</w:t>
      </w:r>
      <w:r w:rsidR="00D3125B" w:rsidRPr="00D3125B">
        <w:rPr>
          <w:rFonts w:ascii="Arial" w:hAnsi="Arial" w:cs="Arial"/>
        </w:rPr>
        <w:t>, among other things, are included in primary legislation.</w:t>
      </w:r>
    </w:p>
    <w:p w:rsidR="00A42A10" w:rsidRDefault="00A42A10" w:rsidP="00A42A10">
      <w:pPr>
        <w:pStyle w:val="NoSpacing"/>
        <w:spacing w:line="360" w:lineRule="auto"/>
        <w:ind w:left="360"/>
        <w:jc w:val="both"/>
        <w:rPr>
          <w:rFonts w:ascii="Arial" w:hAnsi="Arial" w:cs="Arial"/>
        </w:rPr>
      </w:pPr>
    </w:p>
    <w:p w:rsidR="00124997" w:rsidRDefault="00F00FE9" w:rsidP="0074590D">
      <w:pPr>
        <w:pStyle w:val="NoSpacing"/>
        <w:numPr>
          <w:ilvl w:val="0"/>
          <w:numId w:val="16"/>
        </w:numPr>
        <w:spacing w:line="360" w:lineRule="auto"/>
        <w:jc w:val="both"/>
        <w:rPr>
          <w:rFonts w:ascii="Arial" w:hAnsi="Arial" w:cs="Arial"/>
        </w:rPr>
      </w:pPr>
      <w:r>
        <w:rPr>
          <w:rFonts w:ascii="Arial" w:hAnsi="Arial" w:cs="Arial"/>
        </w:rPr>
        <w:t xml:space="preserve">However, </w:t>
      </w:r>
      <w:r w:rsidR="00124997">
        <w:rPr>
          <w:rFonts w:ascii="Arial" w:hAnsi="Arial" w:cs="Arial"/>
        </w:rPr>
        <w:t xml:space="preserve">this policy-level </w:t>
      </w:r>
      <w:r>
        <w:rPr>
          <w:rFonts w:ascii="Arial" w:hAnsi="Arial" w:cs="Arial"/>
        </w:rPr>
        <w:t xml:space="preserve">acknowledgment of the importance of </w:t>
      </w:r>
      <w:r w:rsidR="00124997">
        <w:rPr>
          <w:rFonts w:ascii="Arial" w:hAnsi="Arial" w:cs="Arial"/>
        </w:rPr>
        <w:t>human rights in the social security system is not expressly reflected in the provisions of the Bill</w:t>
      </w:r>
      <w:r w:rsidR="00B849C2">
        <w:rPr>
          <w:rFonts w:ascii="Arial" w:hAnsi="Arial" w:cs="Arial"/>
        </w:rPr>
        <w:t xml:space="preserve"> (clauses 3 and 4) that establish</w:t>
      </w:r>
      <w:r w:rsidR="00124997">
        <w:rPr>
          <w:rFonts w:ascii="Arial" w:hAnsi="Arial" w:cs="Arial"/>
        </w:rPr>
        <w:t xml:space="preserve"> its purposes</w:t>
      </w:r>
      <w:r w:rsidR="00B849C2">
        <w:rPr>
          <w:rFonts w:ascii="Arial" w:hAnsi="Arial" w:cs="Arial"/>
        </w:rPr>
        <w:t xml:space="preserve"> and principles</w:t>
      </w:r>
      <w:r w:rsidR="00124997">
        <w:rPr>
          <w:rFonts w:ascii="Arial" w:hAnsi="Arial" w:cs="Arial"/>
        </w:rPr>
        <w:t xml:space="preserve">. </w:t>
      </w:r>
    </w:p>
    <w:p w:rsidR="002B41CB" w:rsidRDefault="002B41CB" w:rsidP="002B41CB">
      <w:pPr>
        <w:pStyle w:val="NoSpacing"/>
        <w:spacing w:line="360" w:lineRule="auto"/>
        <w:jc w:val="both"/>
        <w:rPr>
          <w:rFonts w:ascii="Arial" w:hAnsi="Arial" w:cs="Arial"/>
        </w:rPr>
      </w:pPr>
    </w:p>
    <w:p w:rsidR="002B41CB" w:rsidRPr="002B41CB" w:rsidRDefault="002B41CB" w:rsidP="002B41CB">
      <w:pPr>
        <w:pStyle w:val="ListParagraph"/>
        <w:rPr>
          <w:rFonts w:ascii="Arial" w:hAnsi="Arial" w:cs="Arial"/>
          <w:i/>
        </w:rPr>
      </w:pPr>
      <w:r w:rsidRPr="002B41CB">
        <w:rPr>
          <w:rFonts w:ascii="Arial" w:hAnsi="Arial" w:cs="Arial"/>
          <w:i/>
        </w:rPr>
        <w:t>Clause 3 – the legislative purpose</w:t>
      </w:r>
    </w:p>
    <w:p w:rsidR="00124997" w:rsidRDefault="00961784" w:rsidP="0074590D">
      <w:pPr>
        <w:pStyle w:val="NoSpacing"/>
        <w:numPr>
          <w:ilvl w:val="0"/>
          <w:numId w:val="16"/>
        </w:numPr>
        <w:spacing w:line="360" w:lineRule="auto"/>
        <w:jc w:val="both"/>
        <w:rPr>
          <w:rFonts w:ascii="Arial" w:hAnsi="Arial" w:cs="Arial"/>
        </w:rPr>
      </w:pPr>
      <w:r>
        <w:rPr>
          <w:rFonts w:ascii="Arial" w:hAnsi="Arial" w:cs="Arial"/>
        </w:rPr>
        <w:t>Clause</w:t>
      </w:r>
      <w:r w:rsidR="00124997">
        <w:rPr>
          <w:rFonts w:ascii="Arial" w:hAnsi="Arial" w:cs="Arial"/>
        </w:rPr>
        <w:t xml:space="preserve"> 3 of the Bill establishes the</w:t>
      </w:r>
      <w:r>
        <w:rPr>
          <w:rFonts w:ascii="Arial" w:hAnsi="Arial" w:cs="Arial"/>
        </w:rPr>
        <w:t xml:space="preserve"> legislative</w:t>
      </w:r>
      <w:r w:rsidR="00124997">
        <w:rPr>
          <w:rFonts w:ascii="Arial" w:hAnsi="Arial" w:cs="Arial"/>
        </w:rPr>
        <w:t xml:space="preserve"> purpos</w:t>
      </w:r>
      <w:r>
        <w:rPr>
          <w:rFonts w:ascii="Arial" w:hAnsi="Arial" w:cs="Arial"/>
        </w:rPr>
        <w:t>e and is virtually identical to incumbent</w:t>
      </w:r>
      <w:r w:rsidR="00124997">
        <w:rPr>
          <w:rFonts w:ascii="Arial" w:hAnsi="Arial" w:cs="Arial"/>
        </w:rPr>
        <w:t xml:space="preserve"> s 1A</w:t>
      </w:r>
      <w:r>
        <w:rPr>
          <w:rFonts w:ascii="Arial" w:hAnsi="Arial" w:cs="Arial"/>
        </w:rPr>
        <w:t xml:space="preserve">. </w:t>
      </w:r>
      <w:r w:rsidR="001D0A80">
        <w:rPr>
          <w:rFonts w:ascii="Arial" w:hAnsi="Arial" w:cs="Arial"/>
        </w:rPr>
        <w:t xml:space="preserve">Clauses </w:t>
      </w:r>
      <w:r>
        <w:rPr>
          <w:rFonts w:ascii="Arial" w:hAnsi="Arial" w:cs="Arial"/>
        </w:rPr>
        <w:t>3(a) and (b)</w:t>
      </w:r>
      <w:r w:rsidR="001D0A80">
        <w:rPr>
          <w:rFonts w:ascii="Arial" w:hAnsi="Arial" w:cs="Arial"/>
        </w:rPr>
        <w:t xml:space="preserve"> set out statements related to the fundamental purpose of a social security system – that is, to provide financial support to people (and their dependents) who are not in employment, are unable to work due to illness, sickness, disability or care responsibilities, or who are suffering finan</w:t>
      </w:r>
      <w:r w:rsidR="002A32DF">
        <w:rPr>
          <w:rFonts w:ascii="Arial" w:hAnsi="Arial" w:cs="Arial"/>
        </w:rPr>
        <w:t>cial hardship. These clauses can be characterised as</w:t>
      </w:r>
      <w:r w:rsidR="001D0A80">
        <w:rPr>
          <w:rFonts w:ascii="Arial" w:hAnsi="Arial" w:cs="Arial"/>
        </w:rPr>
        <w:t xml:space="preserve"> broadly consistent with</w:t>
      </w:r>
      <w:r w:rsidR="002A32DF">
        <w:rPr>
          <w:rFonts w:ascii="Arial" w:hAnsi="Arial" w:cs="Arial"/>
        </w:rPr>
        <w:t>, yet narrower in scope, than</w:t>
      </w:r>
      <w:r w:rsidR="001D0A80">
        <w:rPr>
          <w:rFonts w:ascii="Arial" w:hAnsi="Arial" w:cs="Arial"/>
        </w:rPr>
        <w:t xml:space="preserve"> </w:t>
      </w:r>
      <w:r w:rsidR="002A32DF">
        <w:rPr>
          <w:rFonts w:ascii="Arial" w:hAnsi="Arial" w:cs="Arial"/>
        </w:rPr>
        <w:t xml:space="preserve">Article 9 of ICESCR, which provides for a universal </w:t>
      </w:r>
      <w:r w:rsidR="00307068">
        <w:rPr>
          <w:rFonts w:ascii="Arial" w:hAnsi="Arial" w:cs="Arial"/>
        </w:rPr>
        <w:t xml:space="preserve">right to social security. </w:t>
      </w:r>
    </w:p>
    <w:p w:rsidR="00307068" w:rsidRDefault="00307068" w:rsidP="00307068">
      <w:pPr>
        <w:pStyle w:val="ListParagraph"/>
        <w:rPr>
          <w:rFonts w:ascii="Arial" w:hAnsi="Arial" w:cs="Arial"/>
        </w:rPr>
      </w:pPr>
    </w:p>
    <w:p w:rsidR="00307068" w:rsidRDefault="00307068" w:rsidP="0074590D">
      <w:pPr>
        <w:pStyle w:val="NoSpacing"/>
        <w:numPr>
          <w:ilvl w:val="0"/>
          <w:numId w:val="16"/>
        </w:numPr>
        <w:spacing w:line="360" w:lineRule="auto"/>
        <w:jc w:val="both"/>
        <w:rPr>
          <w:rFonts w:ascii="Arial" w:hAnsi="Arial" w:cs="Arial"/>
        </w:rPr>
      </w:pPr>
      <w:r>
        <w:rPr>
          <w:rFonts w:ascii="Arial" w:hAnsi="Arial" w:cs="Arial"/>
        </w:rPr>
        <w:t>However, clause 3 of the Bill does not contain an additional purposive statement reflective of the human rights obligations upon the state to provide, among other things, an adequate standard of living to all persons</w:t>
      </w:r>
      <w:r>
        <w:rPr>
          <w:rStyle w:val="FootnoteReference"/>
          <w:rFonts w:ascii="Arial" w:hAnsi="Arial" w:cs="Arial"/>
        </w:rPr>
        <w:footnoteReference w:id="18"/>
      </w:r>
      <w:r>
        <w:rPr>
          <w:rFonts w:ascii="Arial" w:hAnsi="Arial" w:cs="Arial"/>
        </w:rPr>
        <w:t>, the widest possible protection and assistance accorded to the family</w:t>
      </w:r>
      <w:r>
        <w:rPr>
          <w:rStyle w:val="FootnoteReference"/>
          <w:rFonts w:ascii="Arial" w:hAnsi="Arial" w:cs="Arial"/>
        </w:rPr>
        <w:footnoteReference w:id="19"/>
      </w:r>
      <w:r>
        <w:rPr>
          <w:rFonts w:ascii="Arial" w:hAnsi="Arial" w:cs="Arial"/>
        </w:rPr>
        <w:t xml:space="preserve">, and special measures of protection and assistance </w:t>
      </w:r>
      <w:r>
        <w:rPr>
          <w:rFonts w:ascii="Arial" w:hAnsi="Arial" w:cs="Arial"/>
        </w:rPr>
        <w:lastRenderedPageBreak/>
        <w:t>on behalf of all children, without discrimination for reasons of parentage or other conditions</w:t>
      </w:r>
      <w:r>
        <w:rPr>
          <w:rStyle w:val="FootnoteReference"/>
          <w:rFonts w:ascii="Arial" w:hAnsi="Arial" w:cs="Arial"/>
        </w:rPr>
        <w:footnoteReference w:id="20"/>
      </w:r>
      <w:r>
        <w:rPr>
          <w:rFonts w:ascii="Arial" w:hAnsi="Arial" w:cs="Arial"/>
        </w:rPr>
        <w:t>.</w:t>
      </w:r>
    </w:p>
    <w:p w:rsidR="002B41CB" w:rsidRDefault="002B41CB" w:rsidP="002B41CB">
      <w:pPr>
        <w:pStyle w:val="NoSpacing"/>
        <w:spacing w:line="360" w:lineRule="auto"/>
        <w:jc w:val="both"/>
        <w:rPr>
          <w:rFonts w:ascii="Arial" w:hAnsi="Arial" w:cs="Arial"/>
        </w:rPr>
      </w:pPr>
    </w:p>
    <w:p w:rsidR="00307068" w:rsidRPr="002B41CB" w:rsidRDefault="002B41CB" w:rsidP="002B41CB">
      <w:pPr>
        <w:ind w:left="720"/>
        <w:rPr>
          <w:rFonts w:ascii="Arial" w:hAnsi="Arial" w:cs="Arial"/>
          <w:i/>
        </w:rPr>
      </w:pPr>
      <w:r w:rsidRPr="002B41CB">
        <w:rPr>
          <w:rFonts w:ascii="Arial" w:hAnsi="Arial" w:cs="Arial"/>
          <w:i/>
        </w:rPr>
        <w:t xml:space="preserve">Clause 4 – legislative principles </w:t>
      </w:r>
    </w:p>
    <w:p w:rsidR="00B849C2" w:rsidRDefault="00803D3E" w:rsidP="0074590D">
      <w:pPr>
        <w:pStyle w:val="NoSpacing"/>
        <w:numPr>
          <w:ilvl w:val="0"/>
          <w:numId w:val="16"/>
        </w:numPr>
        <w:spacing w:line="360" w:lineRule="auto"/>
        <w:jc w:val="both"/>
        <w:rPr>
          <w:rFonts w:ascii="Arial" w:hAnsi="Arial" w:cs="Arial"/>
        </w:rPr>
      </w:pPr>
      <w:r>
        <w:rPr>
          <w:rFonts w:ascii="Arial" w:hAnsi="Arial" w:cs="Arial"/>
        </w:rPr>
        <w:t xml:space="preserve">Clause 4 of the Bill goes on to set out the principles that </w:t>
      </w:r>
      <w:r w:rsidR="00B849C2">
        <w:rPr>
          <w:rFonts w:ascii="Arial" w:hAnsi="Arial" w:cs="Arial"/>
        </w:rPr>
        <w:t xml:space="preserve">a person must have regard to when </w:t>
      </w:r>
      <w:r w:rsidR="00B849C2" w:rsidRPr="00B849C2">
        <w:rPr>
          <w:rFonts w:ascii="Arial" w:hAnsi="Arial" w:cs="Arial"/>
        </w:rPr>
        <w:t>exercising a function under the Act</w:t>
      </w:r>
      <w:r w:rsidR="00B849C2">
        <w:rPr>
          <w:rFonts w:ascii="Arial" w:hAnsi="Arial" w:cs="Arial"/>
        </w:rPr>
        <w:t xml:space="preserve">. This is identical to the incumbent s 1B, but for an additional “investment approach” principle regarding the provision of additional assistance, support and services for people who have been identified as being at risk of long-term welfare dependency. </w:t>
      </w:r>
    </w:p>
    <w:p w:rsidR="00B849C2" w:rsidRDefault="00B849C2" w:rsidP="002A32DF">
      <w:pPr>
        <w:pStyle w:val="ListParagraph"/>
        <w:jc w:val="both"/>
        <w:rPr>
          <w:rFonts w:ascii="Arial" w:hAnsi="Arial" w:cs="Arial"/>
        </w:rPr>
      </w:pPr>
    </w:p>
    <w:p w:rsidR="00307068" w:rsidRPr="00B849C2" w:rsidRDefault="00B849C2" w:rsidP="0074590D">
      <w:pPr>
        <w:pStyle w:val="NoSpacing"/>
        <w:numPr>
          <w:ilvl w:val="0"/>
          <w:numId w:val="16"/>
        </w:numPr>
        <w:spacing w:line="360" w:lineRule="auto"/>
        <w:jc w:val="both"/>
        <w:rPr>
          <w:rFonts w:ascii="Arial" w:hAnsi="Arial" w:cs="Arial"/>
        </w:rPr>
      </w:pPr>
      <w:r>
        <w:rPr>
          <w:rFonts w:ascii="Arial" w:hAnsi="Arial" w:cs="Arial"/>
        </w:rPr>
        <w:t>Clause 4 is particularly significant as it governs</w:t>
      </w:r>
      <w:r w:rsidR="00B2690B">
        <w:rPr>
          <w:rFonts w:ascii="Arial" w:hAnsi="Arial" w:cs="Arial"/>
        </w:rPr>
        <w:t xml:space="preserve"> the</w:t>
      </w:r>
      <w:r>
        <w:rPr>
          <w:rFonts w:ascii="Arial" w:hAnsi="Arial" w:cs="Arial"/>
        </w:rPr>
        <w:t xml:space="preserve"> </w:t>
      </w:r>
      <w:r w:rsidR="00B2690B">
        <w:rPr>
          <w:rFonts w:ascii="Arial" w:hAnsi="Arial" w:cs="Arial"/>
        </w:rPr>
        <w:t xml:space="preserve">operation of the Act, through the mandatory application of its principles in decision-making by MSD officials, Work and Income case managers and case officers, and other persons with statutory functions. However, clause 4 does not provide for any express obligation upon those decision-makers to take into account human rights principles in the course of exercising </w:t>
      </w:r>
      <w:r w:rsidR="00E37EA1">
        <w:rPr>
          <w:rFonts w:ascii="Arial" w:hAnsi="Arial" w:cs="Arial"/>
        </w:rPr>
        <w:t>their legislative functions.</w:t>
      </w:r>
    </w:p>
    <w:p w:rsidR="003A3CEA" w:rsidRPr="00DE29E2" w:rsidRDefault="003A3CEA" w:rsidP="002A32DF">
      <w:pPr>
        <w:pStyle w:val="NoSpacing"/>
        <w:spacing w:line="360" w:lineRule="auto"/>
        <w:jc w:val="both"/>
        <w:rPr>
          <w:rFonts w:ascii="Arial" w:hAnsi="Arial" w:cs="Arial"/>
        </w:rPr>
      </w:pPr>
    </w:p>
    <w:p w:rsidR="00E37EA1" w:rsidRDefault="002A32DF" w:rsidP="0074590D">
      <w:pPr>
        <w:pStyle w:val="NoSpacing"/>
        <w:numPr>
          <w:ilvl w:val="0"/>
          <w:numId w:val="16"/>
        </w:numPr>
        <w:spacing w:line="360" w:lineRule="auto"/>
        <w:jc w:val="both"/>
        <w:rPr>
          <w:rFonts w:ascii="Arial" w:hAnsi="Arial" w:cs="Arial"/>
        </w:rPr>
      </w:pPr>
      <w:r>
        <w:rPr>
          <w:rFonts w:ascii="Arial" w:hAnsi="Arial" w:cs="Arial"/>
        </w:rPr>
        <w:t xml:space="preserve">Such obligations include </w:t>
      </w:r>
      <w:r w:rsidR="00E37EA1" w:rsidRPr="00E37EA1">
        <w:rPr>
          <w:rFonts w:ascii="Arial" w:hAnsi="Arial" w:cs="Arial"/>
        </w:rPr>
        <w:t xml:space="preserve">an obligation on the State to ensure that the best interests of the child are taken into account </w:t>
      </w:r>
      <w:r>
        <w:rPr>
          <w:rFonts w:ascii="Arial" w:hAnsi="Arial" w:cs="Arial"/>
        </w:rPr>
        <w:t xml:space="preserve">as a primary consideration </w:t>
      </w:r>
      <w:r w:rsidR="00E37EA1" w:rsidRPr="00E37EA1">
        <w:rPr>
          <w:rFonts w:ascii="Arial" w:hAnsi="Arial" w:cs="Arial"/>
        </w:rPr>
        <w:t>in decision-making processes that affect them</w:t>
      </w:r>
      <w:r>
        <w:rPr>
          <w:rStyle w:val="FootnoteReference"/>
          <w:rFonts w:ascii="Arial" w:hAnsi="Arial" w:cs="Arial"/>
        </w:rPr>
        <w:footnoteReference w:id="21"/>
      </w:r>
      <w:r>
        <w:rPr>
          <w:rFonts w:ascii="Arial" w:hAnsi="Arial" w:cs="Arial"/>
        </w:rPr>
        <w:t xml:space="preserve">. </w:t>
      </w:r>
      <w:r w:rsidR="0056378C">
        <w:rPr>
          <w:rFonts w:ascii="Arial" w:hAnsi="Arial" w:cs="Arial"/>
        </w:rPr>
        <w:t xml:space="preserve">This includes the operation of the </w:t>
      </w:r>
      <w:r w:rsidR="00981392">
        <w:rPr>
          <w:rFonts w:ascii="Arial" w:hAnsi="Arial" w:cs="Arial"/>
        </w:rPr>
        <w:t>reform</w:t>
      </w:r>
      <w:r w:rsidR="0056378C">
        <w:rPr>
          <w:rFonts w:ascii="Arial" w:hAnsi="Arial" w:cs="Arial"/>
        </w:rPr>
        <w:t>s</w:t>
      </w:r>
      <w:r w:rsidR="00981392">
        <w:rPr>
          <w:rFonts w:ascii="Arial" w:hAnsi="Arial" w:cs="Arial"/>
        </w:rPr>
        <w:t xml:space="preserve"> to the Act’s s</w:t>
      </w:r>
      <w:r w:rsidR="0056378C">
        <w:rPr>
          <w:rFonts w:ascii="Arial" w:hAnsi="Arial" w:cs="Arial"/>
        </w:rPr>
        <w:t xml:space="preserve">anctions regime </w:t>
      </w:r>
      <w:r w:rsidR="00981392">
        <w:rPr>
          <w:rFonts w:ascii="Arial" w:hAnsi="Arial" w:cs="Arial"/>
        </w:rPr>
        <w:t xml:space="preserve">introduced </w:t>
      </w:r>
      <w:r w:rsidR="0056378C">
        <w:rPr>
          <w:rFonts w:ascii="Arial" w:hAnsi="Arial" w:cs="Arial"/>
        </w:rPr>
        <w:t>by the Social Security</w:t>
      </w:r>
      <w:r w:rsidR="00981392">
        <w:rPr>
          <w:rFonts w:ascii="Arial" w:hAnsi="Arial" w:cs="Arial"/>
        </w:rPr>
        <w:t xml:space="preserve"> Amendment Act 2012, insofar as </w:t>
      </w:r>
      <w:r w:rsidR="00BF30CB">
        <w:rPr>
          <w:rFonts w:ascii="Arial" w:hAnsi="Arial" w:cs="Arial"/>
        </w:rPr>
        <w:t>they</w:t>
      </w:r>
      <w:r w:rsidR="00981392">
        <w:rPr>
          <w:rFonts w:ascii="Arial" w:hAnsi="Arial" w:cs="Arial"/>
        </w:rPr>
        <w:t xml:space="preserve"> appl</w:t>
      </w:r>
      <w:r w:rsidR="00BF30CB">
        <w:rPr>
          <w:rFonts w:ascii="Arial" w:hAnsi="Arial" w:cs="Arial"/>
        </w:rPr>
        <w:t>y</w:t>
      </w:r>
      <w:r w:rsidR="00981392">
        <w:rPr>
          <w:rFonts w:ascii="Arial" w:hAnsi="Arial" w:cs="Arial"/>
        </w:rPr>
        <w:t xml:space="preserve"> to beneficiary parents and caregivers of dependent children.</w:t>
      </w:r>
      <w:r w:rsidR="00981392">
        <w:rPr>
          <w:rStyle w:val="FootnoteReference"/>
          <w:rFonts w:ascii="Arial" w:hAnsi="Arial" w:cs="Arial"/>
        </w:rPr>
        <w:footnoteReference w:id="22"/>
      </w:r>
    </w:p>
    <w:p w:rsidR="00152A86" w:rsidRPr="00152A86" w:rsidRDefault="00152A86" w:rsidP="00152A86">
      <w:pPr>
        <w:pStyle w:val="NoSpacing"/>
        <w:spacing w:line="360" w:lineRule="auto"/>
        <w:jc w:val="both"/>
        <w:rPr>
          <w:rFonts w:ascii="Arial" w:hAnsi="Arial" w:cs="Arial"/>
        </w:rPr>
      </w:pPr>
    </w:p>
    <w:p w:rsidR="00483DF7" w:rsidRDefault="00152A86" w:rsidP="0074590D">
      <w:pPr>
        <w:pStyle w:val="NoSpacing"/>
        <w:numPr>
          <w:ilvl w:val="0"/>
          <w:numId w:val="16"/>
        </w:numPr>
        <w:spacing w:line="360" w:lineRule="auto"/>
        <w:jc w:val="both"/>
        <w:rPr>
          <w:rFonts w:ascii="Arial" w:hAnsi="Arial" w:cs="Arial"/>
        </w:rPr>
      </w:pPr>
      <w:r>
        <w:rPr>
          <w:rFonts w:ascii="Arial" w:hAnsi="Arial" w:cs="Arial"/>
        </w:rPr>
        <w:t xml:space="preserve">The </w:t>
      </w:r>
      <w:r w:rsidR="00E37EA1" w:rsidRPr="00E37EA1">
        <w:rPr>
          <w:rFonts w:ascii="Arial" w:hAnsi="Arial" w:cs="Arial"/>
        </w:rPr>
        <w:t xml:space="preserve">Expert Advisory Group on Solutions to Child Poverty (“EAG”) </w:t>
      </w:r>
      <w:r>
        <w:rPr>
          <w:rFonts w:ascii="Arial" w:hAnsi="Arial" w:cs="Arial"/>
        </w:rPr>
        <w:t xml:space="preserve">recognised that the social security policy must be implemented in a manner consistent with the welfare and best interests of the child, if child poverty is to be effectively alleviated in New Zealand. The EAG </w:t>
      </w:r>
      <w:r w:rsidR="00E37EA1" w:rsidRPr="00E37EA1">
        <w:rPr>
          <w:rFonts w:ascii="Arial" w:hAnsi="Arial" w:cs="Arial"/>
        </w:rPr>
        <w:t xml:space="preserve">considered that it was imperative that New Zealand’s social security legislation ensured that the best interests of the child were applied in all decision-making procedures that impacted upon the household income of beneficiary households with children. </w:t>
      </w:r>
    </w:p>
    <w:p w:rsidR="00483DF7" w:rsidRDefault="00483DF7" w:rsidP="00483DF7">
      <w:pPr>
        <w:pStyle w:val="ListParagraph"/>
        <w:rPr>
          <w:rFonts w:ascii="Arial" w:hAnsi="Arial" w:cs="Arial"/>
        </w:rPr>
      </w:pPr>
    </w:p>
    <w:p w:rsidR="00152A86" w:rsidRDefault="00E37EA1" w:rsidP="0074590D">
      <w:pPr>
        <w:pStyle w:val="NoSpacing"/>
        <w:numPr>
          <w:ilvl w:val="0"/>
          <w:numId w:val="16"/>
        </w:numPr>
        <w:spacing w:line="360" w:lineRule="auto"/>
        <w:jc w:val="both"/>
        <w:rPr>
          <w:rFonts w:ascii="Arial" w:hAnsi="Arial" w:cs="Arial"/>
        </w:rPr>
      </w:pPr>
      <w:r w:rsidRPr="00E37EA1">
        <w:rPr>
          <w:rFonts w:ascii="Arial" w:hAnsi="Arial" w:cs="Arial"/>
        </w:rPr>
        <w:t xml:space="preserve">The EAG </w:t>
      </w:r>
      <w:r w:rsidR="00152A86">
        <w:rPr>
          <w:rFonts w:ascii="Arial" w:hAnsi="Arial" w:cs="Arial"/>
        </w:rPr>
        <w:t xml:space="preserve">accordingly </w:t>
      </w:r>
      <w:r w:rsidRPr="00E37EA1">
        <w:rPr>
          <w:rFonts w:ascii="Arial" w:hAnsi="Arial" w:cs="Arial"/>
        </w:rPr>
        <w:t>recommended that section 1B of the Social Security Act be amended to include a requirement that all persons carrying out functions under the Act give primary consideration to the best inter</w:t>
      </w:r>
      <w:r w:rsidR="00CB77A6">
        <w:rPr>
          <w:rFonts w:ascii="Arial" w:hAnsi="Arial" w:cs="Arial"/>
        </w:rPr>
        <w:t>ests of the child when doing so</w:t>
      </w:r>
      <w:r w:rsidRPr="00E37EA1">
        <w:rPr>
          <w:rFonts w:ascii="Arial" w:hAnsi="Arial" w:cs="Arial"/>
          <w:vertAlign w:val="superscript"/>
        </w:rPr>
        <w:footnoteReference w:id="23"/>
      </w:r>
      <w:r w:rsidR="00CB77A6">
        <w:rPr>
          <w:rFonts w:ascii="Arial" w:hAnsi="Arial" w:cs="Arial"/>
        </w:rPr>
        <w:t>, a position supported by the Commission in previous submissions to this Committee.</w:t>
      </w:r>
      <w:r w:rsidRPr="00E37EA1">
        <w:rPr>
          <w:rFonts w:ascii="Arial" w:hAnsi="Arial" w:cs="Arial"/>
        </w:rPr>
        <w:t xml:space="preserve"> </w:t>
      </w:r>
    </w:p>
    <w:p w:rsidR="002B41CB" w:rsidRPr="00483DF7" w:rsidRDefault="002B41CB" w:rsidP="002B41CB">
      <w:pPr>
        <w:pStyle w:val="NoSpacing"/>
        <w:spacing w:line="360" w:lineRule="auto"/>
        <w:jc w:val="both"/>
        <w:rPr>
          <w:rFonts w:ascii="Arial" w:hAnsi="Arial" w:cs="Arial"/>
        </w:rPr>
      </w:pPr>
    </w:p>
    <w:p w:rsidR="00BF30CB" w:rsidRPr="002B41CB" w:rsidRDefault="002B41CB" w:rsidP="002B41CB">
      <w:pPr>
        <w:ind w:left="720"/>
        <w:rPr>
          <w:rFonts w:ascii="Arial" w:hAnsi="Arial" w:cs="Arial"/>
          <w:i/>
        </w:rPr>
      </w:pPr>
      <w:r w:rsidRPr="002B41CB">
        <w:rPr>
          <w:rFonts w:ascii="Arial" w:hAnsi="Arial" w:cs="Arial"/>
          <w:i/>
        </w:rPr>
        <w:t>Predictive risk modelling</w:t>
      </w:r>
    </w:p>
    <w:p w:rsidR="00BF30CB" w:rsidRDefault="00BF30CB" w:rsidP="0074590D">
      <w:pPr>
        <w:pStyle w:val="ListParagraph"/>
        <w:numPr>
          <w:ilvl w:val="0"/>
          <w:numId w:val="16"/>
        </w:numPr>
        <w:spacing w:line="360" w:lineRule="auto"/>
        <w:jc w:val="both"/>
        <w:rPr>
          <w:rFonts w:ascii="Arial" w:hAnsi="Arial" w:cs="Arial"/>
        </w:rPr>
      </w:pPr>
      <w:r w:rsidRPr="00BF30CB">
        <w:rPr>
          <w:rFonts w:ascii="Arial" w:hAnsi="Arial" w:cs="Arial"/>
        </w:rPr>
        <w:t>Furthermore, the human rights implications of social security policy extend</w:t>
      </w:r>
      <w:r w:rsidR="00326F54">
        <w:rPr>
          <w:rFonts w:ascii="Arial" w:hAnsi="Arial" w:cs="Arial"/>
        </w:rPr>
        <w:t xml:space="preserve"> beyond income-related economic and social rights. </w:t>
      </w:r>
      <w:r w:rsidR="00483DF7">
        <w:rPr>
          <w:rFonts w:ascii="Arial" w:hAnsi="Arial" w:cs="Arial"/>
        </w:rPr>
        <w:t xml:space="preserve">Evolving technology is leading to the introduction of new information-based service delivery mechanisms, such as </w:t>
      </w:r>
      <w:r w:rsidR="00EE636D">
        <w:rPr>
          <w:rFonts w:ascii="Arial" w:hAnsi="Arial" w:cs="Arial"/>
        </w:rPr>
        <w:t>predictive risk modelling</w:t>
      </w:r>
      <w:r w:rsidR="00483DF7">
        <w:rPr>
          <w:rFonts w:ascii="Arial" w:hAnsi="Arial" w:cs="Arial"/>
        </w:rPr>
        <w:t>,</w:t>
      </w:r>
      <w:r w:rsidR="00EE636D">
        <w:rPr>
          <w:rFonts w:ascii="Arial" w:hAnsi="Arial" w:cs="Arial"/>
        </w:rPr>
        <w:t xml:space="preserve"> in the social </w:t>
      </w:r>
      <w:r w:rsidR="00483DF7">
        <w:rPr>
          <w:rFonts w:ascii="Arial" w:hAnsi="Arial" w:cs="Arial"/>
        </w:rPr>
        <w:t xml:space="preserve">sector. </w:t>
      </w:r>
      <w:r w:rsidR="00A6449D">
        <w:rPr>
          <w:rFonts w:ascii="Arial" w:hAnsi="Arial" w:cs="Arial"/>
        </w:rPr>
        <w:t xml:space="preserve">For example, </w:t>
      </w:r>
      <w:r w:rsidR="00DD6B55">
        <w:rPr>
          <w:rFonts w:ascii="Arial" w:hAnsi="Arial" w:cs="Arial"/>
        </w:rPr>
        <w:t>t</w:t>
      </w:r>
      <w:r w:rsidR="00483DF7">
        <w:rPr>
          <w:rFonts w:ascii="Arial" w:hAnsi="Arial" w:cs="Arial"/>
        </w:rPr>
        <w:t xml:space="preserve">he </w:t>
      </w:r>
      <w:r w:rsidR="00B033B3">
        <w:rPr>
          <w:rFonts w:ascii="Arial" w:hAnsi="Arial" w:cs="Arial"/>
        </w:rPr>
        <w:t xml:space="preserve">draft Approved Information Sharing Agreement (AISA) </w:t>
      </w:r>
      <w:r w:rsidR="00483DF7">
        <w:rPr>
          <w:rFonts w:ascii="Arial" w:hAnsi="Arial" w:cs="Arial"/>
        </w:rPr>
        <w:t>released by MSD for public consultation earlier this year seeks</w:t>
      </w:r>
      <w:r w:rsidR="00B033B3" w:rsidRPr="00B033B3">
        <w:rPr>
          <w:rFonts w:ascii="Arial" w:hAnsi="Arial" w:cs="Arial"/>
        </w:rPr>
        <w:t xml:space="preserve"> to enable the use of predict</w:t>
      </w:r>
      <w:r w:rsidR="00A6449D">
        <w:rPr>
          <w:rFonts w:ascii="Arial" w:hAnsi="Arial" w:cs="Arial"/>
        </w:rPr>
        <w:t xml:space="preserve">ive risk modelling </w:t>
      </w:r>
      <w:r w:rsidR="00B033B3" w:rsidRPr="00B033B3">
        <w:rPr>
          <w:rFonts w:ascii="Arial" w:hAnsi="Arial" w:cs="Arial"/>
        </w:rPr>
        <w:t>te</w:t>
      </w:r>
      <w:r w:rsidR="00483DF7">
        <w:rPr>
          <w:rFonts w:ascii="Arial" w:hAnsi="Arial" w:cs="Arial"/>
        </w:rPr>
        <w:t xml:space="preserve">chniques designed to underpin the expanded Youth Service programme </w:t>
      </w:r>
      <w:r w:rsidR="00483DF7">
        <w:rPr>
          <w:rStyle w:val="FootnoteReference"/>
          <w:rFonts w:ascii="Arial" w:hAnsi="Arial" w:cs="Arial"/>
        </w:rPr>
        <w:footnoteReference w:id="24"/>
      </w:r>
      <w:r w:rsidR="00483DF7">
        <w:rPr>
          <w:rFonts w:ascii="Arial" w:hAnsi="Arial" w:cs="Arial"/>
        </w:rPr>
        <w:t>.</w:t>
      </w:r>
    </w:p>
    <w:p w:rsidR="00B033B3" w:rsidRPr="00B033B3" w:rsidRDefault="00B033B3" w:rsidP="00B033B3">
      <w:pPr>
        <w:pStyle w:val="ListParagraph"/>
        <w:rPr>
          <w:rFonts w:ascii="Arial" w:hAnsi="Arial" w:cs="Arial"/>
        </w:rPr>
      </w:pPr>
    </w:p>
    <w:p w:rsidR="00744EC0" w:rsidRDefault="00EE636D" w:rsidP="0074590D">
      <w:pPr>
        <w:pStyle w:val="ListParagraph"/>
        <w:numPr>
          <w:ilvl w:val="0"/>
          <w:numId w:val="16"/>
        </w:numPr>
        <w:spacing w:line="360" w:lineRule="auto"/>
        <w:jc w:val="both"/>
        <w:rPr>
          <w:rFonts w:ascii="Arial" w:hAnsi="Arial" w:cs="Arial"/>
        </w:rPr>
      </w:pPr>
      <w:r>
        <w:rPr>
          <w:rFonts w:ascii="Arial" w:hAnsi="Arial" w:cs="Arial"/>
        </w:rPr>
        <w:t xml:space="preserve">The </w:t>
      </w:r>
      <w:r w:rsidR="00AE0311">
        <w:rPr>
          <w:rFonts w:ascii="Arial" w:hAnsi="Arial" w:cs="Arial"/>
        </w:rPr>
        <w:t>use of AISAs</w:t>
      </w:r>
      <w:r w:rsidR="00A6449D">
        <w:rPr>
          <w:rFonts w:ascii="Arial" w:hAnsi="Arial" w:cs="Arial"/>
        </w:rPr>
        <w:t xml:space="preserve"> (which override the standard protections set out in the Information Privacy Principles of the Privacy Act)</w:t>
      </w:r>
      <w:r w:rsidR="00AE0311">
        <w:rPr>
          <w:rFonts w:ascii="Arial" w:hAnsi="Arial" w:cs="Arial"/>
        </w:rPr>
        <w:t xml:space="preserve"> to enable </w:t>
      </w:r>
      <w:r w:rsidR="00A6449D">
        <w:rPr>
          <w:rFonts w:ascii="Arial" w:hAnsi="Arial" w:cs="Arial"/>
        </w:rPr>
        <w:t xml:space="preserve">predictive risk modelling in </w:t>
      </w:r>
      <w:r w:rsidR="00AE0311">
        <w:rPr>
          <w:rFonts w:ascii="Arial" w:hAnsi="Arial" w:cs="Arial"/>
        </w:rPr>
        <w:t>the social security sector raises human rights considerations regarding both the right to privacy a</w:t>
      </w:r>
      <w:r>
        <w:rPr>
          <w:rFonts w:ascii="Arial" w:hAnsi="Arial" w:cs="Arial"/>
        </w:rPr>
        <w:t>nd the right to social security. UN treaty bodies have held that:</w:t>
      </w:r>
    </w:p>
    <w:p w:rsidR="00AE0311" w:rsidRPr="00744EC0" w:rsidRDefault="00AE0311" w:rsidP="00AE0311">
      <w:pPr>
        <w:pStyle w:val="ListParagraph"/>
        <w:spacing w:line="360" w:lineRule="auto"/>
        <w:jc w:val="both"/>
        <w:rPr>
          <w:rFonts w:ascii="Arial" w:hAnsi="Arial" w:cs="Arial"/>
        </w:rPr>
      </w:pPr>
    </w:p>
    <w:p w:rsidR="00744EC0" w:rsidRPr="00EE636D" w:rsidRDefault="00EE636D" w:rsidP="00EE636D">
      <w:pPr>
        <w:pStyle w:val="ListParagraph"/>
        <w:numPr>
          <w:ilvl w:val="0"/>
          <w:numId w:val="24"/>
        </w:numPr>
        <w:spacing w:line="360" w:lineRule="auto"/>
        <w:jc w:val="both"/>
        <w:rPr>
          <w:rFonts w:ascii="Arial" w:hAnsi="Arial" w:cs="Arial"/>
        </w:rPr>
      </w:pPr>
      <w:r>
        <w:rPr>
          <w:rFonts w:ascii="Arial" w:hAnsi="Arial" w:cs="Arial"/>
        </w:rPr>
        <w:t>I</w:t>
      </w:r>
      <w:r w:rsidR="00744EC0" w:rsidRPr="00EE636D">
        <w:rPr>
          <w:rFonts w:ascii="Arial" w:hAnsi="Arial" w:cs="Arial"/>
        </w:rPr>
        <w:t>ndividuals have the right to ascertain what information is being held by public authorities, for what purpose, and have the right to correct or eliminate incorrect information held by those authorities</w:t>
      </w:r>
      <w:r>
        <w:rPr>
          <w:rFonts w:ascii="Arial" w:hAnsi="Arial" w:cs="Arial"/>
        </w:rPr>
        <w:t>.</w:t>
      </w:r>
      <w:r>
        <w:rPr>
          <w:rStyle w:val="FootnoteReference"/>
          <w:rFonts w:ascii="Arial" w:hAnsi="Arial" w:cs="Arial"/>
        </w:rPr>
        <w:footnoteReference w:id="25"/>
      </w:r>
      <w:r>
        <w:rPr>
          <w:rFonts w:ascii="Arial" w:hAnsi="Arial" w:cs="Arial"/>
        </w:rPr>
        <w:t xml:space="preserve"> </w:t>
      </w:r>
    </w:p>
    <w:p w:rsidR="00744EC0" w:rsidRDefault="00EE636D" w:rsidP="00EE636D">
      <w:pPr>
        <w:pStyle w:val="ListParagraph"/>
        <w:numPr>
          <w:ilvl w:val="0"/>
          <w:numId w:val="24"/>
        </w:numPr>
        <w:spacing w:line="360" w:lineRule="auto"/>
        <w:jc w:val="both"/>
        <w:rPr>
          <w:rFonts w:ascii="Arial" w:hAnsi="Arial" w:cs="Arial"/>
        </w:rPr>
      </w:pPr>
      <w:r>
        <w:rPr>
          <w:rFonts w:ascii="Arial" w:hAnsi="Arial" w:cs="Arial"/>
        </w:rPr>
        <w:t xml:space="preserve">Qualifying criteria must be </w:t>
      </w:r>
      <w:r w:rsidR="00744EC0" w:rsidRPr="00744EC0">
        <w:rPr>
          <w:rFonts w:ascii="Arial" w:hAnsi="Arial" w:cs="Arial"/>
        </w:rPr>
        <w:t>reasonable</w:t>
      </w:r>
      <w:r>
        <w:rPr>
          <w:rFonts w:ascii="Arial" w:hAnsi="Arial" w:cs="Arial"/>
        </w:rPr>
        <w:t>, proportionate and transparent</w:t>
      </w:r>
      <w:r w:rsidR="00A6449D">
        <w:rPr>
          <w:rFonts w:ascii="Arial" w:hAnsi="Arial" w:cs="Arial"/>
        </w:rPr>
        <w:t>.</w:t>
      </w:r>
      <w:r>
        <w:rPr>
          <w:rStyle w:val="FootnoteReference"/>
          <w:rFonts w:ascii="Arial" w:hAnsi="Arial" w:cs="Arial"/>
        </w:rPr>
        <w:footnoteReference w:id="26"/>
      </w:r>
      <w:r>
        <w:rPr>
          <w:rFonts w:ascii="Arial" w:hAnsi="Arial" w:cs="Arial"/>
        </w:rPr>
        <w:t xml:space="preserve"> </w:t>
      </w:r>
    </w:p>
    <w:p w:rsidR="00EE636D" w:rsidRPr="00744EC0" w:rsidRDefault="00EE636D" w:rsidP="00EE636D">
      <w:pPr>
        <w:pStyle w:val="ListParagraph"/>
        <w:spacing w:line="360" w:lineRule="auto"/>
        <w:jc w:val="both"/>
        <w:rPr>
          <w:rFonts w:ascii="Arial" w:hAnsi="Arial" w:cs="Arial"/>
        </w:rPr>
      </w:pPr>
    </w:p>
    <w:p w:rsidR="00A6449D" w:rsidRDefault="00A6449D" w:rsidP="0074590D">
      <w:pPr>
        <w:pStyle w:val="ListParagraph"/>
        <w:numPr>
          <w:ilvl w:val="0"/>
          <w:numId w:val="16"/>
        </w:numPr>
        <w:spacing w:line="360" w:lineRule="auto"/>
        <w:jc w:val="both"/>
        <w:rPr>
          <w:rFonts w:ascii="Arial" w:hAnsi="Arial" w:cs="Arial"/>
        </w:rPr>
      </w:pPr>
      <w:r>
        <w:rPr>
          <w:rFonts w:ascii="Arial" w:hAnsi="Arial" w:cs="Arial"/>
        </w:rPr>
        <w:t xml:space="preserve">In addition to its human rights implications, predictive risk modelling raises important </w:t>
      </w:r>
      <w:r w:rsidRPr="00A6449D">
        <w:rPr>
          <w:rFonts w:ascii="Arial" w:hAnsi="Arial" w:cs="Arial"/>
        </w:rPr>
        <w:t>ethical conside</w:t>
      </w:r>
      <w:r>
        <w:rPr>
          <w:rFonts w:ascii="Arial" w:hAnsi="Arial" w:cs="Arial"/>
        </w:rPr>
        <w:t>rations in terms of its implementation and use</w:t>
      </w:r>
      <w:r w:rsidRPr="00A6449D">
        <w:rPr>
          <w:rFonts w:ascii="Arial" w:hAnsi="Arial" w:cs="Arial"/>
          <w:vertAlign w:val="superscript"/>
        </w:rPr>
        <w:footnoteReference w:id="27"/>
      </w:r>
      <w:r w:rsidRPr="00A6449D">
        <w:rPr>
          <w:rFonts w:ascii="Arial" w:hAnsi="Arial" w:cs="Arial"/>
        </w:rPr>
        <w:t xml:space="preserve">. </w:t>
      </w:r>
      <w:r>
        <w:rPr>
          <w:rFonts w:ascii="Arial" w:hAnsi="Arial" w:cs="Arial"/>
        </w:rPr>
        <w:t xml:space="preserve">In </w:t>
      </w:r>
      <w:r w:rsidR="00EE636D">
        <w:rPr>
          <w:rFonts w:ascii="Arial" w:hAnsi="Arial" w:cs="Arial"/>
        </w:rPr>
        <w:t>the case of the</w:t>
      </w:r>
      <w:r w:rsidR="00744EC0" w:rsidRPr="00EE636D">
        <w:rPr>
          <w:rFonts w:ascii="Arial" w:hAnsi="Arial" w:cs="Arial"/>
        </w:rPr>
        <w:t xml:space="preserve"> draft</w:t>
      </w:r>
      <w:r w:rsidR="00EE636D">
        <w:rPr>
          <w:rFonts w:ascii="Arial" w:hAnsi="Arial" w:cs="Arial"/>
        </w:rPr>
        <w:t xml:space="preserve"> </w:t>
      </w:r>
      <w:r w:rsidR="00EE636D">
        <w:rPr>
          <w:rFonts w:ascii="Arial" w:hAnsi="Arial" w:cs="Arial"/>
        </w:rPr>
        <w:lastRenderedPageBreak/>
        <w:t>Youth Services</w:t>
      </w:r>
      <w:r w:rsidR="00744EC0" w:rsidRPr="00EE636D">
        <w:rPr>
          <w:rFonts w:ascii="Arial" w:hAnsi="Arial" w:cs="Arial"/>
        </w:rPr>
        <w:t xml:space="preserve"> AISA</w:t>
      </w:r>
      <w:r>
        <w:rPr>
          <w:rFonts w:ascii="Arial" w:hAnsi="Arial" w:cs="Arial"/>
        </w:rPr>
        <w:t xml:space="preserve">, there was no indication as to </w:t>
      </w:r>
      <w:r w:rsidR="00744EC0" w:rsidRPr="00A6449D">
        <w:rPr>
          <w:rFonts w:ascii="Arial" w:hAnsi="Arial" w:cs="Arial"/>
        </w:rPr>
        <w:t xml:space="preserve">whether any ethical evaluation of </w:t>
      </w:r>
      <w:r>
        <w:rPr>
          <w:rFonts w:ascii="Arial" w:hAnsi="Arial" w:cs="Arial"/>
        </w:rPr>
        <w:t>the risk modelling mechanism would take</w:t>
      </w:r>
      <w:r w:rsidR="00744EC0" w:rsidRPr="00A6449D">
        <w:rPr>
          <w:rFonts w:ascii="Arial" w:hAnsi="Arial" w:cs="Arial"/>
        </w:rPr>
        <w:t xml:space="preserve"> place, </w:t>
      </w:r>
      <w:r>
        <w:rPr>
          <w:rFonts w:ascii="Arial" w:hAnsi="Arial" w:cs="Arial"/>
        </w:rPr>
        <w:t>nor was</w:t>
      </w:r>
      <w:r w:rsidR="00744EC0" w:rsidRPr="00A6449D">
        <w:rPr>
          <w:rFonts w:ascii="Arial" w:hAnsi="Arial" w:cs="Arial"/>
        </w:rPr>
        <w:t xml:space="preserve"> there any indication of whether an ethical framework will be developed to guide agencies in their assessment of risk</w:t>
      </w:r>
      <w:r>
        <w:rPr>
          <w:rFonts w:ascii="Arial" w:hAnsi="Arial" w:cs="Arial"/>
        </w:rPr>
        <w:t xml:space="preserve"> scores and subsequent responses</w:t>
      </w:r>
      <w:r w:rsidR="00F247E9">
        <w:rPr>
          <w:rStyle w:val="FootnoteReference"/>
          <w:rFonts w:ascii="Arial" w:hAnsi="Arial" w:cs="Arial"/>
        </w:rPr>
        <w:footnoteReference w:id="28"/>
      </w:r>
      <w:r w:rsidR="00744EC0" w:rsidRPr="00EE636D">
        <w:rPr>
          <w:rFonts w:ascii="Arial" w:hAnsi="Arial" w:cs="Arial"/>
        </w:rPr>
        <w:t xml:space="preserve">. </w:t>
      </w:r>
    </w:p>
    <w:p w:rsidR="00A6449D" w:rsidRDefault="00A6449D" w:rsidP="00A6449D">
      <w:pPr>
        <w:pStyle w:val="ListParagraph"/>
        <w:spacing w:line="360" w:lineRule="auto"/>
        <w:jc w:val="both"/>
        <w:rPr>
          <w:rFonts w:ascii="Arial" w:hAnsi="Arial" w:cs="Arial"/>
        </w:rPr>
      </w:pPr>
    </w:p>
    <w:p w:rsidR="009108BD" w:rsidRDefault="00F247E9" w:rsidP="0074590D">
      <w:pPr>
        <w:pStyle w:val="ListParagraph"/>
        <w:numPr>
          <w:ilvl w:val="0"/>
          <w:numId w:val="16"/>
        </w:numPr>
        <w:spacing w:line="360" w:lineRule="auto"/>
        <w:jc w:val="both"/>
        <w:rPr>
          <w:rFonts w:ascii="Arial" w:hAnsi="Arial" w:cs="Arial"/>
        </w:rPr>
      </w:pPr>
      <w:r>
        <w:rPr>
          <w:rFonts w:ascii="Arial" w:hAnsi="Arial" w:cs="Arial"/>
        </w:rPr>
        <w:t xml:space="preserve">The Commission </w:t>
      </w:r>
      <w:r w:rsidR="00744EC0" w:rsidRPr="00EE636D">
        <w:rPr>
          <w:rFonts w:ascii="Arial" w:hAnsi="Arial" w:cs="Arial"/>
        </w:rPr>
        <w:t>not</w:t>
      </w:r>
      <w:r w:rsidR="00A6449D">
        <w:rPr>
          <w:rFonts w:ascii="Arial" w:hAnsi="Arial" w:cs="Arial"/>
        </w:rPr>
        <w:t>e</w:t>
      </w:r>
      <w:r>
        <w:rPr>
          <w:rFonts w:ascii="Arial" w:hAnsi="Arial" w:cs="Arial"/>
        </w:rPr>
        <w:t>s</w:t>
      </w:r>
      <w:r w:rsidR="00A6449D">
        <w:rPr>
          <w:rFonts w:ascii="Arial" w:hAnsi="Arial" w:cs="Arial"/>
        </w:rPr>
        <w:t xml:space="preserve"> that MSD has</w:t>
      </w:r>
      <w:r>
        <w:rPr>
          <w:rFonts w:ascii="Arial" w:hAnsi="Arial" w:cs="Arial"/>
        </w:rPr>
        <w:t xml:space="preserve"> recently</w:t>
      </w:r>
      <w:r w:rsidR="00A6449D">
        <w:rPr>
          <w:rFonts w:ascii="Arial" w:hAnsi="Arial" w:cs="Arial"/>
        </w:rPr>
        <w:t xml:space="preserve"> </w:t>
      </w:r>
      <w:r>
        <w:rPr>
          <w:rFonts w:ascii="Arial" w:hAnsi="Arial" w:cs="Arial"/>
        </w:rPr>
        <w:t>stated in its response to the List of Issues prepared by the UN Committee on the Rights of the Child for the Government’s upcoming 5</w:t>
      </w:r>
      <w:r w:rsidRPr="00F247E9">
        <w:rPr>
          <w:rFonts w:ascii="Arial" w:hAnsi="Arial" w:cs="Arial"/>
          <w:vertAlign w:val="superscript"/>
        </w:rPr>
        <w:t>th</w:t>
      </w:r>
      <w:r>
        <w:rPr>
          <w:rFonts w:ascii="Arial" w:hAnsi="Arial" w:cs="Arial"/>
        </w:rPr>
        <w:t xml:space="preserve"> periodic UNCROC review, that it is </w:t>
      </w:r>
      <w:r w:rsidRPr="00F247E9">
        <w:rPr>
          <w:rFonts w:ascii="Arial" w:hAnsi="Arial" w:cs="Arial"/>
        </w:rPr>
        <w:t xml:space="preserve">developing a </w:t>
      </w:r>
      <w:r>
        <w:rPr>
          <w:rFonts w:ascii="Arial" w:hAnsi="Arial" w:cs="Arial"/>
        </w:rPr>
        <w:t>“</w:t>
      </w:r>
      <w:r w:rsidRPr="00F247E9">
        <w:rPr>
          <w:rFonts w:ascii="Arial" w:hAnsi="Arial" w:cs="Arial"/>
        </w:rPr>
        <w:t>Privacy, Human Rights and Ethics Framework</w:t>
      </w:r>
      <w:r w:rsidR="003705CC">
        <w:rPr>
          <w:rFonts w:ascii="Arial" w:hAnsi="Arial" w:cs="Arial"/>
        </w:rPr>
        <w:t>”</w:t>
      </w:r>
      <w:r w:rsidRPr="00F247E9">
        <w:rPr>
          <w:rFonts w:ascii="Arial" w:hAnsi="Arial" w:cs="Arial"/>
        </w:rPr>
        <w:t xml:space="preserve"> that will govern its operational use of predictive modelling</w:t>
      </w:r>
      <w:r>
        <w:rPr>
          <w:rFonts w:ascii="Arial" w:hAnsi="Arial" w:cs="Arial"/>
        </w:rPr>
        <w:t>.</w:t>
      </w:r>
      <w:r w:rsidR="003705CC">
        <w:rPr>
          <w:rStyle w:val="FootnoteReference"/>
          <w:rFonts w:ascii="Arial" w:hAnsi="Arial" w:cs="Arial"/>
        </w:rPr>
        <w:footnoteReference w:id="29"/>
      </w:r>
      <w:r>
        <w:rPr>
          <w:rFonts w:ascii="Arial" w:hAnsi="Arial" w:cs="Arial"/>
        </w:rPr>
        <w:t xml:space="preserve"> </w:t>
      </w:r>
    </w:p>
    <w:p w:rsidR="009108BD" w:rsidRPr="009108BD" w:rsidRDefault="009108BD" w:rsidP="009108BD">
      <w:pPr>
        <w:pStyle w:val="ListParagraph"/>
        <w:rPr>
          <w:rFonts w:ascii="Arial" w:hAnsi="Arial" w:cs="Arial"/>
        </w:rPr>
      </w:pPr>
    </w:p>
    <w:p w:rsidR="0081043B" w:rsidRPr="0081043B" w:rsidRDefault="003705CC" w:rsidP="0081043B">
      <w:pPr>
        <w:pStyle w:val="ListParagraph"/>
        <w:numPr>
          <w:ilvl w:val="0"/>
          <w:numId w:val="16"/>
        </w:numPr>
        <w:spacing w:line="360" w:lineRule="auto"/>
        <w:jc w:val="both"/>
        <w:rPr>
          <w:rFonts w:ascii="Arial" w:hAnsi="Arial" w:cs="Arial"/>
        </w:rPr>
      </w:pPr>
      <w:r>
        <w:rPr>
          <w:rFonts w:ascii="Arial" w:hAnsi="Arial" w:cs="Arial"/>
        </w:rPr>
        <w:t>The Commi</w:t>
      </w:r>
      <w:r w:rsidR="009108BD">
        <w:rPr>
          <w:rFonts w:ascii="Arial" w:hAnsi="Arial" w:cs="Arial"/>
        </w:rPr>
        <w:t>ssio</w:t>
      </w:r>
      <w:r w:rsidR="00966184">
        <w:rPr>
          <w:rFonts w:ascii="Arial" w:hAnsi="Arial" w:cs="Arial"/>
        </w:rPr>
        <w:t xml:space="preserve">n welcomes this development. However, the example of predictive risk modelling </w:t>
      </w:r>
      <w:r w:rsidRPr="009108BD">
        <w:rPr>
          <w:rFonts w:ascii="Arial" w:hAnsi="Arial" w:cs="Arial"/>
        </w:rPr>
        <w:t xml:space="preserve">illustrates </w:t>
      </w:r>
      <w:r w:rsidR="009108BD" w:rsidRPr="009108BD">
        <w:rPr>
          <w:rFonts w:ascii="Arial" w:hAnsi="Arial" w:cs="Arial"/>
        </w:rPr>
        <w:t xml:space="preserve">the </w:t>
      </w:r>
      <w:r w:rsidR="00966184">
        <w:rPr>
          <w:rFonts w:ascii="Arial" w:hAnsi="Arial" w:cs="Arial"/>
        </w:rPr>
        <w:t xml:space="preserve">desirability </w:t>
      </w:r>
      <w:r w:rsidR="009108BD" w:rsidRPr="009108BD">
        <w:rPr>
          <w:rFonts w:ascii="Arial" w:hAnsi="Arial" w:cs="Arial"/>
        </w:rPr>
        <w:t>of having human rights principles reflected in the purposive provisions of</w:t>
      </w:r>
      <w:r w:rsidR="00966184">
        <w:rPr>
          <w:rFonts w:ascii="Arial" w:hAnsi="Arial" w:cs="Arial"/>
        </w:rPr>
        <w:t xml:space="preserve"> primary legislation, so that human rights compliant policy and practice occurs as a matter of course, rather than through ad hoc responses</w:t>
      </w:r>
      <w:r w:rsidR="009108BD" w:rsidRPr="009108BD">
        <w:rPr>
          <w:rFonts w:ascii="Arial" w:hAnsi="Arial" w:cs="Arial"/>
        </w:rPr>
        <w:t xml:space="preserve">. </w:t>
      </w:r>
    </w:p>
    <w:p w:rsidR="0081043B" w:rsidRDefault="0081043B" w:rsidP="0081043B">
      <w:pPr>
        <w:pStyle w:val="ListParagraph"/>
        <w:spacing w:line="360" w:lineRule="auto"/>
        <w:jc w:val="both"/>
        <w:rPr>
          <w:rFonts w:ascii="Arial" w:hAnsi="Arial" w:cs="Arial"/>
          <w:b/>
        </w:rPr>
      </w:pPr>
    </w:p>
    <w:p w:rsidR="009108BD" w:rsidRPr="0081043B" w:rsidRDefault="002B41CB" w:rsidP="0081043B">
      <w:pPr>
        <w:pStyle w:val="ListParagraph"/>
        <w:numPr>
          <w:ilvl w:val="0"/>
          <w:numId w:val="16"/>
        </w:numPr>
        <w:spacing w:line="360" w:lineRule="auto"/>
        <w:jc w:val="both"/>
        <w:rPr>
          <w:rFonts w:ascii="Arial" w:hAnsi="Arial" w:cs="Arial"/>
          <w:b/>
        </w:rPr>
      </w:pPr>
      <w:r w:rsidRPr="0081043B">
        <w:rPr>
          <w:rFonts w:ascii="Arial" w:hAnsi="Arial" w:cs="Arial"/>
          <w:b/>
        </w:rPr>
        <w:t>The Commission accordingly recommends that:</w:t>
      </w:r>
    </w:p>
    <w:p w:rsidR="002B41CB" w:rsidRPr="00105047" w:rsidRDefault="002B41CB" w:rsidP="002B41CB">
      <w:pPr>
        <w:pStyle w:val="ListParagraph"/>
        <w:rPr>
          <w:rFonts w:ascii="Arial" w:hAnsi="Arial" w:cs="Arial"/>
          <w:b/>
        </w:rPr>
      </w:pPr>
    </w:p>
    <w:p w:rsidR="005B50B7" w:rsidRDefault="005B50B7" w:rsidP="005B50B7">
      <w:pPr>
        <w:pStyle w:val="ListParagraph"/>
        <w:numPr>
          <w:ilvl w:val="0"/>
          <w:numId w:val="25"/>
        </w:numPr>
        <w:spacing w:line="360" w:lineRule="auto"/>
        <w:jc w:val="both"/>
        <w:rPr>
          <w:rFonts w:ascii="Arial" w:hAnsi="Arial" w:cs="Arial"/>
          <w:b/>
        </w:rPr>
      </w:pPr>
      <w:r w:rsidRPr="005B50B7">
        <w:rPr>
          <w:rFonts w:ascii="Arial" w:hAnsi="Arial" w:cs="Arial"/>
          <w:b/>
        </w:rPr>
        <w:t>Clause 3(a) of the Bill is amended to include a new clause 3(a)(iv) that provides that a purpose of the Act is to protect and progressively realise the Government’s human rights obligations, including (but not limited to):</w:t>
      </w:r>
    </w:p>
    <w:p w:rsidR="005B50B7" w:rsidRPr="005B50B7" w:rsidRDefault="005B50B7" w:rsidP="005B50B7">
      <w:pPr>
        <w:pStyle w:val="ListParagraph"/>
        <w:spacing w:line="360" w:lineRule="auto"/>
        <w:ind w:left="1080"/>
        <w:jc w:val="both"/>
        <w:rPr>
          <w:rFonts w:ascii="Arial" w:hAnsi="Arial" w:cs="Arial"/>
          <w:b/>
        </w:rPr>
      </w:pPr>
    </w:p>
    <w:p w:rsidR="005B50B7" w:rsidRPr="005B50B7" w:rsidRDefault="005B50B7" w:rsidP="005B50B7">
      <w:pPr>
        <w:pStyle w:val="ListParagraph"/>
        <w:numPr>
          <w:ilvl w:val="0"/>
          <w:numId w:val="30"/>
        </w:numPr>
        <w:spacing w:line="360" w:lineRule="auto"/>
        <w:jc w:val="both"/>
        <w:rPr>
          <w:rFonts w:ascii="Arial" w:hAnsi="Arial" w:cs="Arial"/>
          <w:b/>
        </w:rPr>
      </w:pPr>
      <w:r w:rsidRPr="005B50B7">
        <w:rPr>
          <w:rFonts w:ascii="Arial" w:hAnsi="Arial" w:cs="Arial"/>
          <w:b/>
        </w:rPr>
        <w:t>The reduction and alleviation of hardship due to income poverty and material deprivation</w:t>
      </w:r>
      <w:r w:rsidR="00103DC8">
        <w:rPr>
          <w:rFonts w:ascii="Arial" w:hAnsi="Arial" w:cs="Arial"/>
          <w:b/>
        </w:rPr>
        <w:t>.</w:t>
      </w:r>
      <w:r w:rsidRPr="005B50B7">
        <w:rPr>
          <w:rFonts w:ascii="Arial" w:hAnsi="Arial" w:cs="Arial"/>
          <w:b/>
        </w:rPr>
        <w:t xml:space="preserve"> </w:t>
      </w:r>
    </w:p>
    <w:p w:rsidR="005B50B7" w:rsidRPr="005B50B7" w:rsidRDefault="005B50B7" w:rsidP="005B50B7">
      <w:pPr>
        <w:pStyle w:val="ListParagraph"/>
        <w:numPr>
          <w:ilvl w:val="0"/>
          <w:numId w:val="30"/>
        </w:numPr>
        <w:spacing w:line="360" w:lineRule="auto"/>
        <w:jc w:val="both"/>
        <w:rPr>
          <w:rFonts w:ascii="Arial" w:hAnsi="Arial" w:cs="Arial"/>
          <w:b/>
        </w:rPr>
      </w:pPr>
      <w:r w:rsidRPr="005B50B7">
        <w:rPr>
          <w:rFonts w:ascii="Arial" w:hAnsi="Arial" w:cs="Arial"/>
          <w:b/>
        </w:rPr>
        <w:t>The promotion of social inclusion</w:t>
      </w:r>
      <w:r w:rsidR="00103DC8">
        <w:rPr>
          <w:rFonts w:ascii="Arial" w:hAnsi="Arial" w:cs="Arial"/>
          <w:b/>
        </w:rPr>
        <w:t>.</w:t>
      </w:r>
    </w:p>
    <w:p w:rsidR="002B41CB" w:rsidRDefault="002B41CB" w:rsidP="005B50B7">
      <w:pPr>
        <w:pStyle w:val="ListParagraph"/>
        <w:spacing w:line="360" w:lineRule="auto"/>
        <w:ind w:left="1800"/>
        <w:jc w:val="both"/>
        <w:rPr>
          <w:rFonts w:ascii="Arial" w:hAnsi="Arial" w:cs="Arial"/>
          <w:b/>
        </w:rPr>
      </w:pPr>
    </w:p>
    <w:p w:rsidR="0074590D" w:rsidRPr="005B50B7" w:rsidRDefault="002B41CB" w:rsidP="005B50B7">
      <w:pPr>
        <w:pStyle w:val="ListParagraph"/>
        <w:numPr>
          <w:ilvl w:val="0"/>
          <w:numId w:val="25"/>
        </w:numPr>
        <w:spacing w:line="360" w:lineRule="auto"/>
        <w:jc w:val="both"/>
        <w:rPr>
          <w:rFonts w:ascii="Arial" w:hAnsi="Arial" w:cs="Arial"/>
          <w:b/>
        </w:rPr>
      </w:pPr>
      <w:r w:rsidRPr="005B50B7">
        <w:rPr>
          <w:rFonts w:ascii="Arial" w:hAnsi="Arial" w:cs="Arial"/>
          <w:b/>
        </w:rPr>
        <w:t>Clause 4 of the Bill is amended to include</w:t>
      </w:r>
      <w:r w:rsidR="00120C81" w:rsidRPr="005B50B7">
        <w:rPr>
          <w:rFonts w:ascii="Arial" w:hAnsi="Arial" w:cs="Arial"/>
          <w:b/>
        </w:rPr>
        <w:t xml:space="preserve"> a new clause 4(f) in order to establish a requirement that any person performing or exercising a duty, function, or power under this Act must have regard to the Government’s human rights obligations, including the welfare and best interests of any </w:t>
      </w:r>
      <w:r w:rsidR="00120C81" w:rsidRPr="005B50B7">
        <w:rPr>
          <w:rFonts w:ascii="Arial" w:hAnsi="Arial" w:cs="Arial"/>
          <w:b/>
        </w:rPr>
        <w:lastRenderedPageBreak/>
        <w:t xml:space="preserve">child or vulnerable adult who may be </w:t>
      </w:r>
      <w:r w:rsidR="00105047" w:rsidRPr="005B50B7">
        <w:rPr>
          <w:rFonts w:ascii="Arial" w:hAnsi="Arial" w:cs="Arial"/>
          <w:b/>
        </w:rPr>
        <w:t>affected, directly or indirectly, by the exercise of a duty, power or function under the Act.</w:t>
      </w:r>
    </w:p>
    <w:p w:rsidR="005F5E10" w:rsidRDefault="005F5E10" w:rsidP="00942177">
      <w:pPr>
        <w:rPr>
          <w:rFonts w:ascii="Arial" w:hAnsi="Arial" w:cs="Arial"/>
        </w:rPr>
      </w:pPr>
    </w:p>
    <w:p w:rsidR="00ED64C5" w:rsidRPr="001718FB" w:rsidRDefault="009108BD" w:rsidP="00942177">
      <w:pPr>
        <w:rPr>
          <w:rFonts w:ascii="Arial" w:hAnsi="Arial" w:cs="Arial"/>
        </w:rPr>
      </w:pPr>
      <w:r w:rsidRPr="001718FB">
        <w:rPr>
          <w:rFonts w:ascii="Arial" w:hAnsi="Arial" w:cs="Arial"/>
          <w:b/>
        </w:rPr>
        <w:t xml:space="preserve">Human rights implications </w:t>
      </w:r>
      <w:r w:rsidR="00ED64C5" w:rsidRPr="001718FB">
        <w:rPr>
          <w:rFonts w:ascii="Arial" w:hAnsi="Arial" w:cs="Arial"/>
          <w:b/>
        </w:rPr>
        <w:t>–</w:t>
      </w:r>
      <w:r w:rsidRPr="001718FB">
        <w:rPr>
          <w:rFonts w:ascii="Arial" w:hAnsi="Arial" w:cs="Arial"/>
          <w:b/>
        </w:rPr>
        <w:t xml:space="preserve"> discrimination</w:t>
      </w:r>
    </w:p>
    <w:p w:rsidR="00ED64C5" w:rsidRPr="00ED64C5" w:rsidRDefault="00ED64C5" w:rsidP="00ED64C5">
      <w:pPr>
        <w:pStyle w:val="ListParagraph"/>
        <w:spacing w:line="360" w:lineRule="auto"/>
        <w:jc w:val="both"/>
        <w:rPr>
          <w:rFonts w:ascii="Arial" w:hAnsi="Arial" w:cs="Arial"/>
          <w:i/>
        </w:rPr>
      </w:pPr>
      <w:r w:rsidRPr="00ED64C5">
        <w:rPr>
          <w:rFonts w:ascii="Arial" w:hAnsi="Arial" w:cs="Arial"/>
          <w:i/>
        </w:rPr>
        <w:t>Attorney-General’s report – Supported Living Payment</w:t>
      </w:r>
    </w:p>
    <w:p w:rsidR="009108BD" w:rsidRPr="009108BD" w:rsidRDefault="009108BD" w:rsidP="009108BD">
      <w:pPr>
        <w:pStyle w:val="ListParagraph"/>
        <w:rPr>
          <w:rFonts w:ascii="Arial" w:hAnsi="Arial" w:cs="Arial"/>
        </w:rPr>
      </w:pPr>
    </w:p>
    <w:p w:rsidR="009108BD" w:rsidRDefault="00411893" w:rsidP="0074590D">
      <w:pPr>
        <w:pStyle w:val="ListParagraph"/>
        <w:numPr>
          <w:ilvl w:val="0"/>
          <w:numId w:val="16"/>
        </w:numPr>
        <w:spacing w:line="360" w:lineRule="auto"/>
        <w:jc w:val="both"/>
        <w:rPr>
          <w:rFonts w:ascii="Arial" w:hAnsi="Arial" w:cs="Arial"/>
        </w:rPr>
      </w:pPr>
      <w:r>
        <w:rPr>
          <w:rFonts w:ascii="Arial" w:hAnsi="Arial" w:cs="Arial"/>
        </w:rPr>
        <w:t>In his report on the</w:t>
      </w:r>
      <w:r w:rsidR="00B75675">
        <w:rPr>
          <w:rFonts w:ascii="Arial" w:hAnsi="Arial" w:cs="Arial"/>
        </w:rPr>
        <w:t xml:space="preserve"> consistency of the</w:t>
      </w:r>
      <w:r>
        <w:rPr>
          <w:rFonts w:ascii="Arial" w:hAnsi="Arial" w:cs="Arial"/>
        </w:rPr>
        <w:t xml:space="preserve"> Bill</w:t>
      </w:r>
      <w:r w:rsidR="00B75675">
        <w:rPr>
          <w:rFonts w:ascii="Arial" w:hAnsi="Arial" w:cs="Arial"/>
        </w:rPr>
        <w:t xml:space="preserve"> with the New Zealand Bill of Rights Act 1990 (NZBORA)</w:t>
      </w:r>
      <w:r>
        <w:rPr>
          <w:rFonts w:ascii="Arial" w:hAnsi="Arial" w:cs="Arial"/>
        </w:rPr>
        <w:t>, the Attorney</w:t>
      </w:r>
      <w:r w:rsidR="00C109DF">
        <w:rPr>
          <w:rFonts w:ascii="Arial" w:hAnsi="Arial" w:cs="Arial"/>
        </w:rPr>
        <w:t>-General states that “eligibility for benefits, and obligations on beneficiaries are inherently discriminatory as they are drawing distinctions on a number of grounds of prohibited discrimination.”</w:t>
      </w:r>
      <w:r w:rsidR="00C109DF">
        <w:rPr>
          <w:rStyle w:val="FootnoteReference"/>
          <w:rFonts w:ascii="Arial" w:hAnsi="Arial" w:cs="Arial"/>
        </w:rPr>
        <w:footnoteReference w:id="30"/>
      </w:r>
    </w:p>
    <w:p w:rsidR="009108BD" w:rsidRPr="009108BD" w:rsidRDefault="009108BD" w:rsidP="009108BD">
      <w:pPr>
        <w:pStyle w:val="ListParagraph"/>
        <w:rPr>
          <w:rFonts w:ascii="Arial" w:hAnsi="Arial" w:cs="Arial"/>
        </w:rPr>
      </w:pPr>
    </w:p>
    <w:p w:rsidR="00C464FC" w:rsidRDefault="004F6BCF" w:rsidP="0074590D">
      <w:pPr>
        <w:pStyle w:val="ListParagraph"/>
        <w:numPr>
          <w:ilvl w:val="0"/>
          <w:numId w:val="16"/>
        </w:numPr>
        <w:spacing w:line="360" w:lineRule="auto"/>
        <w:jc w:val="both"/>
        <w:rPr>
          <w:rFonts w:ascii="Arial" w:hAnsi="Arial" w:cs="Arial"/>
        </w:rPr>
      </w:pPr>
      <w:r>
        <w:rPr>
          <w:rFonts w:ascii="Arial" w:hAnsi="Arial" w:cs="Arial"/>
        </w:rPr>
        <w:t>However</w:t>
      </w:r>
      <w:r w:rsidR="00C464FC">
        <w:rPr>
          <w:rFonts w:ascii="Arial" w:hAnsi="Arial" w:cs="Arial"/>
        </w:rPr>
        <w:t>,</w:t>
      </w:r>
      <w:r>
        <w:rPr>
          <w:rFonts w:ascii="Arial" w:hAnsi="Arial" w:cs="Arial"/>
        </w:rPr>
        <w:t xml:space="preserve"> while eligibility requirements require distinctions to be made, it should be emphasised that </w:t>
      </w:r>
      <w:r w:rsidR="00C464FC" w:rsidRPr="00C464FC">
        <w:rPr>
          <w:rFonts w:ascii="Arial" w:hAnsi="Arial" w:cs="Arial"/>
        </w:rPr>
        <w:t>t</w:t>
      </w:r>
      <w:r w:rsidR="00C464FC">
        <w:rPr>
          <w:rFonts w:ascii="Arial" w:hAnsi="Arial" w:cs="Arial"/>
        </w:rPr>
        <w:t>he overall purpose of a social security system is redistributive and aimed at</w:t>
      </w:r>
      <w:r w:rsidR="00B75675">
        <w:rPr>
          <w:rFonts w:ascii="Arial" w:hAnsi="Arial" w:cs="Arial"/>
        </w:rPr>
        <w:t xml:space="preserve"> alleviating poverty and</w:t>
      </w:r>
      <w:r w:rsidR="00C464FC">
        <w:rPr>
          <w:rFonts w:ascii="Arial" w:hAnsi="Arial" w:cs="Arial"/>
        </w:rPr>
        <w:t xml:space="preserve"> achieving social inclusion</w:t>
      </w:r>
      <w:r>
        <w:rPr>
          <w:rFonts w:ascii="Arial" w:hAnsi="Arial" w:cs="Arial"/>
        </w:rPr>
        <w:t xml:space="preserve">, </w:t>
      </w:r>
      <w:r w:rsidRPr="004F6BCF">
        <w:rPr>
          <w:rFonts w:ascii="Arial" w:hAnsi="Arial" w:cs="Arial"/>
        </w:rPr>
        <w:t xml:space="preserve">as the UN Committee on Economic, Social and Cultural Rights </w:t>
      </w:r>
      <w:r>
        <w:rPr>
          <w:rFonts w:ascii="Arial" w:hAnsi="Arial" w:cs="Arial"/>
        </w:rPr>
        <w:t xml:space="preserve">has held </w:t>
      </w:r>
      <w:r w:rsidR="00C464FC">
        <w:rPr>
          <w:rStyle w:val="FootnoteReference"/>
          <w:rFonts w:ascii="Arial" w:hAnsi="Arial" w:cs="Arial"/>
        </w:rPr>
        <w:footnoteReference w:id="31"/>
      </w:r>
      <w:r w:rsidR="00C464FC">
        <w:rPr>
          <w:rFonts w:ascii="Arial" w:hAnsi="Arial" w:cs="Arial"/>
        </w:rPr>
        <w:t xml:space="preserve">. The Committee has described the </w:t>
      </w:r>
      <w:r w:rsidR="00C464FC" w:rsidRPr="00C464FC">
        <w:rPr>
          <w:rFonts w:ascii="Arial" w:hAnsi="Arial" w:cs="Arial"/>
        </w:rPr>
        <w:t xml:space="preserve">right to social security </w:t>
      </w:r>
      <w:r w:rsidR="00C464FC">
        <w:rPr>
          <w:rFonts w:ascii="Arial" w:hAnsi="Arial" w:cs="Arial"/>
        </w:rPr>
        <w:t xml:space="preserve">as being of </w:t>
      </w:r>
      <w:r w:rsidR="00C464FC" w:rsidRPr="00C464FC">
        <w:rPr>
          <w:rFonts w:ascii="Arial" w:hAnsi="Arial" w:cs="Arial"/>
        </w:rPr>
        <w:t xml:space="preserve">central importance in guaranteeing human dignity for all persons when they are faced with circumstances that deprive them of </w:t>
      </w:r>
      <w:r w:rsidR="00C464FC">
        <w:rPr>
          <w:rFonts w:ascii="Arial" w:hAnsi="Arial" w:cs="Arial"/>
        </w:rPr>
        <w:t xml:space="preserve">their capacity to fully realise their economic, social and cultural </w:t>
      </w:r>
      <w:r w:rsidR="00C464FC" w:rsidRPr="00C464FC">
        <w:rPr>
          <w:rFonts w:ascii="Arial" w:hAnsi="Arial" w:cs="Arial"/>
        </w:rPr>
        <w:t>rights</w:t>
      </w:r>
      <w:r w:rsidR="00C464FC">
        <w:rPr>
          <w:rStyle w:val="FootnoteReference"/>
          <w:rFonts w:ascii="Arial" w:hAnsi="Arial" w:cs="Arial"/>
        </w:rPr>
        <w:footnoteReference w:id="32"/>
      </w:r>
      <w:r w:rsidR="00C464FC" w:rsidRPr="00C464FC">
        <w:rPr>
          <w:rFonts w:ascii="Arial" w:hAnsi="Arial" w:cs="Arial"/>
        </w:rPr>
        <w:t xml:space="preserve">.  </w:t>
      </w:r>
    </w:p>
    <w:p w:rsidR="00C464FC" w:rsidRPr="00C464FC" w:rsidRDefault="00C464FC" w:rsidP="00C464FC">
      <w:pPr>
        <w:pStyle w:val="ListParagraph"/>
        <w:rPr>
          <w:rFonts w:ascii="Arial" w:hAnsi="Arial" w:cs="Arial"/>
        </w:rPr>
      </w:pPr>
    </w:p>
    <w:p w:rsidR="00C464FC" w:rsidRDefault="004F6BCF" w:rsidP="0074590D">
      <w:pPr>
        <w:pStyle w:val="ListParagraph"/>
        <w:numPr>
          <w:ilvl w:val="0"/>
          <w:numId w:val="16"/>
        </w:numPr>
        <w:spacing w:line="360" w:lineRule="auto"/>
        <w:jc w:val="both"/>
        <w:rPr>
          <w:rFonts w:ascii="Arial" w:hAnsi="Arial" w:cs="Arial"/>
        </w:rPr>
      </w:pPr>
      <w:r>
        <w:rPr>
          <w:rFonts w:ascii="Arial" w:hAnsi="Arial" w:cs="Arial"/>
        </w:rPr>
        <w:t xml:space="preserve">The Attorney-General characterises the purpose of New Zealand’s social security legislation in somewhat different terms, yet concludes that in order to meet this overarching purpose, the distinctions contained in the Bill are justifiable for the purposes of NZBORA, with one exception. </w:t>
      </w:r>
      <w:r w:rsidR="00562CFF">
        <w:rPr>
          <w:rFonts w:ascii="Arial" w:hAnsi="Arial" w:cs="Arial"/>
        </w:rPr>
        <w:t xml:space="preserve">That exception regards </w:t>
      </w:r>
      <w:r w:rsidR="005F5D8E">
        <w:rPr>
          <w:rFonts w:ascii="Arial" w:hAnsi="Arial" w:cs="Arial"/>
        </w:rPr>
        <w:t>clause 33 of the Bill which provides that those who have a restricted work capacity, due to injury, health or disab</w:t>
      </w:r>
      <w:r w:rsidR="002B56F4">
        <w:rPr>
          <w:rFonts w:ascii="Arial" w:hAnsi="Arial" w:cs="Arial"/>
        </w:rPr>
        <w:t>ility, or who are totally blind</w:t>
      </w:r>
      <w:r w:rsidR="005F5D8E">
        <w:rPr>
          <w:rFonts w:ascii="Arial" w:hAnsi="Arial" w:cs="Arial"/>
        </w:rPr>
        <w:t xml:space="preserve">. </w:t>
      </w:r>
    </w:p>
    <w:p w:rsidR="00B75675" w:rsidRPr="00B75675" w:rsidRDefault="00B75675" w:rsidP="00B75675">
      <w:pPr>
        <w:pStyle w:val="ListParagraph"/>
        <w:rPr>
          <w:rFonts w:ascii="Arial" w:hAnsi="Arial" w:cs="Arial"/>
        </w:rPr>
      </w:pPr>
    </w:p>
    <w:p w:rsidR="00562CFF" w:rsidRPr="008161ED" w:rsidRDefault="005F5D8E" w:rsidP="0074590D">
      <w:pPr>
        <w:pStyle w:val="ListParagraph"/>
        <w:numPr>
          <w:ilvl w:val="0"/>
          <w:numId w:val="16"/>
        </w:numPr>
        <w:spacing w:line="360" w:lineRule="auto"/>
        <w:jc w:val="both"/>
        <w:rPr>
          <w:rFonts w:ascii="Arial" w:hAnsi="Arial" w:cs="Arial"/>
        </w:rPr>
      </w:pPr>
      <w:r>
        <w:rPr>
          <w:rFonts w:ascii="Arial" w:hAnsi="Arial" w:cs="Arial"/>
        </w:rPr>
        <w:t>The Attorney-General</w:t>
      </w:r>
      <w:r w:rsidR="00562CFF">
        <w:rPr>
          <w:rFonts w:ascii="Arial" w:hAnsi="Arial" w:cs="Arial"/>
        </w:rPr>
        <w:t xml:space="preserve"> finds that </w:t>
      </w:r>
      <w:r>
        <w:rPr>
          <w:rFonts w:ascii="Arial" w:hAnsi="Arial" w:cs="Arial"/>
        </w:rPr>
        <w:t>clause 33 constitutes advantageous treatment for people who are totally blind as compared to other people with disabilities</w:t>
      </w:r>
      <w:r w:rsidR="00562CFF">
        <w:rPr>
          <w:rFonts w:ascii="Arial" w:hAnsi="Arial" w:cs="Arial"/>
        </w:rPr>
        <w:t>,</w:t>
      </w:r>
      <w:r>
        <w:rPr>
          <w:rFonts w:ascii="Arial" w:hAnsi="Arial" w:cs="Arial"/>
        </w:rPr>
        <w:t xml:space="preserve"> </w:t>
      </w:r>
      <w:r w:rsidR="00562CFF">
        <w:rPr>
          <w:rFonts w:ascii="Arial" w:hAnsi="Arial" w:cs="Arial"/>
        </w:rPr>
        <w:t xml:space="preserve">thereby constituting unlawful discrimination under a 19 of NZBORA </w:t>
      </w:r>
      <w:r>
        <w:rPr>
          <w:rFonts w:ascii="Arial" w:hAnsi="Arial" w:cs="Arial"/>
        </w:rPr>
        <w:t>in such a w</w:t>
      </w:r>
      <w:r w:rsidR="00562CFF">
        <w:rPr>
          <w:rFonts w:ascii="Arial" w:hAnsi="Arial" w:cs="Arial"/>
        </w:rPr>
        <w:t>ay that is not justifiable.</w:t>
      </w:r>
      <w:r w:rsidR="00562CFF">
        <w:rPr>
          <w:rStyle w:val="FootnoteReference"/>
          <w:rFonts w:ascii="Arial" w:hAnsi="Arial" w:cs="Arial"/>
        </w:rPr>
        <w:footnoteReference w:id="33"/>
      </w:r>
      <w:r w:rsidR="008161ED">
        <w:rPr>
          <w:rFonts w:ascii="Arial" w:hAnsi="Arial" w:cs="Arial"/>
        </w:rPr>
        <w:t xml:space="preserve"> People who are totally blind </w:t>
      </w:r>
      <w:r w:rsidR="008161ED" w:rsidRPr="008161ED">
        <w:rPr>
          <w:rFonts w:ascii="Arial" w:hAnsi="Arial" w:cs="Arial"/>
        </w:rPr>
        <w:t>qualify for the SLP as of right and are entitled to receive the SLP in full, without abatement as a result of other income, as well as an</w:t>
      </w:r>
      <w:r w:rsidR="002B56F4">
        <w:rPr>
          <w:rFonts w:ascii="Arial" w:hAnsi="Arial" w:cs="Arial"/>
        </w:rPr>
        <w:t xml:space="preserve"> additional allowance known as the blind subsidy.</w:t>
      </w:r>
    </w:p>
    <w:p w:rsidR="00562CFF" w:rsidRPr="00562CFF" w:rsidRDefault="00562CFF" w:rsidP="00562CFF">
      <w:pPr>
        <w:pStyle w:val="ListParagraph"/>
        <w:rPr>
          <w:rFonts w:ascii="Arial" w:hAnsi="Arial" w:cs="Arial"/>
        </w:rPr>
      </w:pPr>
    </w:p>
    <w:p w:rsidR="00562CFF" w:rsidRPr="008161ED" w:rsidRDefault="00134E6F" w:rsidP="0074590D">
      <w:pPr>
        <w:pStyle w:val="ListParagraph"/>
        <w:numPr>
          <w:ilvl w:val="0"/>
          <w:numId w:val="16"/>
        </w:numPr>
        <w:spacing w:line="360" w:lineRule="auto"/>
        <w:jc w:val="both"/>
        <w:rPr>
          <w:rFonts w:ascii="Arial" w:hAnsi="Arial" w:cs="Arial"/>
        </w:rPr>
      </w:pPr>
      <w:r>
        <w:rPr>
          <w:rFonts w:ascii="Arial" w:hAnsi="Arial" w:cs="Arial"/>
        </w:rPr>
        <w:t>Part of t</w:t>
      </w:r>
      <w:r w:rsidR="00562CFF">
        <w:rPr>
          <w:rFonts w:ascii="Arial" w:hAnsi="Arial" w:cs="Arial"/>
        </w:rPr>
        <w:t>he ra</w:t>
      </w:r>
      <w:r>
        <w:rPr>
          <w:rFonts w:ascii="Arial" w:hAnsi="Arial" w:cs="Arial"/>
        </w:rPr>
        <w:t>tionale for this finding is that, due to advances in technology and support mechanisms,</w:t>
      </w:r>
      <w:r w:rsidR="00562CFF">
        <w:rPr>
          <w:rFonts w:ascii="Arial" w:hAnsi="Arial" w:cs="Arial"/>
        </w:rPr>
        <w:t xml:space="preserve"> there is no longer any “needs-based” justification for distinguishing the eligibility of totally blind people</w:t>
      </w:r>
      <w:r w:rsidR="008161ED">
        <w:rPr>
          <w:rStyle w:val="FootnoteReference"/>
          <w:rFonts w:ascii="Arial" w:hAnsi="Arial" w:cs="Arial"/>
        </w:rPr>
        <w:footnoteReference w:id="34"/>
      </w:r>
      <w:r w:rsidR="00562CFF">
        <w:rPr>
          <w:rFonts w:ascii="Arial" w:hAnsi="Arial" w:cs="Arial"/>
        </w:rPr>
        <w:t>, as compared to other people with disabilities</w:t>
      </w:r>
      <w:r w:rsidR="008161ED">
        <w:rPr>
          <w:rFonts w:ascii="Arial" w:hAnsi="Arial" w:cs="Arial"/>
        </w:rPr>
        <w:t xml:space="preserve"> -  who</w:t>
      </w:r>
      <w:r w:rsidR="00562CFF">
        <w:rPr>
          <w:rFonts w:ascii="Arial" w:hAnsi="Arial" w:cs="Arial"/>
        </w:rPr>
        <w:t xml:space="preserve"> m</w:t>
      </w:r>
      <w:r w:rsidR="008161ED">
        <w:rPr>
          <w:rFonts w:ascii="Arial" w:hAnsi="Arial" w:cs="Arial"/>
        </w:rPr>
        <w:t>ust be able to prove, among other things, a</w:t>
      </w:r>
      <w:r w:rsidR="00562CFF">
        <w:rPr>
          <w:rFonts w:ascii="Arial" w:hAnsi="Arial" w:cs="Arial"/>
        </w:rPr>
        <w:t xml:space="preserve"> severe restriction t</w:t>
      </w:r>
      <w:r w:rsidR="008161ED">
        <w:rPr>
          <w:rFonts w:ascii="Arial" w:hAnsi="Arial" w:cs="Arial"/>
        </w:rPr>
        <w:t>o their capacity to work</w:t>
      </w:r>
      <w:r w:rsidR="00562CFF">
        <w:rPr>
          <w:rFonts w:ascii="Arial" w:hAnsi="Arial" w:cs="Arial"/>
        </w:rPr>
        <w:t xml:space="preserve"> which necessitates that they are unable to work for more than 15 hours per week.</w:t>
      </w:r>
      <w:r w:rsidR="008161ED">
        <w:rPr>
          <w:rFonts w:ascii="Arial" w:hAnsi="Arial" w:cs="Arial"/>
        </w:rPr>
        <w:t xml:space="preserve"> </w:t>
      </w:r>
      <w:r w:rsidRPr="008161ED">
        <w:rPr>
          <w:rFonts w:ascii="Arial" w:hAnsi="Arial" w:cs="Arial"/>
        </w:rPr>
        <w:t>The Attorney-General’s report refer</w:t>
      </w:r>
      <w:r w:rsidR="008161ED" w:rsidRPr="008161ED">
        <w:rPr>
          <w:rFonts w:ascii="Arial" w:hAnsi="Arial" w:cs="Arial"/>
        </w:rPr>
        <w:t>s</w:t>
      </w:r>
      <w:r w:rsidRPr="008161ED">
        <w:rPr>
          <w:rFonts w:ascii="Arial" w:hAnsi="Arial" w:cs="Arial"/>
        </w:rPr>
        <w:t xml:space="preserve"> to an estimate from MSD that 60 percent of the 1049 totally blind people currently in receipt of the SLP would no longer be eligible for the SLP if their distinctive eligibility criteria did not exist.</w:t>
      </w:r>
      <w:r>
        <w:rPr>
          <w:rStyle w:val="FootnoteReference"/>
          <w:rFonts w:ascii="Arial" w:hAnsi="Arial" w:cs="Arial"/>
        </w:rPr>
        <w:footnoteReference w:id="35"/>
      </w:r>
    </w:p>
    <w:p w:rsidR="008161ED" w:rsidRPr="008161ED" w:rsidRDefault="008161ED" w:rsidP="008161ED">
      <w:pPr>
        <w:pStyle w:val="ListParagraph"/>
        <w:rPr>
          <w:rFonts w:ascii="Arial" w:hAnsi="Arial" w:cs="Arial"/>
        </w:rPr>
      </w:pPr>
    </w:p>
    <w:p w:rsidR="008161ED" w:rsidRPr="00562CFF" w:rsidRDefault="004950F5" w:rsidP="0074590D">
      <w:pPr>
        <w:pStyle w:val="ListParagraph"/>
        <w:numPr>
          <w:ilvl w:val="0"/>
          <w:numId w:val="16"/>
        </w:numPr>
        <w:spacing w:line="360" w:lineRule="auto"/>
        <w:jc w:val="both"/>
        <w:rPr>
          <w:rFonts w:ascii="Arial" w:hAnsi="Arial" w:cs="Arial"/>
        </w:rPr>
      </w:pPr>
      <w:r>
        <w:rPr>
          <w:rFonts w:ascii="Arial" w:hAnsi="Arial" w:cs="Arial"/>
        </w:rPr>
        <w:t>Given that one of the human rights elements of a social security system is to promote social inclusion, the Commission conside</w:t>
      </w:r>
      <w:r w:rsidR="00120C81">
        <w:rPr>
          <w:rFonts w:ascii="Arial" w:hAnsi="Arial" w:cs="Arial"/>
        </w:rPr>
        <w:t>rs the main human rights issue</w:t>
      </w:r>
      <w:r>
        <w:rPr>
          <w:rFonts w:ascii="Arial" w:hAnsi="Arial" w:cs="Arial"/>
        </w:rPr>
        <w:t xml:space="preserve"> with the SLP criteria is not so much</w:t>
      </w:r>
      <w:r w:rsidR="006F068D">
        <w:rPr>
          <w:rFonts w:ascii="Arial" w:hAnsi="Arial" w:cs="Arial"/>
        </w:rPr>
        <w:t xml:space="preserve"> about</w:t>
      </w:r>
      <w:r>
        <w:rPr>
          <w:rFonts w:ascii="Arial" w:hAnsi="Arial" w:cs="Arial"/>
        </w:rPr>
        <w:t xml:space="preserve"> the nature of the entitlements for blind people and whether these are unduly advantageous, it is</w:t>
      </w:r>
      <w:r w:rsidR="00120C81">
        <w:rPr>
          <w:rFonts w:ascii="Arial" w:hAnsi="Arial" w:cs="Arial"/>
        </w:rPr>
        <w:t xml:space="preserve"> about whether the SLP is consistent</w:t>
      </w:r>
      <w:r>
        <w:rPr>
          <w:rFonts w:ascii="Arial" w:hAnsi="Arial" w:cs="Arial"/>
        </w:rPr>
        <w:t xml:space="preserve"> with the principle of reasonable accommodation under the UN Convention on Persons with Disabilities (UNCRPD) in the way that it applies to all people</w:t>
      </w:r>
      <w:r w:rsidR="006F068D">
        <w:rPr>
          <w:rFonts w:ascii="Arial" w:hAnsi="Arial" w:cs="Arial"/>
        </w:rPr>
        <w:t xml:space="preserve"> with disabilities</w:t>
      </w:r>
      <w:r>
        <w:rPr>
          <w:rFonts w:ascii="Arial" w:hAnsi="Arial" w:cs="Arial"/>
        </w:rPr>
        <w:t>.</w:t>
      </w:r>
    </w:p>
    <w:p w:rsidR="009108BD" w:rsidRDefault="009108BD" w:rsidP="004950F5">
      <w:pPr>
        <w:pStyle w:val="ListParagraph"/>
        <w:spacing w:line="360" w:lineRule="auto"/>
        <w:jc w:val="both"/>
        <w:rPr>
          <w:rFonts w:ascii="Arial" w:hAnsi="Arial" w:cs="Arial"/>
        </w:rPr>
      </w:pPr>
    </w:p>
    <w:p w:rsidR="006F068D" w:rsidRDefault="006F068D" w:rsidP="0074590D">
      <w:pPr>
        <w:pStyle w:val="ListParagraph"/>
        <w:numPr>
          <w:ilvl w:val="0"/>
          <w:numId w:val="16"/>
        </w:numPr>
        <w:spacing w:line="360" w:lineRule="auto"/>
        <w:jc w:val="both"/>
        <w:rPr>
          <w:rFonts w:ascii="Arial" w:hAnsi="Arial" w:cs="Arial"/>
        </w:rPr>
      </w:pPr>
      <w:r>
        <w:rPr>
          <w:rFonts w:ascii="Arial" w:hAnsi="Arial" w:cs="Arial"/>
        </w:rPr>
        <w:t>The UNCPRD defines reasonable accommodation as “necessary and appropriate modification and adjustments not imposing a disproportionate or undue burden…to ensure to persons with disabilities the enjoyment or exercise on an equal basis with others of all human rights and fundamental freedoms.”</w:t>
      </w:r>
      <w:r>
        <w:rPr>
          <w:rStyle w:val="FootnoteReference"/>
          <w:rFonts w:ascii="Arial" w:hAnsi="Arial" w:cs="Arial"/>
        </w:rPr>
        <w:footnoteReference w:id="36"/>
      </w:r>
      <w:r>
        <w:rPr>
          <w:rFonts w:ascii="Arial" w:hAnsi="Arial" w:cs="Arial"/>
        </w:rPr>
        <w:t xml:space="preserve">. </w:t>
      </w:r>
    </w:p>
    <w:p w:rsidR="006F068D" w:rsidRPr="006F068D" w:rsidRDefault="006F068D" w:rsidP="006F068D">
      <w:pPr>
        <w:pStyle w:val="ListParagraph"/>
        <w:rPr>
          <w:rFonts w:ascii="Arial" w:hAnsi="Arial" w:cs="Arial"/>
        </w:rPr>
      </w:pPr>
    </w:p>
    <w:p w:rsidR="004950F5" w:rsidRDefault="006F068D" w:rsidP="0074590D">
      <w:pPr>
        <w:pStyle w:val="ListParagraph"/>
        <w:numPr>
          <w:ilvl w:val="0"/>
          <w:numId w:val="16"/>
        </w:numPr>
        <w:spacing w:line="360" w:lineRule="auto"/>
        <w:jc w:val="both"/>
        <w:rPr>
          <w:rFonts w:ascii="Arial" w:hAnsi="Arial" w:cs="Arial"/>
        </w:rPr>
      </w:pPr>
      <w:r>
        <w:rPr>
          <w:rFonts w:ascii="Arial" w:hAnsi="Arial" w:cs="Arial"/>
        </w:rPr>
        <w:t xml:space="preserve">Article 5.3 of the CRPD goes on to provide that in order to promote equality and eliminate discrimination State Parties “shall take all appropriate steps to ensure that reasonable accommodation is provided.” Article 28 of the CRPD </w:t>
      </w:r>
      <w:r w:rsidR="00E43840">
        <w:rPr>
          <w:rFonts w:ascii="Arial" w:hAnsi="Arial" w:cs="Arial"/>
        </w:rPr>
        <w:t xml:space="preserve">further </w:t>
      </w:r>
      <w:r>
        <w:rPr>
          <w:rFonts w:ascii="Arial" w:hAnsi="Arial" w:cs="Arial"/>
        </w:rPr>
        <w:t>provide</w:t>
      </w:r>
      <w:r w:rsidR="00E43840">
        <w:rPr>
          <w:rFonts w:ascii="Arial" w:hAnsi="Arial" w:cs="Arial"/>
        </w:rPr>
        <w:t>s</w:t>
      </w:r>
      <w:r>
        <w:rPr>
          <w:rFonts w:ascii="Arial" w:hAnsi="Arial" w:cs="Arial"/>
        </w:rPr>
        <w:t xml:space="preserve"> that States Parties have an obligation to ensure that people with disabilities </w:t>
      </w:r>
      <w:r w:rsidR="00E43840">
        <w:rPr>
          <w:rFonts w:ascii="Arial" w:hAnsi="Arial" w:cs="Arial"/>
        </w:rPr>
        <w:t>realise their rights to social protection and an adequate standards of living, without discrimination, thus implicitly incorporating the principle of reasonable accommodation.</w:t>
      </w:r>
    </w:p>
    <w:p w:rsidR="00E43840" w:rsidRPr="00E43840" w:rsidRDefault="00E43840" w:rsidP="00E43840">
      <w:pPr>
        <w:pStyle w:val="ListParagraph"/>
        <w:rPr>
          <w:rFonts w:ascii="Arial" w:hAnsi="Arial" w:cs="Arial"/>
        </w:rPr>
      </w:pPr>
    </w:p>
    <w:p w:rsidR="00E43840" w:rsidRDefault="00E43840" w:rsidP="0074590D">
      <w:pPr>
        <w:pStyle w:val="ListParagraph"/>
        <w:numPr>
          <w:ilvl w:val="0"/>
          <w:numId w:val="16"/>
        </w:numPr>
        <w:spacing w:line="360" w:lineRule="auto"/>
        <w:jc w:val="both"/>
        <w:rPr>
          <w:rFonts w:ascii="Arial" w:hAnsi="Arial" w:cs="Arial"/>
        </w:rPr>
      </w:pPr>
      <w:r>
        <w:rPr>
          <w:rFonts w:ascii="Arial" w:hAnsi="Arial" w:cs="Arial"/>
        </w:rPr>
        <w:t>The rigid eligibility criteria of the SLP under clause 34 of the Bill does not reflect the principle of reasonable accommodation under the UNCRPD. There is no provision for any administrative discretion to make the “necessary and appropriate modifications and adjustments” that are required to ensure that people with disabilities are accorded their right to social security.</w:t>
      </w:r>
      <w:r w:rsidR="00FD3A43">
        <w:rPr>
          <w:rFonts w:ascii="Arial" w:hAnsi="Arial" w:cs="Arial"/>
        </w:rPr>
        <w:t xml:space="preserve"> “Bright line” policies, such the 15-hour threshold under clause 34(3), may be more expeditious for a government to implement and administer, </w:t>
      </w:r>
      <w:r w:rsidR="00FD3A43">
        <w:rPr>
          <w:rFonts w:ascii="Arial" w:hAnsi="Arial" w:cs="Arial"/>
        </w:rPr>
        <w:lastRenderedPageBreak/>
        <w:t xml:space="preserve">but </w:t>
      </w:r>
      <w:r w:rsidR="00CA7237">
        <w:rPr>
          <w:rFonts w:ascii="Arial" w:hAnsi="Arial" w:cs="Arial"/>
        </w:rPr>
        <w:t xml:space="preserve">may be </w:t>
      </w:r>
      <w:r w:rsidR="00FD3A43">
        <w:rPr>
          <w:rFonts w:ascii="Arial" w:hAnsi="Arial" w:cs="Arial"/>
        </w:rPr>
        <w:t>problematic when assessed against the reasonable accommodation principle.</w:t>
      </w:r>
    </w:p>
    <w:p w:rsidR="00E43840" w:rsidRPr="00E43840" w:rsidRDefault="00E43840" w:rsidP="00E43840">
      <w:pPr>
        <w:pStyle w:val="ListParagraph"/>
        <w:rPr>
          <w:rFonts w:ascii="Arial" w:hAnsi="Arial" w:cs="Arial"/>
        </w:rPr>
      </w:pPr>
    </w:p>
    <w:p w:rsidR="00F32B15" w:rsidRDefault="00AA1016" w:rsidP="0074590D">
      <w:pPr>
        <w:pStyle w:val="ListParagraph"/>
        <w:numPr>
          <w:ilvl w:val="0"/>
          <w:numId w:val="16"/>
        </w:numPr>
        <w:spacing w:line="360" w:lineRule="auto"/>
        <w:jc w:val="both"/>
        <w:rPr>
          <w:rFonts w:ascii="Arial" w:hAnsi="Arial" w:cs="Arial"/>
        </w:rPr>
      </w:pPr>
      <w:r>
        <w:rPr>
          <w:rFonts w:ascii="Arial" w:hAnsi="Arial" w:cs="Arial"/>
        </w:rPr>
        <w:t>The Commission notes MSDs position that t</w:t>
      </w:r>
      <w:r w:rsidR="009801A8">
        <w:rPr>
          <w:rFonts w:ascii="Arial" w:hAnsi="Arial" w:cs="Arial"/>
        </w:rPr>
        <w:t>he SLP policy regarding people who are</w:t>
      </w:r>
      <w:r>
        <w:rPr>
          <w:rFonts w:ascii="Arial" w:hAnsi="Arial" w:cs="Arial"/>
        </w:rPr>
        <w:t xml:space="preserve"> totally blind is an “anomaly” and </w:t>
      </w:r>
      <w:r w:rsidR="009801A8">
        <w:rPr>
          <w:rFonts w:ascii="Arial" w:hAnsi="Arial" w:cs="Arial"/>
        </w:rPr>
        <w:t xml:space="preserve">its </w:t>
      </w:r>
      <w:r>
        <w:rPr>
          <w:rFonts w:ascii="Arial" w:hAnsi="Arial" w:cs="Arial"/>
        </w:rPr>
        <w:t>recom</w:t>
      </w:r>
      <w:r w:rsidR="009801A8">
        <w:rPr>
          <w:rFonts w:ascii="Arial" w:hAnsi="Arial" w:cs="Arial"/>
        </w:rPr>
        <w:t>mendation that it be removed. The Commission further notes</w:t>
      </w:r>
      <w:r w:rsidR="00F32B15">
        <w:rPr>
          <w:rFonts w:ascii="Arial" w:hAnsi="Arial" w:cs="Arial"/>
        </w:rPr>
        <w:t xml:space="preserve"> MSD</w:t>
      </w:r>
      <w:r w:rsidR="009801A8">
        <w:rPr>
          <w:rFonts w:ascii="Arial" w:hAnsi="Arial" w:cs="Arial"/>
        </w:rPr>
        <w:t>s indication</w:t>
      </w:r>
      <w:r w:rsidR="00F32B15">
        <w:rPr>
          <w:rFonts w:ascii="Arial" w:hAnsi="Arial" w:cs="Arial"/>
        </w:rPr>
        <w:t xml:space="preserve"> that any change is</w:t>
      </w:r>
      <w:r>
        <w:rPr>
          <w:rFonts w:ascii="Arial" w:hAnsi="Arial" w:cs="Arial"/>
        </w:rPr>
        <w:t xml:space="preserve"> intended to be </w:t>
      </w:r>
      <w:r w:rsidR="00F32B15">
        <w:rPr>
          <w:rFonts w:ascii="Arial" w:hAnsi="Arial" w:cs="Arial"/>
        </w:rPr>
        <w:t>introduced following future revisions to the Disability Action Plan.</w:t>
      </w:r>
      <w:r w:rsidR="00F32B15">
        <w:rPr>
          <w:rStyle w:val="FootnoteReference"/>
          <w:rFonts w:ascii="Arial" w:hAnsi="Arial" w:cs="Arial"/>
        </w:rPr>
        <w:footnoteReference w:id="37"/>
      </w:r>
      <w:r w:rsidR="00F32B15">
        <w:rPr>
          <w:rFonts w:ascii="Arial" w:hAnsi="Arial" w:cs="Arial"/>
        </w:rPr>
        <w:t xml:space="preserve">. </w:t>
      </w:r>
    </w:p>
    <w:p w:rsidR="00F32B15" w:rsidRPr="00F32B15" w:rsidRDefault="00F32B15" w:rsidP="00F32B15">
      <w:pPr>
        <w:pStyle w:val="ListParagraph"/>
        <w:rPr>
          <w:rFonts w:ascii="Arial" w:hAnsi="Arial" w:cs="Arial"/>
        </w:rPr>
      </w:pPr>
    </w:p>
    <w:p w:rsidR="00E43840" w:rsidRDefault="00F32B15" w:rsidP="0074590D">
      <w:pPr>
        <w:pStyle w:val="ListParagraph"/>
        <w:numPr>
          <w:ilvl w:val="0"/>
          <w:numId w:val="16"/>
        </w:numPr>
        <w:spacing w:line="360" w:lineRule="auto"/>
        <w:jc w:val="both"/>
        <w:rPr>
          <w:rFonts w:ascii="Arial" w:hAnsi="Arial" w:cs="Arial"/>
        </w:rPr>
      </w:pPr>
      <w:r>
        <w:rPr>
          <w:rFonts w:ascii="Arial" w:hAnsi="Arial" w:cs="Arial"/>
        </w:rPr>
        <w:t>Given this context, t</w:t>
      </w:r>
      <w:r w:rsidRPr="00F32B15">
        <w:rPr>
          <w:rFonts w:ascii="Arial" w:hAnsi="Arial" w:cs="Arial"/>
        </w:rPr>
        <w:t xml:space="preserve">he Commission would encourage the Social Services Committee to approach the issues raised by the Attorney-General </w:t>
      </w:r>
      <w:r>
        <w:rPr>
          <w:rFonts w:ascii="Arial" w:hAnsi="Arial" w:cs="Arial"/>
        </w:rPr>
        <w:t xml:space="preserve">and the RIS </w:t>
      </w:r>
      <w:r w:rsidRPr="00F32B15">
        <w:rPr>
          <w:rFonts w:ascii="Arial" w:hAnsi="Arial" w:cs="Arial"/>
        </w:rPr>
        <w:t xml:space="preserve">about the SLP through the lens of reasonable accommodation under the CRPD. </w:t>
      </w:r>
      <w:r w:rsidR="00274CFE">
        <w:rPr>
          <w:rFonts w:ascii="Arial" w:hAnsi="Arial" w:cs="Arial"/>
        </w:rPr>
        <w:t xml:space="preserve">Retrogressive measures are </w:t>
      </w:r>
      <w:r w:rsidR="00FD3A43">
        <w:rPr>
          <w:rFonts w:ascii="Arial" w:hAnsi="Arial" w:cs="Arial"/>
        </w:rPr>
        <w:t>clearly undesirable</w:t>
      </w:r>
      <w:r w:rsidR="00AA1016">
        <w:rPr>
          <w:rFonts w:ascii="Arial" w:hAnsi="Arial" w:cs="Arial"/>
        </w:rPr>
        <w:t xml:space="preserve"> </w:t>
      </w:r>
      <w:r w:rsidR="00274CFE">
        <w:rPr>
          <w:rFonts w:ascii="Arial" w:hAnsi="Arial" w:cs="Arial"/>
        </w:rPr>
        <w:t xml:space="preserve">and are inconsistent with human rights standards as regards social security policy. </w:t>
      </w:r>
      <w:r w:rsidR="009801A8">
        <w:rPr>
          <w:rFonts w:ascii="Arial" w:hAnsi="Arial" w:cs="Arial"/>
        </w:rPr>
        <w:t xml:space="preserve">Accordingly, consideration </w:t>
      </w:r>
      <w:r w:rsidR="00532ECC">
        <w:rPr>
          <w:rFonts w:ascii="Arial" w:hAnsi="Arial" w:cs="Arial"/>
        </w:rPr>
        <w:t xml:space="preserve">ought to be </w:t>
      </w:r>
      <w:r w:rsidR="009801A8">
        <w:rPr>
          <w:rFonts w:ascii="Arial" w:hAnsi="Arial" w:cs="Arial"/>
        </w:rPr>
        <w:t xml:space="preserve">given to </w:t>
      </w:r>
      <w:r w:rsidR="00532ECC">
        <w:rPr>
          <w:rFonts w:ascii="Arial" w:hAnsi="Arial" w:cs="Arial"/>
        </w:rPr>
        <w:t xml:space="preserve">whether the </w:t>
      </w:r>
      <w:r w:rsidR="009801A8">
        <w:rPr>
          <w:rFonts w:ascii="Arial" w:hAnsi="Arial" w:cs="Arial"/>
        </w:rPr>
        <w:t>current policy is sufficiently designed and nuanced to enable full consistency</w:t>
      </w:r>
      <w:r w:rsidR="00532ECC">
        <w:rPr>
          <w:rFonts w:ascii="Arial" w:hAnsi="Arial" w:cs="Arial"/>
        </w:rPr>
        <w:t xml:space="preserve"> with the Government’s human rights obligations under the CRPD.</w:t>
      </w:r>
    </w:p>
    <w:p w:rsidR="00ED64C5" w:rsidRPr="00ED64C5" w:rsidRDefault="00ED64C5" w:rsidP="00ED64C5">
      <w:pPr>
        <w:pStyle w:val="ListParagraph"/>
        <w:rPr>
          <w:rFonts w:ascii="Arial" w:hAnsi="Arial" w:cs="Arial"/>
        </w:rPr>
      </w:pPr>
    </w:p>
    <w:p w:rsidR="00ED64C5" w:rsidRPr="00120C81" w:rsidRDefault="00274CFE" w:rsidP="0074590D">
      <w:pPr>
        <w:pStyle w:val="ListParagraph"/>
        <w:numPr>
          <w:ilvl w:val="0"/>
          <w:numId w:val="16"/>
        </w:numPr>
        <w:spacing w:line="360" w:lineRule="auto"/>
        <w:jc w:val="both"/>
        <w:rPr>
          <w:rFonts w:ascii="Arial" w:hAnsi="Arial" w:cs="Arial"/>
          <w:b/>
        </w:rPr>
      </w:pPr>
      <w:r w:rsidRPr="00120C81">
        <w:rPr>
          <w:rFonts w:ascii="Arial" w:hAnsi="Arial" w:cs="Arial"/>
          <w:b/>
        </w:rPr>
        <w:t xml:space="preserve">The Commission accordingly recommends that the Social Services Committee reviews whether the qualifying criteria for the SLP under clause 34 of the Bill adequately reflects the “reasonable accommodation” requirements of </w:t>
      </w:r>
      <w:r w:rsidR="00120C81" w:rsidRPr="00120C81">
        <w:rPr>
          <w:rFonts w:ascii="Arial" w:hAnsi="Arial" w:cs="Arial"/>
          <w:b/>
        </w:rPr>
        <w:t xml:space="preserve">the CRPD. </w:t>
      </w:r>
    </w:p>
    <w:p w:rsidR="00ED64C5" w:rsidRPr="00ED64C5" w:rsidRDefault="00ED64C5" w:rsidP="00ED64C5">
      <w:pPr>
        <w:pStyle w:val="ListParagraph"/>
        <w:rPr>
          <w:rFonts w:ascii="Arial" w:hAnsi="Arial" w:cs="Arial"/>
        </w:rPr>
      </w:pPr>
    </w:p>
    <w:p w:rsidR="00ED64C5" w:rsidRPr="00532ECC" w:rsidRDefault="00ED64C5" w:rsidP="00ED64C5">
      <w:pPr>
        <w:pStyle w:val="ListParagraph"/>
        <w:spacing w:line="360" w:lineRule="auto"/>
        <w:jc w:val="both"/>
        <w:rPr>
          <w:rFonts w:ascii="Arial" w:hAnsi="Arial" w:cs="Arial"/>
          <w:i/>
        </w:rPr>
      </w:pPr>
      <w:r w:rsidRPr="00532ECC">
        <w:rPr>
          <w:rFonts w:ascii="Arial" w:hAnsi="Arial" w:cs="Arial"/>
          <w:i/>
        </w:rPr>
        <w:t>Overseas pensions</w:t>
      </w:r>
      <w:r w:rsidR="00532ECC" w:rsidRPr="00532ECC">
        <w:rPr>
          <w:rFonts w:ascii="Arial" w:hAnsi="Arial" w:cs="Arial"/>
          <w:i/>
        </w:rPr>
        <w:t xml:space="preserve"> – s 70 </w:t>
      </w:r>
    </w:p>
    <w:p w:rsidR="00ED64C5" w:rsidRPr="00ED64C5" w:rsidRDefault="00ED64C5" w:rsidP="00ED64C5">
      <w:pPr>
        <w:pStyle w:val="ListParagraph"/>
        <w:rPr>
          <w:rFonts w:ascii="Arial" w:hAnsi="Arial" w:cs="Arial"/>
        </w:rPr>
      </w:pPr>
    </w:p>
    <w:p w:rsidR="000F2BC7" w:rsidRDefault="00096107" w:rsidP="0074590D">
      <w:pPr>
        <w:pStyle w:val="ListParagraph"/>
        <w:numPr>
          <w:ilvl w:val="0"/>
          <w:numId w:val="16"/>
        </w:numPr>
        <w:spacing w:line="360" w:lineRule="auto"/>
        <w:jc w:val="both"/>
        <w:rPr>
          <w:rFonts w:ascii="Arial" w:hAnsi="Arial" w:cs="Arial"/>
        </w:rPr>
      </w:pPr>
      <w:r>
        <w:rPr>
          <w:rFonts w:ascii="Arial" w:hAnsi="Arial" w:cs="Arial"/>
        </w:rPr>
        <w:t xml:space="preserve">Over the years, the Commission has received numerous </w:t>
      </w:r>
      <w:r w:rsidR="006F55C7">
        <w:rPr>
          <w:rFonts w:ascii="Arial" w:hAnsi="Arial" w:cs="Arial"/>
        </w:rPr>
        <w:t xml:space="preserve">discrimination </w:t>
      </w:r>
      <w:r>
        <w:rPr>
          <w:rFonts w:ascii="Arial" w:hAnsi="Arial" w:cs="Arial"/>
        </w:rPr>
        <w:t>complaints regarding the effect of s 70 of the Social Security Act on the superannuation entitlements of New Zealand residents who have an overseas pension</w:t>
      </w:r>
      <w:r w:rsidR="00103DC8">
        <w:rPr>
          <w:rFonts w:ascii="Arial" w:hAnsi="Arial" w:cs="Arial"/>
        </w:rPr>
        <w:t>, with 86</w:t>
      </w:r>
      <w:r w:rsidR="00750CD3">
        <w:rPr>
          <w:rFonts w:ascii="Arial" w:hAnsi="Arial" w:cs="Arial"/>
        </w:rPr>
        <w:t xml:space="preserve"> complaints received from</w:t>
      </w:r>
      <w:r w:rsidR="00103DC8">
        <w:rPr>
          <w:rFonts w:ascii="Arial" w:hAnsi="Arial" w:cs="Arial"/>
        </w:rPr>
        <w:t xml:space="preserve"> 29 May 2000 to 29 May 2016</w:t>
      </w:r>
      <w:r w:rsidR="00750CD3">
        <w:rPr>
          <w:rFonts w:ascii="Arial" w:hAnsi="Arial" w:cs="Arial"/>
        </w:rPr>
        <w:t>.</w:t>
      </w:r>
      <w:r w:rsidR="00D367E8">
        <w:rPr>
          <w:rStyle w:val="FootnoteReference"/>
          <w:rFonts w:ascii="Arial" w:hAnsi="Arial" w:cs="Arial"/>
        </w:rPr>
        <w:footnoteReference w:id="38"/>
      </w:r>
      <w:r w:rsidR="00AE33ED">
        <w:rPr>
          <w:rFonts w:ascii="Arial" w:hAnsi="Arial" w:cs="Arial"/>
        </w:rPr>
        <w:t xml:space="preserve"> </w:t>
      </w:r>
      <w:r w:rsidR="00750CD3">
        <w:rPr>
          <w:rFonts w:ascii="Arial" w:hAnsi="Arial" w:cs="Arial"/>
        </w:rPr>
        <w:t xml:space="preserve">Section 70 </w:t>
      </w:r>
      <w:r w:rsidR="006F55C7">
        <w:rPr>
          <w:rFonts w:ascii="Arial" w:hAnsi="Arial" w:cs="Arial"/>
        </w:rPr>
        <w:t>provides that such persons shall have their superannuation entitlements reduced by the amount of the overseas pension, or an amount determined by MSD.</w:t>
      </w:r>
    </w:p>
    <w:p w:rsidR="000F2BC7" w:rsidRDefault="000F2BC7" w:rsidP="000F2BC7">
      <w:pPr>
        <w:pStyle w:val="ListParagraph"/>
        <w:spacing w:line="360" w:lineRule="auto"/>
        <w:jc w:val="both"/>
        <w:rPr>
          <w:rFonts w:ascii="Arial" w:hAnsi="Arial" w:cs="Arial"/>
        </w:rPr>
      </w:pPr>
    </w:p>
    <w:p w:rsidR="000F2BC7" w:rsidRDefault="006F55C7" w:rsidP="0074590D">
      <w:pPr>
        <w:pStyle w:val="ListParagraph"/>
        <w:numPr>
          <w:ilvl w:val="0"/>
          <w:numId w:val="16"/>
        </w:numPr>
        <w:spacing w:line="360" w:lineRule="auto"/>
        <w:jc w:val="both"/>
        <w:rPr>
          <w:rFonts w:ascii="Arial" w:hAnsi="Arial" w:cs="Arial"/>
        </w:rPr>
      </w:pPr>
      <w:r>
        <w:rPr>
          <w:rFonts w:ascii="Arial" w:hAnsi="Arial" w:cs="Arial"/>
        </w:rPr>
        <w:t xml:space="preserve"> In practice, section 70</w:t>
      </w:r>
      <w:r w:rsidR="000F2BC7">
        <w:rPr>
          <w:rFonts w:ascii="Arial" w:hAnsi="Arial" w:cs="Arial"/>
        </w:rPr>
        <w:t xml:space="preserve"> applies to</w:t>
      </w:r>
      <w:r>
        <w:rPr>
          <w:rFonts w:ascii="Arial" w:hAnsi="Arial" w:cs="Arial"/>
        </w:rPr>
        <w:t xml:space="preserve"> government-administered schemes</w:t>
      </w:r>
      <w:r w:rsidR="000F2BC7">
        <w:rPr>
          <w:rFonts w:ascii="Arial" w:hAnsi="Arial" w:cs="Arial"/>
        </w:rPr>
        <w:t>, other than Government Occupational Pensions (where the person has worked for, or been in the service of, an overseas government)</w:t>
      </w:r>
      <w:r>
        <w:rPr>
          <w:rFonts w:ascii="Arial" w:hAnsi="Arial" w:cs="Arial"/>
        </w:rPr>
        <w:t xml:space="preserve"> including those where the pension comprises </w:t>
      </w:r>
      <w:r>
        <w:rPr>
          <w:rFonts w:ascii="Arial" w:hAnsi="Arial" w:cs="Arial"/>
        </w:rPr>
        <w:lastRenderedPageBreak/>
        <w:t>purely of monies contributed by the individual.</w:t>
      </w:r>
      <w:r w:rsidR="000F2BC7">
        <w:rPr>
          <w:rFonts w:ascii="Arial" w:hAnsi="Arial" w:cs="Arial"/>
        </w:rPr>
        <w:t xml:space="preserve"> It does not apply to privately managed schemes.</w:t>
      </w:r>
    </w:p>
    <w:p w:rsidR="000F2BC7" w:rsidRPr="000F2BC7" w:rsidRDefault="000F2BC7" w:rsidP="000F2BC7">
      <w:pPr>
        <w:pStyle w:val="ListParagraph"/>
        <w:rPr>
          <w:rFonts w:ascii="Arial" w:hAnsi="Arial" w:cs="Arial"/>
        </w:rPr>
      </w:pPr>
    </w:p>
    <w:p w:rsidR="000F2BC7" w:rsidRPr="000F2BC7" w:rsidRDefault="000F2BC7" w:rsidP="0074590D">
      <w:pPr>
        <w:pStyle w:val="ListParagraph"/>
        <w:numPr>
          <w:ilvl w:val="0"/>
          <w:numId w:val="16"/>
        </w:numPr>
        <w:spacing w:line="360" w:lineRule="auto"/>
        <w:jc w:val="both"/>
        <w:rPr>
          <w:rFonts w:ascii="Arial" w:hAnsi="Arial" w:cs="Arial"/>
        </w:rPr>
      </w:pPr>
      <w:r>
        <w:rPr>
          <w:rFonts w:ascii="Arial" w:hAnsi="Arial" w:cs="Arial"/>
        </w:rPr>
        <w:t>The Courts have held that whether or not an overseas government has contributed to the funding of a pension scheme is irrelevant to a s 70 enquiry</w:t>
      </w:r>
      <w:r>
        <w:rPr>
          <w:rStyle w:val="FootnoteReference"/>
          <w:rFonts w:ascii="Arial" w:hAnsi="Arial" w:cs="Arial"/>
        </w:rPr>
        <w:footnoteReference w:id="39"/>
      </w:r>
      <w:r>
        <w:rPr>
          <w:rFonts w:ascii="Arial" w:hAnsi="Arial" w:cs="Arial"/>
        </w:rPr>
        <w:t xml:space="preserve"> although </w:t>
      </w:r>
      <w:r w:rsidR="009801A8">
        <w:rPr>
          <w:rFonts w:ascii="Arial" w:hAnsi="Arial" w:cs="Arial"/>
        </w:rPr>
        <w:t xml:space="preserve">they </w:t>
      </w:r>
      <w:r>
        <w:rPr>
          <w:rFonts w:ascii="Arial" w:hAnsi="Arial" w:cs="Arial"/>
        </w:rPr>
        <w:t>have</w:t>
      </w:r>
      <w:r w:rsidR="009801A8">
        <w:rPr>
          <w:rFonts w:ascii="Arial" w:hAnsi="Arial" w:cs="Arial"/>
        </w:rPr>
        <w:t xml:space="preserve"> also</w:t>
      </w:r>
      <w:r>
        <w:rPr>
          <w:rFonts w:ascii="Arial" w:hAnsi="Arial" w:cs="Arial"/>
        </w:rPr>
        <w:t xml:space="preserve"> noted that it “might be seen as an unhappy policy choice that a self-funded scheme administered by a foreign Government is treated one way, and a self-funded scheme administered by a private body is treated another…Parliament evidently has remained content with its choice.”</w:t>
      </w:r>
      <w:r>
        <w:rPr>
          <w:rStyle w:val="FootnoteReference"/>
          <w:rFonts w:ascii="Arial" w:hAnsi="Arial" w:cs="Arial"/>
        </w:rPr>
        <w:footnoteReference w:id="40"/>
      </w:r>
    </w:p>
    <w:p w:rsidR="006F55C7" w:rsidRDefault="006F55C7" w:rsidP="006F55C7">
      <w:pPr>
        <w:pStyle w:val="ListParagraph"/>
        <w:spacing w:line="360" w:lineRule="auto"/>
        <w:jc w:val="both"/>
        <w:rPr>
          <w:rFonts w:ascii="Arial" w:hAnsi="Arial" w:cs="Arial"/>
        </w:rPr>
      </w:pPr>
    </w:p>
    <w:p w:rsidR="006F55C7" w:rsidRDefault="00CD3770" w:rsidP="00482410">
      <w:pPr>
        <w:pStyle w:val="ListParagraph"/>
        <w:numPr>
          <w:ilvl w:val="0"/>
          <w:numId w:val="16"/>
        </w:numPr>
        <w:spacing w:line="360" w:lineRule="auto"/>
        <w:jc w:val="both"/>
        <w:rPr>
          <w:rFonts w:ascii="Arial" w:hAnsi="Arial" w:cs="Arial"/>
        </w:rPr>
      </w:pPr>
      <w:r>
        <w:rPr>
          <w:rFonts w:ascii="Arial" w:hAnsi="Arial" w:cs="Arial"/>
        </w:rPr>
        <w:t>In</w:t>
      </w:r>
      <w:r w:rsidR="009801A8">
        <w:rPr>
          <w:rFonts w:ascii="Arial" w:hAnsi="Arial" w:cs="Arial"/>
        </w:rPr>
        <w:t xml:space="preserve"> addition, in</w:t>
      </w:r>
      <w:r>
        <w:rPr>
          <w:rFonts w:ascii="Arial" w:hAnsi="Arial" w:cs="Arial"/>
        </w:rPr>
        <w:t xml:space="preserve"> its report </w:t>
      </w:r>
      <w:r w:rsidRPr="00CD3770">
        <w:rPr>
          <w:rFonts w:ascii="Arial" w:hAnsi="Arial" w:cs="Arial"/>
          <w:i/>
        </w:rPr>
        <w:t>Human Rights in New Zealand 2010</w:t>
      </w:r>
      <w:r>
        <w:rPr>
          <w:rFonts w:ascii="Arial" w:hAnsi="Arial" w:cs="Arial"/>
        </w:rPr>
        <w:t>, t</w:t>
      </w:r>
      <w:r w:rsidR="006F55C7">
        <w:rPr>
          <w:rFonts w:ascii="Arial" w:hAnsi="Arial" w:cs="Arial"/>
        </w:rPr>
        <w:t xml:space="preserve">he Commission </w:t>
      </w:r>
      <w:r>
        <w:rPr>
          <w:rFonts w:ascii="Arial" w:hAnsi="Arial" w:cs="Arial"/>
        </w:rPr>
        <w:t>noted that “concerns had been raised about inequities and anomalies resulting from s 70 of the Social Security Act”</w:t>
      </w:r>
      <w:r>
        <w:rPr>
          <w:rStyle w:val="FootnoteReference"/>
          <w:rFonts w:ascii="Arial" w:hAnsi="Arial" w:cs="Arial"/>
        </w:rPr>
        <w:footnoteReference w:id="41"/>
      </w:r>
      <w:r>
        <w:rPr>
          <w:rFonts w:ascii="Arial" w:hAnsi="Arial" w:cs="Arial"/>
        </w:rPr>
        <w:t xml:space="preserve"> and has previously made submissions to the Social Services Committee on its effect.</w:t>
      </w:r>
      <w:r>
        <w:rPr>
          <w:rStyle w:val="FootnoteReference"/>
          <w:rFonts w:ascii="Arial" w:hAnsi="Arial" w:cs="Arial"/>
        </w:rPr>
        <w:footnoteReference w:id="42"/>
      </w:r>
    </w:p>
    <w:p w:rsidR="00482410" w:rsidRPr="00482410" w:rsidRDefault="00482410" w:rsidP="00482410">
      <w:pPr>
        <w:pStyle w:val="ListParagraph"/>
        <w:rPr>
          <w:rFonts w:ascii="Arial" w:hAnsi="Arial" w:cs="Arial"/>
        </w:rPr>
      </w:pPr>
    </w:p>
    <w:p w:rsidR="00646CB7" w:rsidRPr="00482410" w:rsidRDefault="00CD3770" w:rsidP="00482410">
      <w:pPr>
        <w:pStyle w:val="ListParagraph"/>
        <w:numPr>
          <w:ilvl w:val="0"/>
          <w:numId w:val="16"/>
        </w:numPr>
        <w:spacing w:line="360" w:lineRule="auto"/>
        <w:jc w:val="both"/>
        <w:rPr>
          <w:rFonts w:ascii="Arial" w:hAnsi="Arial" w:cs="Arial"/>
        </w:rPr>
      </w:pPr>
      <w:r w:rsidRPr="00482410">
        <w:rPr>
          <w:rFonts w:ascii="Arial" w:hAnsi="Arial" w:cs="Arial"/>
        </w:rPr>
        <w:t>The Commission notes that clauses 173-175</w:t>
      </w:r>
      <w:r w:rsidR="00144D19" w:rsidRPr="00482410">
        <w:rPr>
          <w:rFonts w:ascii="Arial" w:hAnsi="Arial" w:cs="Arial"/>
        </w:rPr>
        <w:t xml:space="preserve"> of the Bill update</w:t>
      </w:r>
      <w:r w:rsidR="005A4838" w:rsidRPr="00482410">
        <w:rPr>
          <w:rFonts w:ascii="Arial" w:hAnsi="Arial" w:cs="Arial"/>
        </w:rPr>
        <w:t>s</w:t>
      </w:r>
      <w:r w:rsidR="00144D19" w:rsidRPr="00482410">
        <w:rPr>
          <w:rFonts w:ascii="Arial" w:hAnsi="Arial" w:cs="Arial"/>
        </w:rPr>
        <w:t xml:space="preserve"> the current scheme under s 70 of the Act and</w:t>
      </w:r>
      <w:r w:rsidR="00646CB7" w:rsidRPr="00482410">
        <w:rPr>
          <w:rFonts w:ascii="Arial" w:hAnsi="Arial" w:cs="Arial"/>
        </w:rPr>
        <w:t>, whil</w:t>
      </w:r>
      <w:r w:rsidR="005A4838" w:rsidRPr="00482410">
        <w:rPr>
          <w:rFonts w:ascii="Arial" w:hAnsi="Arial" w:cs="Arial"/>
        </w:rPr>
        <w:t>e the new clauses do</w:t>
      </w:r>
      <w:r w:rsidR="00646CB7" w:rsidRPr="00482410">
        <w:rPr>
          <w:rFonts w:ascii="Arial" w:hAnsi="Arial" w:cs="Arial"/>
        </w:rPr>
        <w:t xml:space="preserve"> not introduce substantive changes</w:t>
      </w:r>
      <w:r w:rsidR="005A4838" w:rsidRPr="00482410">
        <w:rPr>
          <w:rFonts w:ascii="Arial" w:hAnsi="Arial" w:cs="Arial"/>
        </w:rPr>
        <w:t>, they</w:t>
      </w:r>
      <w:r w:rsidR="00144D19" w:rsidRPr="00482410">
        <w:rPr>
          <w:rFonts w:ascii="Arial" w:hAnsi="Arial" w:cs="Arial"/>
        </w:rPr>
        <w:t xml:space="preserve"> </w:t>
      </w:r>
      <w:r w:rsidR="005A4838" w:rsidRPr="00482410">
        <w:rPr>
          <w:rFonts w:ascii="Arial" w:hAnsi="Arial" w:cs="Arial"/>
        </w:rPr>
        <w:t xml:space="preserve">are </w:t>
      </w:r>
      <w:r w:rsidR="00AE33ED" w:rsidRPr="00482410">
        <w:rPr>
          <w:rFonts w:ascii="Arial" w:hAnsi="Arial" w:cs="Arial"/>
        </w:rPr>
        <w:t xml:space="preserve">considerably clearer. </w:t>
      </w:r>
    </w:p>
    <w:p w:rsidR="00646CB7" w:rsidRPr="00646CB7" w:rsidRDefault="00646CB7" w:rsidP="00646CB7">
      <w:pPr>
        <w:pStyle w:val="ListParagraph"/>
        <w:rPr>
          <w:rFonts w:ascii="Arial" w:hAnsi="Arial" w:cs="Arial"/>
        </w:rPr>
      </w:pPr>
    </w:p>
    <w:p w:rsidR="006F55C7" w:rsidRDefault="00AE33ED" w:rsidP="0074590D">
      <w:pPr>
        <w:pStyle w:val="ListParagraph"/>
        <w:numPr>
          <w:ilvl w:val="0"/>
          <w:numId w:val="16"/>
        </w:numPr>
        <w:spacing w:line="360" w:lineRule="auto"/>
        <w:jc w:val="both"/>
        <w:rPr>
          <w:rFonts w:ascii="Arial" w:hAnsi="Arial" w:cs="Arial"/>
        </w:rPr>
      </w:pPr>
      <w:r>
        <w:rPr>
          <w:rFonts w:ascii="Arial" w:hAnsi="Arial" w:cs="Arial"/>
        </w:rPr>
        <w:t>Clause 413 of the Bill also provides that regulat</w:t>
      </w:r>
      <w:r w:rsidR="009801A8">
        <w:rPr>
          <w:rFonts w:ascii="Arial" w:hAnsi="Arial" w:cs="Arial"/>
        </w:rPr>
        <w:t xml:space="preserve">ions may be issued that prescribe </w:t>
      </w:r>
      <w:r>
        <w:rPr>
          <w:rFonts w:ascii="Arial" w:hAnsi="Arial" w:cs="Arial"/>
        </w:rPr>
        <w:t>categories of overseas pensioners with whom MSD may enter into arrang</w:t>
      </w:r>
      <w:r w:rsidR="009801A8">
        <w:rPr>
          <w:rFonts w:ascii="Arial" w:hAnsi="Arial" w:cs="Arial"/>
        </w:rPr>
        <w:t>ements. The development of new</w:t>
      </w:r>
      <w:r>
        <w:rPr>
          <w:rFonts w:ascii="Arial" w:hAnsi="Arial" w:cs="Arial"/>
        </w:rPr>
        <w:t xml:space="preserve"> regulations</w:t>
      </w:r>
      <w:r w:rsidR="009801A8">
        <w:rPr>
          <w:rFonts w:ascii="Arial" w:hAnsi="Arial" w:cs="Arial"/>
        </w:rPr>
        <w:t xml:space="preserve"> under this clause</w:t>
      </w:r>
      <w:r>
        <w:rPr>
          <w:rFonts w:ascii="Arial" w:hAnsi="Arial" w:cs="Arial"/>
        </w:rPr>
        <w:t xml:space="preserve"> will provide, among other things, an opportunity to address</w:t>
      </w:r>
      <w:r w:rsidR="004377F3">
        <w:rPr>
          <w:rFonts w:ascii="Arial" w:hAnsi="Arial" w:cs="Arial"/>
        </w:rPr>
        <w:t xml:space="preserve"> some of the current anomalies and inequities that the Commission and the Courts have commented on, including</w:t>
      </w:r>
      <w:r>
        <w:rPr>
          <w:rFonts w:ascii="Arial" w:hAnsi="Arial" w:cs="Arial"/>
        </w:rPr>
        <w:t xml:space="preserve"> the evident inequity between the treatment of </w:t>
      </w:r>
      <w:r w:rsidR="004377F3">
        <w:rPr>
          <w:rFonts w:ascii="Arial" w:hAnsi="Arial" w:cs="Arial"/>
        </w:rPr>
        <w:t>people who have self-funded their overseas pensions privately or through a government-administered scheme.</w:t>
      </w:r>
      <w:r w:rsidR="00646CB7">
        <w:rPr>
          <w:rFonts w:ascii="Arial" w:hAnsi="Arial" w:cs="Arial"/>
        </w:rPr>
        <w:t xml:space="preserve"> </w:t>
      </w:r>
    </w:p>
    <w:p w:rsidR="006F55C7" w:rsidRPr="006F55C7" w:rsidRDefault="006F55C7" w:rsidP="006F55C7">
      <w:pPr>
        <w:pStyle w:val="ListParagraph"/>
        <w:rPr>
          <w:rFonts w:ascii="Arial" w:hAnsi="Arial" w:cs="Arial"/>
        </w:rPr>
      </w:pPr>
    </w:p>
    <w:p w:rsidR="006F55C7" w:rsidRDefault="001E25A5" w:rsidP="0074590D">
      <w:pPr>
        <w:pStyle w:val="ListParagraph"/>
        <w:numPr>
          <w:ilvl w:val="0"/>
          <w:numId w:val="16"/>
        </w:numPr>
        <w:spacing w:line="360" w:lineRule="auto"/>
        <w:jc w:val="both"/>
        <w:rPr>
          <w:rFonts w:ascii="Arial" w:hAnsi="Arial" w:cs="Arial"/>
        </w:rPr>
      </w:pPr>
      <w:r>
        <w:rPr>
          <w:rFonts w:ascii="Arial" w:hAnsi="Arial" w:cs="Arial"/>
        </w:rPr>
        <w:t>Given the ongoing complaints the Commission receives regarding the inequitable impact of current policy, we would welcome the opportunity to provide MSD with input. The Commission would also recommend that the Social Services Committee closely m</w:t>
      </w:r>
      <w:r w:rsidR="009801A8">
        <w:rPr>
          <w:rFonts w:ascii="Arial" w:hAnsi="Arial" w:cs="Arial"/>
        </w:rPr>
        <w:t>onitors the development of</w:t>
      </w:r>
      <w:r>
        <w:rPr>
          <w:rFonts w:ascii="Arial" w:hAnsi="Arial" w:cs="Arial"/>
        </w:rPr>
        <w:t xml:space="preserve"> regulations</w:t>
      </w:r>
      <w:r w:rsidR="009801A8">
        <w:rPr>
          <w:rFonts w:ascii="Arial" w:hAnsi="Arial" w:cs="Arial"/>
        </w:rPr>
        <w:t xml:space="preserve"> under clause 413</w:t>
      </w:r>
      <w:r>
        <w:rPr>
          <w:rFonts w:ascii="Arial" w:hAnsi="Arial" w:cs="Arial"/>
        </w:rPr>
        <w:t>.</w:t>
      </w:r>
    </w:p>
    <w:p w:rsidR="00A63C5D" w:rsidRPr="00A63C5D" w:rsidRDefault="00A63C5D" w:rsidP="00A63C5D">
      <w:pPr>
        <w:pStyle w:val="ListParagraph"/>
        <w:rPr>
          <w:rFonts w:ascii="Arial" w:hAnsi="Arial" w:cs="Arial"/>
        </w:rPr>
      </w:pPr>
    </w:p>
    <w:p w:rsidR="00A63C5D" w:rsidRPr="00852E3E" w:rsidRDefault="00852E3E" w:rsidP="0074590D">
      <w:pPr>
        <w:pStyle w:val="ListParagraph"/>
        <w:numPr>
          <w:ilvl w:val="0"/>
          <w:numId w:val="16"/>
        </w:numPr>
        <w:spacing w:line="360" w:lineRule="auto"/>
        <w:jc w:val="both"/>
        <w:rPr>
          <w:rFonts w:ascii="Arial" w:hAnsi="Arial" w:cs="Arial"/>
          <w:b/>
        </w:rPr>
      </w:pPr>
      <w:r w:rsidRPr="00852E3E">
        <w:rPr>
          <w:rFonts w:ascii="Arial" w:hAnsi="Arial" w:cs="Arial"/>
          <w:b/>
        </w:rPr>
        <w:t>In light of the historical issues regarding the treatment of New Zealand residents with overseas pensions under s 70 of the Act, t</w:t>
      </w:r>
      <w:r w:rsidR="00274CFE" w:rsidRPr="00852E3E">
        <w:rPr>
          <w:rFonts w:ascii="Arial" w:hAnsi="Arial" w:cs="Arial"/>
          <w:b/>
        </w:rPr>
        <w:t xml:space="preserve">he Commission recommends that </w:t>
      </w:r>
      <w:r w:rsidR="00274CFE" w:rsidRPr="00852E3E">
        <w:rPr>
          <w:rFonts w:ascii="Arial" w:hAnsi="Arial" w:cs="Arial"/>
          <w:b/>
        </w:rPr>
        <w:lastRenderedPageBreak/>
        <w:t>the Social Services Committee</w:t>
      </w:r>
      <w:r w:rsidR="00105047" w:rsidRPr="00852E3E">
        <w:rPr>
          <w:rFonts w:ascii="Arial" w:hAnsi="Arial" w:cs="Arial"/>
          <w:b/>
        </w:rPr>
        <w:t xml:space="preserve"> considers the equity and fairness of the current policy settings </w:t>
      </w:r>
      <w:r w:rsidRPr="00852E3E">
        <w:rPr>
          <w:rFonts w:ascii="Arial" w:hAnsi="Arial" w:cs="Arial"/>
          <w:b/>
        </w:rPr>
        <w:t xml:space="preserve">reflected in clause 173-175 </w:t>
      </w:r>
      <w:r w:rsidR="00105047" w:rsidRPr="00852E3E">
        <w:rPr>
          <w:rFonts w:ascii="Arial" w:hAnsi="Arial" w:cs="Arial"/>
          <w:b/>
        </w:rPr>
        <w:t>of the Bill.</w:t>
      </w:r>
    </w:p>
    <w:p w:rsidR="00646CB7" w:rsidRPr="00646CB7" w:rsidRDefault="00646CB7" w:rsidP="00646CB7">
      <w:pPr>
        <w:pStyle w:val="ListParagraph"/>
        <w:rPr>
          <w:rFonts w:ascii="Arial" w:hAnsi="Arial" w:cs="Arial"/>
        </w:rPr>
      </w:pPr>
    </w:p>
    <w:p w:rsidR="00646CB7" w:rsidRPr="00942177" w:rsidRDefault="00646CB7" w:rsidP="00942177">
      <w:pPr>
        <w:pStyle w:val="ListParagraph"/>
        <w:spacing w:line="360" w:lineRule="auto"/>
        <w:ind w:left="0"/>
        <w:jc w:val="both"/>
        <w:rPr>
          <w:rFonts w:ascii="Arial" w:hAnsi="Arial" w:cs="Arial"/>
          <w:b/>
        </w:rPr>
      </w:pPr>
      <w:r w:rsidRPr="00942177">
        <w:rPr>
          <w:rFonts w:ascii="Arial" w:hAnsi="Arial" w:cs="Arial"/>
          <w:b/>
        </w:rPr>
        <w:t>Policy updates</w:t>
      </w:r>
    </w:p>
    <w:p w:rsidR="00646CB7" w:rsidRPr="00646CB7" w:rsidRDefault="00646CB7" w:rsidP="00646CB7">
      <w:pPr>
        <w:pStyle w:val="ListParagraph"/>
        <w:rPr>
          <w:rFonts w:ascii="Arial" w:hAnsi="Arial" w:cs="Arial"/>
        </w:rPr>
      </w:pPr>
    </w:p>
    <w:p w:rsidR="00646CB7" w:rsidRPr="001E25A5" w:rsidRDefault="00314902" w:rsidP="001E25A5">
      <w:pPr>
        <w:pStyle w:val="ListParagraph"/>
        <w:spacing w:line="360" w:lineRule="auto"/>
        <w:jc w:val="both"/>
        <w:rPr>
          <w:rFonts w:ascii="Arial" w:hAnsi="Arial" w:cs="Arial"/>
          <w:i/>
        </w:rPr>
      </w:pPr>
      <w:r>
        <w:rPr>
          <w:rFonts w:ascii="Arial" w:hAnsi="Arial" w:cs="Arial"/>
          <w:i/>
        </w:rPr>
        <w:t>Amending and renaming existing</w:t>
      </w:r>
      <w:r w:rsidR="005E4F51">
        <w:rPr>
          <w:rFonts w:ascii="Arial" w:hAnsi="Arial" w:cs="Arial"/>
          <w:i/>
        </w:rPr>
        <w:t xml:space="preserve"> </w:t>
      </w:r>
      <w:r w:rsidR="001E25A5" w:rsidRPr="001E25A5">
        <w:rPr>
          <w:rFonts w:ascii="Arial" w:hAnsi="Arial" w:cs="Arial"/>
          <w:i/>
        </w:rPr>
        <w:t>benefit</w:t>
      </w:r>
      <w:r>
        <w:rPr>
          <w:rFonts w:ascii="Arial" w:hAnsi="Arial" w:cs="Arial"/>
          <w:i/>
        </w:rPr>
        <w:t>s</w:t>
      </w:r>
    </w:p>
    <w:p w:rsidR="00646CB7" w:rsidRPr="00646CB7" w:rsidRDefault="00646CB7" w:rsidP="00646CB7">
      <w:pPr>
        <w:pStyle w:val="ListParagraph"/>
        <w:rPr>
          <w:rFonts w:ascii="Arial" w:hAnsi="Arial" w:cs="Arial"/>
        </w:rPr>
      </w:pPr>
    </w:p>
    <w:p w:rsidR="005E4F51" w:rsidRDefault="005A4838" w:rsidP="0074590D">
      <w:pPr>
        <w:pStyle w:val="ListParagraph"/>
        <w:numPr>
          <w:ilvl w:val="0"/>
          <w:numId w:val="16"/>
        </w:numPr>
        <w:spacing w:line="360" w:lineRule="auto"/>
        <w:jc w:val="both"/>
        <w:rPr>
          <w:rFonts w:ascii="Arial" w:hAnsi="Arial" w:cs="Arial"/>
        </w:rPr>
      </w:pPr>
      <w:r>
        <w:rPr>
          <w:rFonts w:ascii="Arial" w:hAnsi="Arial" w:cs="Arial"/>
        </w:rPr>
        <w:t xml:space="preserve">Clause 59 introduces a new benefit named the “Exceptional Circumstances Benefit” (‘ECB’) to replace the current emergency benefit under s 61 of the Act. The qualifying criteria for the ECB </w:t>
      </w:r>
      <w:r w:rsidR="005E4F51">
        <w:rPr>
          <w:rFonts w:ascii="Arial" w:hAnsi="Arial" w:cs="Arial"/>
        </w:rPr>
        <w:t>on their face</w:t>
      </w:r>
      <w:r w:rsidR="007936D5">
        <w:rPr>
          <w:rFonts w:ascii="Arial" w:hAnsi="Arial" w:cs="Arial"/>
        </w:rPr>
        <w:t xml:space="preserve"> is less prescriptive</w:t>
      </w:r>
      <w:r w:rsidR="005E4F51">
        <w:rPr>
          <w:rFonts w:ascii="Arial" w:hAnsi="Arial" w:cs="Arial"/>
        </w:rPr>
        <w:t xml:space="preserve">. </w:t>
      </w:r>
      <w:r>
        <w:rPr>
          <w:rFonts w:ascii="Arial" w:hAnsi="Arial" w:cs="Arial"/>
        </w:rPr>
        <w:t xml:space="preserve">The benefit rate remains at the discretion </w:t>
      </w:r>
      <w:r w:rsidR="005E4F51">
        <w:rPr>
          <w:rFonts w:ascii="Arial" w:hAnsi="Arial" w:cs="Arial"/>
        </w:rPr>
        <w:t>of MSD. Clause 59 also introduces a discretionary work-test obligation</w:t>
      </w:r>
      <w:r w:rsidR="00262A63">
        <w:rPr>
          <w:rFonts w:ascii="Arial" w:hAnsi="Arial" w:cs="Arial"/>
        </w:rPr>
        <w:t>, and sanctions will be able to be imposed for non-compliance</w:t>
      </w:r>
      <w:r w:rsidR="005E4F51">
        <w:rPr>
          <w:rFonts w:ascii="Arial" w:hAnsi="Arial" w:cs="Arial"/>
        </w:rPr>
        <w:t>. Social obligations in respect of dependent children (as regards attendance at school and early childhood education) also apply to recipients of the ECB under clause 114 of the Bill.</w:t>
      </w:r>
    </w:p>
    <w:p w:rsidR="00314902" w:rsidRPr="00314902" w:rsidRDefault="00314902" w:rsidP="00314902">
      <w:pPr>
        <w:pStyle w:val="ListParagraph"/>
        <w:spacing w:line="360" w:lineRule="auto"/>
        <w:jc w:val="both"/>
        <w:rPr>
          <w:rFonts w:ascii="Arial" w:hAnsi="Arial" w:cs="Arial"/>
        </w:rPr>
      </w:pPr>
    </w:p>
    <w:p w:rsidR="005E4F51" w:rsidRDefault="005E4F51" w:rsidP="0074590D">
      <w:pPr>
        <w:pStyle w:val="ListParagraph"/>
        <w:numPr>
          <w:ilvl w:val="0"/>
          <w:numId w:val="16"/>
        </w:numPr>
        <w:spacing w:line="360" w:lineRule="auto"/>
        <w:jc w:val="both"/>
        <w:rPr>
          <w:rFonts w:ascii="Arial" w:hAnsi="Arial" w:cs="Arial"/>
        </w:rPr>
      </w:pPr>
      <w:r>
        <w:rPr>
          <w:rFonts w:ascii="Arial" w:hAnsi="Arial" w:cs="Arial"/>
        </w:rPr>
        <w:t xml:space="preserve">Clauses 42 to 44 introduce </w:t>
      </w:r>
      <w:r w:rsidR="00314902">
        <w:rPr>
          <w:rFonts w:ascii="Arial" w:hAnsi="Arial" w:cs="Arial"/>
        </w:rPr>
        <w:t>a Supported Child Payment</w:t>
      </w:r>
      <w:r w:rsidR="00262A63">
        <w:rPr>
          <w:rFonts w:ascii="Arial" w:hAnsi="Arial" w:cs="Arial"/>
        </w:rPr>
        <w:t xml:space="preserve"> (SCP)</w:t>
      </w:r>
      <w:r w:rsidR="00314902">
        <w:rPr>
          <w:rFonts w:ascii="Arial" w:hAnsi="Arial" w:cs="Arial"/>
        </w:rPr>
        <w:t xml:space="preserve"> to replace the previous orphans</w:t>
      </w:r>
      <w:r w:rsidR="00752B7A">
        <w:rPr>
          <w:rFonts w:ascii="Arial" w:hAnsi="Arial" w:cs="Arial"/>
        </w:rPr>
        <w:t xml:space="preserve"> benefit (OB)</w:t>
      </w:r>
      <w:r w:rsidR="00314902">
        <w:rPr>
          <w:rFonts w:ascii="Arial" w:hAnsi="Arial" w:cs="Arial"/>
        </w:rPr>
        <w:t xml:space="preserve"> and unsupported child benefit</w:t>
      </w:r>
      <w:r w:rsidR="00752B7A">
        <w:rPr>
          <w:rFonts w:ascii="Arial" w:hAnsi="Arial" w:cs="Arial"/>
        </w:rPr>
        <w:t xml:space="preserve"> (UCB)</w:t>
      </w:r>
      <w:r w:rsidR="00314902">
        <w:rPr>
          <w:rFonts w:ascii="Arial" w:hAnsi="Arial" w:cs="Arial"/>
        </w:rPr>
        <w:t xml:space="preserve"> set out under </w:t>
      </w:r>
      <w:proofErr w:type="spellStart"/>
      <w:r w:rsidR="00314902">
        <w:rPr>
          <w:rFonts w:ascii="Arial" w:hAnsi="Arial" w:cs="Arial"/>
        </w:rPr>
        <w:t>ss</w:t>
      </w:r>
      <w:proofErr w:type="spellEnd"/>
      <w:r w:rsidR="00314902">
        <w:rPr>
          <w:rFonts w:ascii="Arial" w:hAnsi="Arial" w:cs="Arial"/>
        </w:rPr>
        <w:t xml:space="preserve"> 28-31 of the current Act. The amendments consolidate the current entitlements under those benefits and replace their outdated terminology. </w:t>
      </w:r>
      <w:r w:rsidR="00F22E88">
        <w:rPr>
          <w:rFonts w:ascii="Arial" w:hAnsi="Arial" w:cs="Arial"/>
        </w:rPr>
        <w:t>The Bill, however removes the current entitlement of step-parents to receive the orphans benefit</w:t>
      </w:r>
      <w:r w:rsidR="00752B7A">
        <w:rPr>
          <w:rFonts w:ascii="Arial" w:hAnsi="Arial" w:cs="Arial"/>
        </w:rPr>
        <w:t>, consistent with the current UCB eligibility criteria. The RIS considered that while extending SCP eligibility would be fair and transparent, step-parents are, like other parents, eligible for income support through their own benefit or through the Working for Families tax credits, essentially leading to a dual entitlement not available to other parents</w:t>
      </w:r>
      <w:r w:rsidR="00262A63">
        <w:rPr>
          <w:rStyle w:val="FootnoteReference"/>
          <w:rFonts w:ascii="Arial" w:hAnsi="Arial" w:cs="Arial"/>
        </w:rPr>
        <w:footnoteReference w:id="43"/>
      </w:r>
      <w:r w:rsidR="00752B7A">
        <w:rPr>
          <w:rFonts w:ascii="Arial" w:hAnsi="Arial" w:cs="Arial"/>
        </w:rPr>
        <w:t>.</w:t>
      </w:r>
      <w:r w:rsidR="00262A63">
        <w:rPr>
          <w:rFonts w:ascii="Arial" w:hAnsi="Arial" w:cs="Arial"/>
        </w:rPr>
        <w:t xml:space="preserve"> T</w:t>
      </w:r>
      <w:r w:rsidR="00752B7A">
        <w:rPr>
          <w:rFonts w:ascii="Arial" w:hAnsi="Arial" w:cs="Arial"/>
        </w:rPr>
        <w:t>ransitional provisions of the Bill, however, enable</w:t>
      </w:r>
      <w:r w:rsidR="00262A63">
        <w:rPr>
          <w:rFonts w:ascii="Arial" w:hAnsi="Arial" w:cs="Arial"/>
        </w:rPr>
        <w:t xml:space="preserve"> step-parents currently receiving the</w:t>
      </w:r>
      <w:r w:rsidR="00752B7A">
        <w:rPr>
          <w:rFonts w:ascii="Arial" w:hAnsi="Arial" w:cs="Arial"/>
        </w:rPr>
        <w:t xml:space="preserve"> OB</w:t>
      </w:r>
      <w:r w:rsidR="00262A63">
        <w:rPr>
          <w:rFonts w:ascii="Arial" w:hAnsi="Arial" w:cs="Arial"/>
        </w:rPr>
        <w:t xml:space="preserve"> to continue to do so and provides that OB</w:t>
      </w:r>
      <w:r w:rsidR="00752B7A">
        <w:rPr>
          <w:rFonts w:ascii="Arial" w:hAnsi="Arial" w:cs="Arial"/>
        </w:rPr>
        <w:t xml:space="preserve"> applications made befo</w:t>
      </w:r>
      <w:r w:rsidR="007F42BB">
        <w:rPr>
          <w:rFonts w:ascii="Arial" w:hAnsi="Arial" w:cs="Arial"/>
        </w:rPr>
        <w:t>re the legislative changeover will</w:t>
      </w:r>
      <w:r w:rsidR="00752B7A">
        <w:rPr>
          <w:rFonts w:ascii="Arial" w:hAnsi="Arial" w:cs="Arial"/>
        </w:rPr>
        <w:t xml:space="preserve"> be determined</w:t>
      </w:r>
      <w:r w:rsidR="00262A63">
        <w:rPr>
          <w:rFonts w:ascii="Arial" w:hAnsi="Arial" w:cs="Arial"/>
        </w:rPr>
        <w:t xml:space="preserve"> as SCP applications</w:t>
      </w:r>
      <w:r w:rsidR="00752B7A">
        <w:rPr>
          <w:rFonts w:ascii="Arial" w:hAnsi="Arial" w:cs="Arial"/>
        </w:rPr>
        <w:t xml:space="preserve"> using the criteria under the 1964 Act.</w:t>
      </w:r>
      <w:r w:rsidR="00262A63">
        <w:rPr>
          <w:rStyle w:val="FootnoteReference"/>
          <w:rFonts w:ascii="Arial" w:hAnsi="Arial" w:cs="Arial"/>
        </w:rPr>
        <w:footnoteReference w:id="44"/>
      </w:r>
      <w:r w:rsidR="00752B7A">
        <w:rPr>
          <w:rFonts w:ascii="Arial" w:hAnsi="Arial" w:cs="Arial"/>
        </w:rPr>
        <w:t xml:space="preserve"> </w:t>
      </w:r>
    </w:p>
    <w:p w:rsidR="005E4F51" w:rsidRPr="005E4F51" w:rsidRDefault="005E4F51" w:rsidP="005E4F51">
      <w:pPr>
        <w:pStyle w:val="ListParagraph"/>
        <w:rPr>
          <w:rFonts w:ascii="Arial" w:hAnsi="Arial" w:cs="Arial"/>
        </w:rPr>
      </w:pPr>
    </w:p>
    <w:p w:rsidR="005E4F51" w:rsidRDefault="00262A63" w:rsidP="0074590D">
      <w:pPr>
        <w:pStyle w:val="ListParagraph"/>
        <w:numPr>
          <w:ilvl w:val="0"/>
          <w:numId w:val="16"/>
        </w:numPr>
        <w:spacing w:line="360" w:lineRule="auto"/>
        <w:jc w:val="both"/>
        <w:rPr>
          <w:rFonts w:ascii="Arial" w:hAnsi="Arial" w:cs="Arial"/>
        </w:rPr>
      </w:pPr>
      <w:r>
        <w:rPr>
          <w:rFonts w:ascii="Arial" w:hAnsi="Arial" w:cs="Arial"/>
        </w:rPr>
        <w:t xml:space="preserve">The impact of these </w:t>
      </w:r>
      <w:r w:rsidR="00BA4994">
        <w:rPr>
          <w:rFonts w:ascii="Arial" w:hAnsi="Arial" w:cs="Arial"/>
        </w:rPr>
        <w:t>amendments</w:t>
      </w:r>
      <w:r>
        <w:rPr>
          <w:rFonts w:ascii="Arial" w:hAnsi="Arial" w:cs="Arial"/>
        </w:rPr>
        <w:t xml:space="preserve"> is difficult to predict. While they do not appear to introduce a</w:t>
      </w:r>
      <w:r w:rsidR="009A310D">
        <w:rPr>
          <w:rFonts w:ascii="Arial" w:hAnsi="Arial" w:cs="Arial"/>
        </w:rPr>
        <w:t xml:space="preserve"> significantly narrow</w:t>
      </w:r>
      <w:r>
        <w:rPr>
          <w:rFonts w:ascii="Arial" w:hAnsi="Arial" w:cs="Arial"/>
        </w:rPr>
        <w:t>ing</w:t>
      </w:r>
      <w:r w:rsidR="009A310D">
        <w:rPr>
          <w:rFonts w:ascii="Arial" w:hAnsi="Arial" w:cs="Arial"/>
        </w:rPr>
        <w:t xml:space="preserve"> or broaden</w:t>
      </w:r>
      <w:r>
        <w:rPr>
          <w:rFonts w:ascii="Arial" w:hAnsi="Arial" w:cs="Arial"/>
        </w:rPr>
        <w:t>ing</w:t>
      </w:r>
      <w:r w:rsidR="007F42BB">
        <w:rPr>
          <w:rFonts w:ascii="Arial" w:hAnsi="Arial" w:cs="Arial"/>
        </w:rPr>
        <w:t xml:space="preserve"> of</w:t>
      </w:r>
      <w:r w:rsidR="009A310D">
        <w:rPr>
          <w:rFonts w:ascii="Arial" w:hAnsi="Arial" w:cs="Arial"/>
        </w:rPr>
        <w:t xml:space="preserve"> eligibility criteria</w:t>
      </w:r>
      <w:r>
        <w:rPr>
          <w:rFonts w:ascii="Arial" w:hAnsi="Arial" w:cs="Arial"/>
        </w:rPr>
        <w:t xml:space="preserve">, </w:t>
      </w:r>
      <w:r w:rsidR="00EF5A01">
        <w:rPr>
          <w:rFonts w:ascii="Arial" w:hAnsi="Arial" w:cs="Arial"/>
        </w:rPr>
        <w:t xml:space="preserve">it will be critical that their introduction does not have a detrimental impact on current and </w:t>
      </w:r>
      <w:r w:rsidR="007F42BB">
        <w:rPr>
          <w:rFonts w:ascii="Arial" w:hAnsi="Arial" w:cs="Arial"/>
        </w:rPr>
        <w:t>future recipients. In the case of the ECB</w:t>
      </w:r>
      <w:r w:rsidR="00EF5A01">
        <w:rPr>
          <w:rFonts w:ascii="Arial" w:hAnsi="Arial" w:cs="Arial"/>
        </w:rPr>
        <w:t>, it will be par</w:t>
      </w:r>
      <w:r w:rsidR="007F42BB">
        <w:rPr>
          <w:rFonts w:ascii="Arial" w:hAnsi="Arial" w:cs="Arial"/>
        </w:rPr>
        <w:t>ticularly important that the exercise</w:t>
      </w:r>
      <w:r w:rsidR="00EF5A01">
        <w:rPr>
          <w:rFonts w:ascii="Arial" w:hAnsi="Arial" w:cs="Arial"/>
        </w:rPr>
        <w:t xml:space="preserve"> of </w:t>
      </w:r>
      <w:r w:rsidR="007F42BB">
        <w:rPr>
          <w:rFonts w:ascii="Arial" w:hAnsi="Arial" w:cs="Arial"/>
        </w:rPr>
        <w:t xml:space="preserve">administrative </w:t>
      </w:r>
      <w:r w:rsidR="00EF5A01">
        <w:rPr>
          <w:rFonts w:ascii="Arial" w:hAnsi="Arial" w:cs="Arial"/>
        </w:rPr>
        <w:t>discretion is guided by the application of human rights principles. We accordingly reiterate our recommendation</w:t>
      </w:r>
      <w:r w:rsidR="007F42BB">
        <w:rPr>
          <w:rFonts w:ascii="Arial" w:hAnsi="Arial" w:cs="Arial"/>
        </w:rPr>
        <w:t xml:space="preserve"> at paragraph 24b above</w:t>
      </w:r>
      <w:r w:rsidR="007F42BB" w:rsidRPr="007F42BB">
        <w:rPr>
          <w:rFonts w:ascii="Arial" w:hAnsi="Arial" w:cs="Arial"/>
        </w:rPr>
        <w:t xml:space="preserve"> that </w:t>
      </w:r>
      <w:r w:rsidR="007F42BB">
        <w:rPr>
          <w:rFonts w:ascii="Arial" w:hAnsi="Arial" w:cs="Arial"/>
        </w:rPr>
        <w:t xml:space="preserve">the Bill include a principle under clause 4 that </w:t>
      </w:r>
      <w:r w:rsidR="007F42BB" w:rsidRPr="007F42BB">
        <w:rPr>
          <w:rFonts w:ascii="Arial" w:hAnsi="Arial" w:cs="Arial"/>
        </w:rPr>
        <w:t xml:space="preserve">any person performing or exercising a duty, function, or </w:t>
      </w:r>
      <w:r w:rsidR="007F42BB" w:rsidRPr="007F42BB">
        <w:rPr>
          <w:rFonts w:ascii="Arial" w:hAnsi="Arial" w:cs="Arial"/>
        </w:rPr>
        <w:lastRenderedPageBreak/>
        <w:t xml:space="preserve">power under </w:t>
      </w:r>
      <w:r w:rsidR="007F42BB">
        <w:rPr>
          <w:rFonts w:ascii="Arial" w:hAnsi="Arial" w:cs="Arial"/>
        </w:rPr>
        <w:t xml:space="preserve">its auspices </w:t>
      </w:r>
      <w:r w:rsidR="007F42BB" w:rsidRPr="007F42BB">
        <w:rPr>
          <w:rFonts w:ascii="Arial" w:hAnsi="Arial" w:cs="Arial"/>
        </w:rPr>
        <w:t xml:space="preserve">must </w:t>
      </w:r>
      <w:r w:rsidR="007F42BB">
        <w:rPr>
          <w:rFonts w:ascii="Arial" w:hAnsi="Arial" w:cs="Arial"/>
        </w:rPr>
        <w:t xml:space="preserve">be required </w:t>
      </w:r>
      <w:r w:rsidR="007F42BB" w:rsidRPr="007F42BB">
        <w:rPr>
          <w:rFonts w:ascii="Arial" w:hAnsi="Arial" w:cs="Arial"/>
        </w:rPr>
        <w:t>have regard to the Government’s human rights obligations</w:t>
      </w:r>
      <w:r w:rsidR="007F42BB">
        <w:rPr>
          <w:rFonts w:ascii="Arial" w:hAnsi="Arial" w:cs="Arial"/>
        </w:rPr>
        <w:t xml:space="preserve"> when doing so.</w:t>
      </w:r>
    </w:p>
    <w:p w:rsidR="009A310D" w:rsidRPr="009A310D" w:rsidRDefault="009A310D" w:rsidP="009A310D">
      <w:pPr>
        <w:pStyle w:val="ListParagraph"/>
        <w:rPr>
          <w:rFonts w:ascii="Arial" w:hAnsi="Arial" w:cs="Arial"/>
        </w:rPr>
      </w:pPr>
    </w:p>
    <w:p w:rsidR="009A310D" w:rsidRPr="009A310D" w:rsidRDefault="009A310D" w:rsidP="009A310D">
      <w:pPr>
        <w:pStyle w:val="ListParagraph"/>
        <w:spacing w:line="360" w:lineRule="auto"/>
        <w:jc w:val="both"/>
        <w:rPr>
          <w:rFonts w:ascii="Arial" w:hAnsi="Arial" w:cs="Arial"/>
          <w:i/>
        </w:rPr>
      </w:pPr>
      <w:r w:rsidRPr="009A310D">
        <w:rPr>
          <w:rFonts w:ascii="Arial" w:hAnsi="Arial" w:cs="Arial"/>
          <w:i/>
        </w:rPr>
        <w:t>Redirecting benefits</w:t>
      </w:r>
    </w:p>
    <w:p w:rsidR="009A310D" w:rsidRPr="009A310D" w:rsidRDefault="009A310D" w:rsidP="009A310D">
      <w:pPr>
        <w:pStyle w:val="ListParagraph"/>
        <w:rPr>
          <w:rFonts w:ascii="Arial" w:hAnsi="Arial" w:cs="Arial"/>
        </w:rPr>
      </w:pPr>
    </w:p>
    <w:p w:rsidR="0000552F" w:rsidRDefault="007936D5" w:rsidP="0074590D">
      <w:pPr>
        <w:pStyle w:val="ListParagraph"/>
        <w:numPr>
          <w:ilvl w:val="0"/>
          <w:numId w:val="16"/>
        </w:numPr>
        <w:spacing w:line="360" w:lineRule="auto"/>
        <w:jc w:val="both"/>
        <w:rPr>
          <w:rFonts w:ascii="Arial" w:hAnsi="Arial" w:cs="Arial"/>
        </w:rPr>
      </w:pPr>
      <w:r>
        <w:rPr>
          <w:rFonts w:ascii="Arial" w:hAnsi="Arial" w:cs="Arial"/>
        </w:rPr>
        <w:t>Clause 421(2)(a) enables regulations to be developed to specify circumstances i</w:t>
      </w:r>
      <w:r w:rsidR="00CA7237">
        <w:rPr>
          <w:rFonts w:ascii="Arial" w:hAnsi="Arial" w:cs="Arial"/>
        </w:rPr>
        <w:t>n which payments made to a bene</w:t>
      </w:r>
      <w:r>
        <w:rPr>
          <w:rFonts w:ascii="Arial" w:hAnsi="Arial" w:cs="Arial"/>
        </w:rPr>
        <w:t>fic</w:t>
      </w:r>
      <w:r w:rsidR="00CA7237">
        <w:rPr>
          <w:rFonts w:ascii="Arial" w:hAnsi="Arial" w:cs="Arial"/>
        </w:rPr>
        <w:t>i</w:t>
      </w:r>
      <w:r>
        <w:rPr>
          <w:rFonts w:ascii="Arial" w:hAnsi="Arial" w:cs="Arial"/>
        </w:rPr>
        <w:t xml:space="preserve">ary may be redirected with or without </w:t>
      </w:r>
      <w:r w:rsidR="00CA7237">
        <w:rPr>
          <w:rFonts w:ascii="Arial" w:hAnsi="Arial" w:cs="Arial"/>
        </w:rPr>
        <w:t>good ca</w:t>
      </w:r>
      <w:r w:rsidR="008101F3">
        <w:rPr>
          <w:rFonts w:ascii="Arial" w:hAnsi="Arial" w:cs="Arial"/>
        </w:rPr>
        <w:t>u</w:t>
      </w:r>
      <w:r w:rsidR="00CA7237">
        <w:rPr>
          <w:rFonts w:ascii="Arial" w:hAnsi="Arial" w:cs="Arial"/>
        </w:rPr>
        <w:t>se, or wit</w:t>
      </w:r>
      <w:r>
        <w:rPr>
          <w:rFonts w:ascii="Arial" w:hAnsi="Arial" w:cs="Arial"/>
        </w:rPr>
        <w:t>h or w</w:t>
      </w:r>
      <w:r w:rsidR="00CA7237">
        <w:rPr>
          <w:rFonts w:ascii="Arial" w:hAnsi="Arial" w:cs="Arial"/>
        </w:rPr>
        <w:t>ithout the beneficiary’s</w:t>
      </w:r>
      <w:r>
        <w:rPr>
          <w:rFonts w:ascii="Arial" w:hAnsi="Arial" w:cs="Arial"/>
        </w:rPr>
        <w:t xml:space="preserve"> consent.</w:t>
      </w:r>
      <w:r w:rsidR="0000552F">
        <w:rPr>
          <w:rFonts w:ascii="Arial" w:hAnsi="Arial" w:cs="Arial"/>
        </w:rPr>
        <w:t xml:space="preserve"> </w:t>
      </w:r>
      <w:r w:rsidR="00CA7237" w:rsidRPr="0000552F">
        <w:rPr>
          <w:rFonts w:ascii="Arial" w:hAnsi="Arial" w:cs="Arial"/>
        </w:rPr>
        <w:t xml:space="preserve">The Commission is concerned by the approach </w:t>
      </w:r>
      <w:r w:rsidR="0000552F" w:rsidRPr="0000552F">
        <w:rPr>
          <w:rFonts w:ascii="Arial" w:hAnsi="Arial" w:cs="Arial"/>
        </w:rPr>
        <w:t>taken by</w:t>
      </w:r>
      <w:r w:rsidR="00CA7237" w:rsidRPr="0000552F">
        <w:rPr>
          <w:rFonts w:ascii="Arial" w:hAnsi="Arial" w:cs="Arial"/>
        </w:rPr>
        <w:t xml:space="preserve"> the Bill and notes that the policy rationale for this reform is not explained in the Bill’s Explanatory Note. </w:t>
      </w:r>
    </w:p>
    <w:p w:rsidR="0000552F" w:rsidRDefault="0000552F" w:rsidP="0000552F">
      <w:pPr>
        <w:pStyle w:val="ListParagraph"/>
        <w:spacing w:line="360" w:lineRule="auto"/>
        <w:jc w:val="both"/>
        <w:rPr>
          <w:rFonts w:ascii="Arial" w:hAnsi="Arial" w:cs="Arial"/>
        </w:rPr>
      </w:pPr>
    </w:p>
    <w:p w:rsidR="007936D5" w:rsidRPr="0000552F" w:rsidRDefault="0000552F" w:rsidP="0074590D">
      <w:pPr>
        <w:pStyle w:val="ListParagraph"/>
        <w:numPr>
          <w:ilvl w:val="0"/>
          <w:numId w:val="16"/>
        </w:numPr>
        <w:spacing w:line="360" w:lineRule="auto"/>
        <w:jc w:val="both"/>
        <w:rPr>
          <w:rFonts w:ascii="Arial" w:hAnsi="Arial" w:cs="Arial"/>
        </w:rPr>
      </w:pPr>
      <w:r w:rsidRPr="0000552F">
        <w:rPr>
          <w:rFonts w:ascii="Arial" w:hAnsi="Arial" w:cs="Arial"/>
        </w:rPr>
        <w:t xml:space="preserve">Part 3 of the RIS </w:t>
      </w:r>
      <w:r w:rsidR="00CA7237" w:rsidRPr="0000552F">
        <w:rPr>
          <w:rFonts w:ascii="Arial" w:hAnsi="Arial" w:cs="Arial"/>
        </w:rPr>
        <w:t>covers this aspect of the reform in some detail. The RIS notes that redirection of benefits</w:t>
      </w:r>
      <w:r>
        <w:rPr>
          <w:rFonts w:ascii="Arial" w:hAnsi="Arial" w:cs="Arial"/>
        </w:rPr>
        <w:t xml:space="preserve"> to third parties to manage</w:t>
      </w:r>
      <w:r w:rsidR="00CA7237" w:rsidRPr="0000552F">
        <w:rPr>
          <w:rFonts w:ascii="Arial" w:hAnsi="Arial" w:cs="Arial"/>
        </w:rPr>
        <w:t xml:space="preserve"> </w:t>
      </w:r>
      <w:r>
        <w:rPr>
          <w:rFonts w:ascii="Arial" w:hAnsi="Arial" w:cs="Arial"/>
        </w:rPr>
        <w:t xml:space="preserve">are </w:t>
      </w:r>
      <w:r w:rsidRPr="0000552F">
        <w:rPr>
          <w:rFonts w:ascii="Arial" w:hAnsi="Arial" w:cs="Arial"/>
        </w:rPr>
        <w:t xml:space="preserve">“a useful tool for enabling clients to </w:t>
      </w:r>
      <w:r>
        <w:rPr>
          <w:rFonts w:ascii="Arial" w:hAnsi="Arial" w:cs="Arial"/>
        </w:rPr>
        <w:t>budget within their benefit income…”.</w:t>
      </w:r>
      <w:r>
        <w:rPr>
          <w:rStyle w:val="FootnoteReference"/>
          <w:rFonts w:ascii="Arial" w:hAnsi="Arial" w:cs="Arial"/>
        </w:rPr>
        <w:footnoteReference w:id="45"/>
      </w:r>
      <w:r>
        <w:rPr>
          <w:rFonts w:ascii="Arial" w:hAnsi="Arial" w:cs="Arial"/>
        </w:rPr>
        <w:t xml:space="preserve"> The RIS points to UK research that indicates that the redirection of benefit income can have positive effects (such as enabling management of debt and avoiding creditor sanctions) and negative effects (for example, leaving low income households with insufficient finances to cover household expenses.</w:t>
      </w:r>
      <w:r>
        <w:rPr>
          <w:rStyle w:val="FootnoteReference"/>
          <w:rFonts w:ascii="Arial" w:hAnsi="Arial" w:cs="Arial"/>
        </w:rPr>
        <w:footnoteReference w:id="46"/>
      </w:r>
    </w:p>
    <w:p w:rsidR="00CA7237" w:rsidRPr="00CA7237" w:rsidRDefault="00CA7237" w:rsidP="00CA7237">
      <w:pPr>
        <w:pStyle w:val="ListParagraph"/>
        <w:rPr>
          <w:rFonts w:ascii="Arial" w:hAnsi="Arial" w:cs="Arial"/>
        </w:rPr>
      </w:pPr>
    </w:p>
    <w:p w:rsidR="0016030B" w:rsidRDefault="0000552F" w:rsidP="0074590D">
      <w:pPr>
        <w:pStyle w:val="ListParagraph"/>
        <w:numPr>
          <w:ilvl w:val="0"/>
          <w:numId w:val="16"/>
        </w:numPr>
        <w:spacing w:line="360" w:lineRule="auto"/>
        <w:jc w:val="both"/>
        <w:rPr>
          <w:rFonts w:ascii="Arial" w:hAnsi="Arial" w:cs="Arial"/>
        </w:rPr>
      </w:pPr>
      <w:r>
        <w:rPr>
          <w:rFonts w:ascii="Arial" w:hAnsi="Arial" w:cs="Arial"/>
        </w:rPr>
        <w:t xml:space="preserve">What is clear, however, is that the redirection of income without good cause or consent raises human rights considerations, particularly where doing so would impact detrimentally on the subject’s economic right to an adequate standard of living. </w:t>
      </w:r>
    </w:p>
    <w:p w:rsidR="0016030B" w:rsidRPr="0016030B" w:rsidRDefault="0016030B" w:rsidP="0016030B">
      <w:pPr>
        <w:pStyle w:val="ListParagraph"/>
        <w:rPr>
          <w:rFonts w:ascii="Arial" w:hAnsi="Arial" w:cs="Arial"/>
        </w:rPr>
      </w:pPr>
    </w:p>
    <w:p w:rsidR="00CA7237" w:rsidRDefault="0000552F" w:rsidP="0074590D">
      <w:pPr>
        <w:pStyle w:val="ListParagraph"/>
        <w:numPr>
          <w:ilvl w:val="0"/>
          <w:numId w:val="16"/>
        </w:numPr>
        <w:spacing w:line="360" w:lineRule="auto"/>
        <w:jc w:val="both"/>
        <w:rPr>
          <w:rFonts w:ascii="Arial" w:hAnsi="Arial" w:cs="Arial"/>
        </w:rPr>
      </w:pPr>
      <w:r>
        <w:rPr>
          <w:rFonts w:ascii="Arial" w:hAnsi="Arial" w:cs="Arial"/>
        </w:rPr>
        <w:t>The RIS indicates that</w:t>
      </w:r>
      <w:r w:rsidR="000B3A2F">
        <w:rPr>
          <w:rFonts w:ascii="Arial" w:hAnsi="Arial" w:cs="Arial"/>
        </w:rPr>
        <w:t xml:space="preserve"> the rationale for clause 421 appears largely to underpin </w:t>
      </w:r>
      <w:r>
        <w:rPr>
          <w:rFonts w:ascii="Arial" w:hAnsi="Arial" w:cs="Arial"/>
        </w:rPr>
        <w:t>current redirection practices</w:t>
      </w:r>
      <w:r w:rsidR="000B3A2F">
        <w:rPr>
          <w:rFonts w:ascii="Arial" w:hAnsi="Arial" w:cs="Arial"/>
        </w:rPr>
        <w:t xml:space="preserve"> that are undertaken to pay social housing rent. The RIS goes on to state that</w:t>
      </w:r>
      <w:r w:rsidR="007F42BB">
        <w:rPr>
          <w:rFonts w:ascii="Arial" w:hAnsi="Arial" w:cs="Arial"/>
        </w:rPr>
        <w:t>,</w:t>
      </w:r>
      <w:r w:rsidR="000B3A2F">
        <w:rPr>
          <w:rFonts w:ascii="Arial" w:hAnsi="Arial" w:cs="Arial"/>
        </w:rPr>
        <w:t xml:space="preserve"> </w:t>
      </w:r>
      <w:r w:rsidR="0016030B">
        <w:rPr>
          <w:rFonts w:ascii="Arial" w:hAnsi="Arial" w:cs="Arial"/>
        </w:rPr>
        <w:t>in terms of rights compliance</w:t>
      </w:r>
      <w:r w:rsidR="007F42BB">
        <w:rPr>
          <w:rFonts w:ascii="Arial" w:hAnsi="Arial" w:cs="Arial"/>
        </w:rPr>
        <w:t>,</w:t>
      </w:r>
      <w:r w:rsidR="0016030B">
        <w:rPr>
          <w:rFonts w:ascii="Arial" w:hAnsi="Arial" w:cs="Arial"/>
        </w:rPr>
        <w:t xml:space="preserve"> </w:t>
      </w:r>
      <w:r w:rsidR="000B3A2F">
        <w:rPr>
          <w:rFonts w:ascii="Arial" w:hAnsi="Arial" w:cs="Arial"/>
        </w:rPr>
        <w:t>“we [MSD] consider that the approach in the case of social housing is justifiable</w:t>
      </w:r>
      <w:r w:rsidR="0016030B">
        <w:rPr>
          <w:rFonts w:ascii="Arial" w:hAnsi="Arial" w:cs="Arial"/>
        </w:rPr>
        <w:t>…we have confidence in the advice on the [NZBORA] compatibility in part because the Ministry and its legal representatives have had success in defending policies that have been the subject of complaints.”</w:t>
      </w:r>
      <w:r w:rsidR="0016030B">
        <w:rPr>
          <w:rStyle w:val="FootnoteReference"/>
          <w:rFonts w:ascii="Arial" w:hAnsi="Arial" w:cs="Arial"/>
        </w:rPr>
        <w:footnoteReference w:id="47"/>
      </w:r>
    </w:p>
    <w:p w:rsidR="000B3A2F" w:rsidRPr="000B3A2F" w:rsidRDefault="000B3A2F" w:rsidP="000B3A2F">
      <w:pPr>
        <w:pStyle w:val="ListParagraph"/>
        <w:rPr>
          <w:rFonts w:ascii="Arial" w:hAnsi="Arial" w:cs="Arial"/>
        </w:rPr>
      </w:pPr>
    </w:p>
    <w:p w:rsidR="000B3A2F" w:rsidRDefault="0016030B" w:rsidP="0074590D">
      <w:pPr>
        <w:pStyle w:val="ListParagraph"/>
        <w:numPr>
          <w:ilvl w:val="0"/>
          <w:numId w:val="16"/>
        </w:numPr>
        <w:spacing w:line="360" w:lineRule="auto"/>
        <w:jc w:val="both"/>
        <w:rPr>
          <w:rFonts w:ascii="Arial" w:hAnsi="Arial" w:cs="Arial"/>
        </w:rPr>
      </w:pPr>
      <w:r>
        <w:rPr>
          <w:rFonts w:ascii="Arial" w:hAnsi="Arial" w:cs="Arial"/>
        </w:rPr>
        <w:t>That</w:t>
      </w:r>
      <w:r w:rsidR="00623267">
        <w:rPr>
          <w:rFonts w:ascii="Arial" w:hAnsi="Arial" w:cs="Arial"/>
        </w:rPr>
        <w:t xml:space="preserve"> may well be the case but we would expect a more</w:t>
      </w:r>
      <w:r w:rsidR="008101F3">
        <w:rPr>
          <w:rFonts w:ascii="Arial" w:hAnsi="Arial" w:cs="Arial"/>
        </w:rPr>
        <w:t xml:space="preserve"> robust approach to developing human rights consistent policy.</w:t>
      </w:r>
      <w:r w:rsidR="00ED38B6">
        <w:rPr>
          <w:rFonts w:ascii="Arial" w:hAnsi="Arial" w:cs="Arial"/>
        </w:rPr>
        <w:t xml:space="preserve"> </w:t>
      </w:r>
    </w:p>
    <w:p w:rsidR="00CA7237" w:rsidRPr="00CA7237" w:rsidRDefault="00CA7237" w:rsidP="00CA7237">
      <w:pPr>
        <w:pStyle w:val="ListParagraph"/>
        <w:rPr>
          <w:rFonts w:ascii="Arial" w:hAnsi="Arial" w:cs="Arial"/>
        </w:rPr>
      </w:pPr>
    </w:p>
    <w:p w:rsidR="009A310D" w:rsidRPr="00ED38B6" w:rsidRDefault="00ED38B6" w:rsidP="0074590D">
      <w:pPr>
        <w:pStyle w:val="ListParagraph"/>
        <w:numPr>
          <w:ilvl w:val="0"/>
          <w:numId w:val="16"/>
        </w:numPr>
        <w:spacing w:line="360" w:lineRule="auto"/>
        <w:jc w:val="both"/>
        <w:rPr>
          <w:rFonts w:ascii="Arial" w:hAnsi="Arial" w:cs="Arial"/>
        </w:rPr>
      </w:pPr>
      <w:r w:rsidRPr="00ED38B6">
        <w:rPr>
          <w:rFonts w:ascii="Arial" w:hAnsi="Arial" w:cs="Arial"/>
        </w:rPr>
        <w:t>Clause 421 is open-ended in terms of its application</w:t>
      </w:r>
      <w:r>
        <w:rPr>
          <w:rFonts w:ascii="Arial" w:hAnsi="Arial" w:cs="Arial"/>
        </w:rPr>
        <w:t xml:space="preserve"> and does not include any reference to social housing</w:t>
      </w:r>
      <w:r w:rsidRPr="00ED38B6">
        <w:rPr>
          <w:rFonts w:ascii="Arial" w:hAnsi="Arial" w:cs="Arial"/>
        </w:rPr>
        <w:t xml:space="preserve">. </w:t>
      </w:r>
      <w:r>
        <w:rPr>
          <w:rFonts w:ascii="Arial" w:hAnsi="Arial" w:cs="Arial"/>
        </w:rPr>
        <w:t xml:space="preserve">Likewise, the </w:t>
      </w:r>
      <w:r w:rsidRPr="00ED38B6">
        <w:rPr>
          <w:rFonts w:ascii="Arial" w:hAnsi="Arial" w:cs="Arial"/>
        </w:rPr>
        <w:t xml:space="preserve">Bill’s Explanatory Note </w:t>
      </w:r>
      <w:r>
        <w:rPr>
          <w:rFonts w:ascii="Arial" w:hAnsi="Arial" w:cs="Arial"/>
        </w:rPr>
        <w:t xml:space="preserve">does not </w:t>
      </w:r>
      <w:r w:rsidRPr="00ED38B6">
        <w:rPr>
          <w:rFonts w:ascii="Arial" w:hAnsi="Arial" w:cs="Arial"/>
        </w:rPr>
        <w:t xml:space="preserve">refer to any </w:t>
      </w:r>
      <w:r>
        <w:rPr>
          <w:rFonts w:ascii="Arial" w:hAnsi="Arial" w:cs="Arial"/>
        </w:rPr>
        <w:lastRenderedPageBreak/>
        <w:t xml:space="preserve">intention for the provision to be primarily directed towards this purpose. In addition, </w:t>
      </w:r>
      <w:r w:rsidRPr="00ED38B6">
        <w:rPr>
          <w:rFonts w:ascii="Arial" w:hAnsi="Arial" w:cs="Arial"/>
        </w:rPr>
        <w:t>the Attorney-General does not</w:t>
      </w:r>
      <w:r>
        <w:rPr>
          <w:rFonts w:ascii="Arial" w:hAnsi="Arial" w:cs="Arial"/>
        </w:rPr>
        <w:t xml:space="preserve"> appear to have </w:t>
      </w:r>
      <w:r w:rsidR="007F42BB">
        <w:rPr>
          <w:rFonts w:ascii="Arial" w:hAnsi="Arial" w:cs="Arial"/>
        </w:rPr>
        <w:t xml:space="preserve">specifically </w:t>
      </w:r>
      <w:r>
        <w:rPr>
          <w:rFonts w:ascii="Arial" w:hAnsi="Arial" w:cs="Arial"/>
        </w:rPr>
        <w:t xml:space="preserve">considered clause 421 </w:t>
      </w:r>
      <w:r w:rsidRPr="00ED38B6">
        <w:rPr>
          <w:rFonts w:ascii="Arial" w:hAnsi="Arial" w:cs="Arial"/>
        </w:rPr>
        <w:t>in his s 7 report.</w:t>
      </w:r>
    </w:p>
    <w:p w:rsidR="009A310D" w:rsidRPr="009A310D" w:rsidRDefault="009A310D" w:rsidP="009A310D">
      <w:pPr>
        <w:pStyle w:val="ListParagraph"/>
        <w:rPr>
          <w:rFonts w:ascii="Arial" w:hAnsi="Arial" w:cs="Arial"/>
        </w:rPr>
      </w:pPr>
    </w:p>
    <w:p w:rsidR="00D53CBA" w:rsidRDefault="00E0279B" w:rsidP="0074590D">
      <w:pPr>
        <w:pStyle w:val="ListParagraph"/>
        <w:numPr>
          <w:ilvl w:val="0"/>
          <w:numId w:val="16"/>
        </w:numPr>
        <w:spacing w:line="360" w:lineRule="auto"/>
        <w:jc w:val="both"/>
        <w:rPr>
          <w:rFonts w:ascii="Arial" w:hAnsi="Arial" w:cs="Arial"/>
        </w:rPr>
      </w:pPr>
      <w:r>
        <w:rPr>
          <w:rFonts w:ascii="Arial" w:hAnsi="Arial" w:cs="Arial"/>
        </w:rPr>
        <w:t>The</w:t>
      </w:r>
      <w:r w:rsidR="00DD4CA8">
        <w:rPr>
          <w:rFonts w:ascii="Arial" w:hAnsi="Arial" w:cs="Arial"/>
        </w:rPr>
        <w:t xml:space="preserve"> Commission considers that the</w:t>
      </w:r>
      <w:r>
        <w:rPr>
          <w:rFonts w:ascii="Arial" w:hAnsi="Arial" w:cs="Arial"/>
        </w:rPr>
        <w:t xml:space="preserve"> Bill’s overall approach to </w:t>
      </w:r>
      <w:r w:rsidR="007F42BB">
        <w:rPr>
          <w:rFonts w:ascii="Arial" w:hAnsi="Arial" w:cs="Arial"/>
        </w:rPr>
        <w:t xml:space="preserve">the </w:t>
      </w:r>
      <w:r>
        <w:rPr>
          <w:rFonts w:ascii="Arial" w:hAnsi="Arial" w:cs="Arial"/>
        </w:rPr>
        <w:t>redirection of benefit income under clause 421 does not appear to conform with the human rights requirement that social security qualifying criteria is reasonable, proportionate and transparent.</w:t>
      </w:r>
      <w:r>
        <w:rPr>
          <w:rStyle w:val="FootnoteReference"/>
          <w:rFonts w:ascii="Arial" w:hAnsi="Arial" w:cs="Arial"/>
        </w:rPr>
        <w:footnoteReference w:id="48"/>
      </w:r>
      <w:r>
        <w:rPr>
          <w:rFonts w:ascii="Arial" w:hAnsi="Arial" w:cs="Arial"/>
        </w:rPr>
        <w:t xml:space="preserve"> The approach is also inconsistent with the Explanatory Note’s</w:t>
      </w:r>
      <w:r w:rsidRPr="00E0279B">
        <w:rPr>
          <w:rFonts w:ascii="Arial" w:hAnsi="Arial" w:cs="Arial"/>
        </w:rPr>
        <w:t xml:space="preserve"> </w:t>
      </w:r>
      <w:r>
        <w:rPr>
          <w:rFonts w:ascii="Arial" w:hAnsi="Arial" w:cs="Arial"/>
        </w:rPr>
        <w:t xml:space="preserve">statement of intent that </w:t>
      </w:r>
      <w:r w:rsidRPr="00E0279B">
        <w:rPr>
          <w:rFonts w:ascii="Arial" w:hAnsi="Arial" w:cs="Arial"/>
        </w:rPr>
        <w:t>“matters relating to human rights and freedoms” and “provisions that confer economic rights”</w:t>
      </w:r>
      <w:r>
        <w:rPr>
          <w:rFonts w:ascii="Arial" w:hAnsi="Arial" w:cs="Arial"/>
        </w:rPr>
        <w:t xml:space="preserve"> will be </w:t>
      </w:r>
      <w:r w:rsidRPr="00E0279B">
        <w:rPr>
          <w:rFonts w:ascii="Arial" w:hAnsi="Arial" w:cs="Arial"/>
        </w:rPr>
        <w:t>included in primary legislation.</w:t>
      </w:r>
      <w:r w:rsidR="00D53CBA">
        <w:rPr>
          <w:rFonts w:ascii="Arial" w:hAnsi="Arial" w:cs="Arial"/>
        </w:rPr>
        <w:t xml:space="preserve"> </w:t>
      </w:r>
    </w:p>
    <w:p w:rsidR="00D53CBA" w:rsidRPr="00D53CBA" w:rsidRDefault="00D53CBA" w:rsidP="00D53CBA">
      <w:pPr>
        <w:pStyle w:val="ListParagraph"/>
        <w:rPr>
          <w:rFonts w:ascii="Arial" w:hAnsi="Arial" w:cs="Arial"/>
        </w:rPr>
      </w:pPr>
    </w:p>
    <w:p w:rsidR="009A310D" w:rsidRDefault="00D53CBA" w:rsidP="0074590D">
      <w:pPr>
        <w:pStyle w:val="ListParagraph"/>
        <w:numPr>
          <w:ilvl w:val="0"/>
          <w:numId w:val="16"/>
        </w:numPr>
        <w:spacing w:line="360" w:lineRule="auto"/>
        <w:jc w:val="both"/>
        <w:rPr>
          <w:rFonts w:ascii="Arial" w:hAnsi="Arial" w:cs="Arial"/>
        </w:rPr>
      </w:pPr>
      <w:r>
        <w:rPr>
          <w:rFonts w:ascii="Arial" w:hAnsi="Arial" w:cs="Arial"/>
        </w:rPr>
        <w:t>The Commission considers that the development and implementation of any regulatory framework under clause 421 of the Bill should be consistent with human right</w:t>
      </w:r>
      <w:r w:rsidR="007F42BB">
        <w:rPr>
          <w:rFonts w:ascii="Arial" w:hAnsi="Arial" w:cs="Arial"/>
        </w:rPr>
        <w:t>s standards and principles. The issues arising from clause 421</w:t>
      </w:r>
      <w:r>
        <w:rPr>
          <w:rFonts w:ascii="Arial" w:hAnsi="Arial" w:cs="Arial"/>
        </w:rPr>
        <w:t xml:space="preserve"> further emphasises the importance of ensuring that the purposive provisions of the Bill under clauses 3 and 4 of the Bill expressly obligate human rights consistent policy development, impleme</w:t>
      </w:r>
      <w:r w:rsidR="007F42BB">
        <w:rPr>
          <w:rFonts w:ascii="Arial" w:hAnsi="Arial" w:cs="Arial"/>
        </w:rPr>
        <w:t>ntation and administrative decis</w:t>
      </w:r>
      <w:r>
        <w:rPr>
          <w:rFonts w:ascii="Arial" w:hAnsi="Arial" w:cs="Arial"/>
        </w:rPr>
        <w:t>ion-</w:t>
      </w:r>
      <w:bookmarkStart w:id="0" w:name="_GoBack"/>
      <w:bookmarkEnd w:id="0"/>
      <w:r>
        <w:rPr>
          <w:rFonts w:ascii="Arial" w:hAnsi="Arial" w:cs="Arial"/>
        </w:rPr>
        <w:t>making.</w:t>
      </w:r>
    </w:p>
    <w:p w:rsidR="00E0279B" w:rsidRPr="00E0279B" w:rsidRDefault="00E0279B" w:rsidP="00E0279B">
      <w:pPr>
        <w:pStyle w:val="ListParagraph"/>
        <w:rPr>
          <w:rFonts w:ascii="Arial" w:hAnsi="Arial" w:cs="Arial"/>
        </w:rPr>
      </w:pPr>
    </w:p>
    <w:p w:rsidR="00105047" w:rsidRPr="00105047" w:rsidRDefault="00E0279B" w:rsidP="0074590D">
      <w:pPr>
        <w:pStyle w:val="ListParagraph"/>
        <w:numPr>
          <w:ilvl w:val="0"/>
          <w:numId w:val="16"/>
        </w:numPr>
        <w:spacing w:line="360" w:lineRule="auto"/>
        <w:jc w:val="both"/>
        <w:rPr>
          <w:rFonts w:ascii="Arial" w:hAnsi="Arial" w:cs="Arial"/>
          <w:b/>
        </w:rPr>
      </w:pPr>
      <w:r w:rsidRPr="00105047">
        <w:rPr>
          <w:rFonts w:ascii="Arial" w:hAnsi="Arial" w:cs="Arial"/>
          <w:b/>
        </w:rPr>
        <w:t xml:space="preserve">The Commission </w:t>
      </w:r>
      <w:r w:rsidR="00DD4CA8" w:rsidRPr="00105047">
        <w:rPr>
          <w:rFonts w:ascii="Arial" w:hAnsi="Arial" w:cs="Arial"/>
          <w:b/>
        </w:rPr>
        <w:t xml:space="preserve">accordingly </w:t>
      </w:r>
      <w:r w:rsidRPr="00105047">
        <w:rPr>
          <w:rFonts w:ascii="Arial" w:hAnsi="Arial" w:cs="Arial"/>
          <w:b/>
        </w:rPr>
        <w:t>recommends that</w:t>
      </w:r>
      <w:r w:rsidR="00105047" w:rsidRPr="00105047">
        <w:rPr>
          <w:rFonts w:ascii="Arial" w:hAnsi="Arial" w:cs="Arial"/>
          <w:b/>
        </w:rPr>
        <w:t>:</w:t>
      </w:r>
    </w:p>
    <w:p w:rsidR="00105047" w:rsidRPr="00105047" w:rsidRDefault="00105047" w:rsidP="00105047">
      <w:pPr>
        <w:pStyle w:val="ListParagraph"/>
        <w:rPr>
          <w:rFonts w:ascii="Arial" w:hAnsi="Arial" w:cs="Arial"/>
          <w:b/>
        </w:rPr>
      </w:pPr>
    </w:p>
    <w:p w:rsidR="00105047" w:rsidRPr="00105047" w:rsidRDefault="00942177" w:rsidP="00105047">
      <w:pPr>
        <w:pStyle w:val="ListParagraph"/>
        <w:numPr>
          <w:ilvl w:val="0"/>
          <w:numId w:val="26"/>
        </w:numPr>
        <w:spacing w:line="360" w:lineRule="auto"/>
        <w:jc w:val="both"/>
        <w:rPr>
          <w:rFonts w:ascii="Arial" w:hAnsi="Arial" w:cs="Arial"/>
          <w:b/>
        </w:rPr>
      </w:pPr>
      <w:r>
        <w:rPr>
          <w:rFonts w:ascii="Arial" w:hAnsi="Arial" w:cs="Arial"/>
          <w:b/>
        </w:rPr>
        <w:t>T</w:t>
      </w:r>
      <w:r w:rsidR="00E0279B" w:rsidRPr="00105047">
        <w:rPr>
          <w:rFonts w:ascii="Arial" w:hAnsi="Arial" w:cs="Arial"/>
          <w:b/>
        </w:rPr>
        <w:t xml:space="preserve">he Committee reviews clause 421 and considers </w:t>
      </w:r>
      <w:r w:rsidR="00DD4CA8" w:rsidRPr="00105047">
        <w:rPr>
          <w:rFonts w:ascii="Arial" w:hAnsi="Arial" w:cs="Arial"/>
          <w:b/>
        </w:rPr>
        <w:t xml:space="preserve">the extent to which </w:t>
      </w:r>
      <w:r w:rsidR="00E0279B" w:rsidRPr="00105047">
        <w:rPr>
          <w:rFonts w:ascii="Arial" w:hAnsi="Arial" w:cs="Arial"/>
          <w:b/>
        </w:rPr>
        <w:t>redirection provisions ought to be included</w:t>
      </w:r>
      <w:r w:rsidR="00DD4CA8" w:rsidRPr="00105047">
        <w:rPr>
          <w:rFonts w:ascii="Arial" w:hAnsi="Arial" w:cs="Arial"/>
          <w:b/>
        </w:rPr>
        <w:t xml:space="preserve"> in primary legislation, given the human rights implications. </w:t>
      </w:r>
    </w:p>
    <w:p w:rsidR="00105047" w:rsidRPr="00105047" w:rsidRDefault="00105047" w:rsidP="00105047">
      <w:pPr>
        <w:pStyle w:val="ListParagraph"/>
        <w:spacing w:line="360" w:lineRule="auto"/>
        <w:ind w:left="1080"/>
        <w:jc w:val="both"/>
        <w:rPr>
          <w:rFonts w:ascii="Arial" w:hAnsi="Arial" w:cs="Arial"/>
          <w:b/>
        </w:rPr>
      </w:pPr>
    </w:p>
    <w:p w:rsidR="00E0279B" w:rsidRPr="00105047" w:rsidRDefault="00105047" w:rsidP="00105047">
      <w:pPr>
        <w:pStyle w:val="ListParagraph"/>
        <w:numPr>
          <w:ilvl w:val="0"/>
          <w:numId w:val="26"/>
        </w:numPr>
        <w:spacing w:line="360" w:lineRule="auto"/>
        <w:jc w:val="both"/>
        <w:rPr>
          <w:rFonts w:ascii="Arial" w:hAnsi="Arial" w:cs="Arial"/>
          <w:b/>
        </w:rPr>
      </w:pPr>
      <w:r w:rsidRPr="00105047">
        <w:rPr>
          <w:rFonts w:ascii="Arial" w:hAnsi="Arial" w:cs="Arial"/>
          <w:b/>
        </w:rPr>
        <w:t xml:space="preserve">That </w:t>
      </w:r>
      <w:r w:rsidR="00DD4CA8" w:rsidRPr="00105047">
        <w:rPr>
          <w:rFonts w:ascii="Arial" w:hAnsi="Arial" w:cs="Arial"/>
          <w:b/>
        </w:rPr>
        <w:t xml:space="preserve">“without good cause” </w:t>
      </w:r>
      <w:r w:rsidRPr="00105047">
        <w:rPr>
          <w:rFonts w:ascii="Arial" w:hAnsi="Arial" w:cs="Arial"/>
          <w:b/>
        </w:rPr>
        <w:t xml:space="preserve">is deleted </w:t>
      </w:r>
      <w:r w:rsidR="00DD4CA8" w:rsidRPr="00105047">
        <w:rPr>
          <w:rFonts w:ascii="Arial" w:hAnsi="Arial" w:cs="Arial"/>
          <w:b/>
        </w:rPr>
        <w:t xml:space="preserve">from clause 421(2)(a). The Commission notes that the RIS does not appear to </w:t>
      </w:r>
      <w:r w:rsidR="00535D2C" w:rsidRPr="00105047">
        <w:rPr>
          <w:rFonts w:ascii="Arial" w:hAnsi="Arial" w:cs="Arial"/>
          <w:b/>
        </w:rPr>
        <w:t>identify or analyse any circumstance where the use of redi</w:t>
      </w:r>
      <w:r w:rsidR="00154BC4" w:rsidRPr="00105047">
        <w:rPr>
          <w:rFonts w:ascii="Arial" w:hAnsi="Arial" w:cs="Arial"/>
          <w:b/>
        </w:rPr>
        <w:t>rection without good cause can</w:t>
      </w:r>
      <w:r w:rsidR="00535D2C" w:rsidRPr="00105047">
        <w:rPr>
          <w:rFonts w:ascii="Arial" w:hAnsi="Arial" w:cs="Arial"/>
          <w:b/>
        </w:rPr>
        <w:t xml:space="preserve"> be justified.</w:t>
      </w:r>
    </w:p>
    <w:p w:rsidR="007C2F4B" w:rsidRDefault="007C2F4B" w:rsidP="0056378C">
      <w:pPr>
        <w:pStyle w:val="NoSpacing"/>
        <w:spacing w:line="360" w:lineRule="auto"/>
        <w:ind w:left="720"/>
        <w:jc w:val="both"/>
        <w:rPr>
          <w:rFonts w:ascii="Arial" w:hAnsi="Arial" w:cs="Arial"/>
        </w:rPr>
      </w:pPr>
    </w:p>
    <w:p w:rsidR="00607B67" w:rsidRDefault="00607B67" w:rsidP="00607B67">
      <w:pPr>
        <w:pStyle w:val="NoSpacing"/>
        <w:spacing w:line="360" w:lineRule="auto"/>
        <w:ind w:left="720"/>
        <w:jc w:val="both"/>
        <w:rPr>
          <w:rFonts w:ascii="Arial" w:hAnsi="Arial" w:cs="Arial"/>
        </w:rPr>
      </w:pPr>
    </w:p>
    <w:p w:rsidR="00625ACA" w:rsidRDefault="00625ACA" w:rsidP="00625ACA">
      <w:pPr>
        <w:pStyle w:val="ListParagraph"/>
        <w:rPr>
          <w:rFonts w:ascii="Arial" w:hAnsi="Arial" w:cs="Arial"/>
        </w:rPr>
      </w:pPr>
    </w:p>
    <w:p w:rsidR="009A7511" w:rsidRDefault="009A7511" w:rsidP="009A7511">
      <w:pPr>
        <w:pStyle w:val="NoSpacing"/>
        <w:spacing w:line="360" w:lineRule="auto"/>
        <w:jc w:val="both"/>
        <w:rPr>
          <w:rFonts w:ascii="Arial" w:hAnsi="Arial" w:cs="Arial"/>
          <w:b/>
        </w:rPr>
      </w:pPr>
    </w:p>
    <w:p w:rsidR="009A7511" w:rsidRPr="00DC63B5" w:rsidRDefault="009A7511" w:rsidP="009A7511">
      <w:pPr>
        <w:pStyle w:val="NoSpacing"/>
        <w:spacing w:line="360" w:lineRule="auto"/>
        <w:jc w:val="both"/>
        <w:rPr>
          <w:rFonts w:ascii="Arial" w:hAnsi="Arial" w:cs="Arial"/>
        </w:rPr>
      </w:pPr>
    </w:p>
    <w:p w:rsidR="007E1F38" w:rsidRPr="00DE29E2" w:rsidRDefault="007E1F38" w:rsidP="00DE29E2">
      <w:pPr>
        <w:pStyle w:val="ListParagraph"/>
        <w:spacing w:line="360" w:lineRule="auto"/>
        <w:rPr>
          <w:rFonts w:ascii="Arial" w:hAnsi="Arial" w:cs="Arial"/>
        </w:rPr>
      </w:pPr>
    </w:p>
    <w:p w:rsidR="00960104" w:rsidRPr="00DE29E2" w:rsidRDefault="00960104" w:rsidP="00DE29E2">
      <w:pPr>
        <w:pStyle w:val="NoSpacing"/>
        <w:spacing w:line="360" w:lineRule="auto"/>
        <w:rPr>
          <w:rFonts w:ascii="Arial" w:hAnsi="Arial" w:cs="Arial"/>
        </w:rPr>
      </w:pPr>
    </w:p>
    <w:sectPr w:rsidR="00960104" w:rsidRPr="00DE29E2" w:rsidSect="004D773A">
      <w:footerReference w:type="default" r:id="rId10"/>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B52" w:rsidRDefault="006A3B52" w:rsidP="00533131">
      <w:pPr>
        <w:spacing w:after="0" w:line="240" w:lineRule="auto"/>
      </w:pPr>
      <w:r>
        <w:separator/>
      </w:r>
    </w:p>
  </w:endnote>
  <w:endnote w:type="continuationSeparator" w:id="0">
    <w:p w:rsidR="006A3B52" w:rsidRDefault="006A3B52" w:rsidP="0053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87754"/>
      <w:docPartObj>
        <w:docPartGallery w:val="Page Numbers (Bottom of Page)"/>
        <w:docPartUnique/>
      </w:docPartObj>
    </w:sdtPr>
    <w:sdtEndPr>
      <w:rPr>
        <w:noProof/>
      </w:rPr>
    </w:sdtEndPr>
    <w:sdtContent>
      <w:p w:rsidR="009801A8" w:rsidRDefault="009801A8">
        <w:pPr>
          <w:pStyle w:val="Footer"/>
          <w:jc w:val="center"/>
        </w:pPr>
        <w:r>
          <w:fldChar w:fldCharType="begin"/>
        </w:r>
        <w:r>
          <w:instrText xml:space="preserve"> PAGE   \* MERGEFORMAT </w:instrText>
        </w:r>
        <w:r>
          <w:fldChar w:fldCharType="separate"/>
        </w:r>
        <w:r w:rsidR="00623267">
          <w:rPr>
            <w:noProof/>
          </w:rPr>
          <w:t>15</w:t>
        </w:r>
        <w:r>
          <w:rPr>
            <w:noProof/>
          </w:rPr>
          <w:fldChar w:fldCharType="end"/>
        </w:r>
      </w:p>
    </w:sdtContent>
  </w:sdt>
  <w:p w:rsidR="009801A8" w:rsidRDefault="00980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B52" w:rsidRDefault="006A3B52" w:rsidP="00533131">
      <w:pPr>
        <w:spacing w:after="0" w:line="240" w:lineRule="auto"/>
      </w:pPr>
      <w:r>
        <w:separator/>
      </w:r>
    </w:p>
  </w:footnote>
  <w:footnote w:type="continuationSeparator" w:id="0">
    <w:p w:rsidR="006A3B52" w:rsidRDefault="006A3B52" w:rsidP="00533131">
      <w:pPr>
        <w:spacing w:after="0" w:line="240" w:lineRule="auto"/>
      </w:pPr>
      <w:r>
        <w:continuationSeparator/>
      </w:r>
    </w:p>
  </w:footnote>
  <w:footnote w:id="1">
    <w:p w:rsidR="009801A8" w:rsidRPr="00192EC1" w:rsidRDefault="009801A8">
      <w:pPr>
        <w:pStyle w:val="FootnoteText"/>
        <w:rPr>
          <w:b/>
        </w:rPr>
      </w:pPr>
      <w:r>
        <w:rPr>
          <w:rStyle w:val="FootnoteReference"/>
        </w:rPr>
        <w:footnoteRef/>
      </w:r>
      <w:r>
        <w:t xml:space="preserve"> These include submissions on the</w:t>
      </w:r>
      <w:r w:rsidRPr="00192EC1">
        <w:t xml:space="preserve"> Social Security (Youth Support and Work Focus) Amendment Bill</w:t>
      </w:r>
      <w:r>
        <w:t xml:space="preserve"> (12 April 2012)</w:t>
      </w:r>
      <w:r w:rsidRPr="00192EC1">
        <w:t>, Social Security (Benefit Categories and Work Focus) Amendment Bill</w:t>
      </w:r>
      <w:r>
        <w:t xml:space="preserve"> (1 November 2012), </w:t>
      </w:r>
      <w:r w:rsidRPr="00192EC1">
        <w:t>Social Security</w:t>
      </w:r>
      <w:r>
        <w:t xml:space="preserve"> </w:t>
      </w:r>
      <w:r w:rsidRPr="00192EC1">
        <w:t>(Fraud Measures and Debt Recovery) Amendment Bill</w:t>
      </w:r>
      <w:r>
        <w:t xml:space="preserve"> (10 October 2013),</w:t>
      </w:r>
      <w:r w:rsidRPr="00192EC1">
        <w:rPr>
          <w:rFonts w:ascii="Arial" w:hAnsi="Arial" w:cs="Arial"/>
        </w:rPr>
        <w:t xml:space="preserve"> </w:t>
      </w:r>
      <w:r w:rsidRPr="00192EC1">
        <w:t>Support for Children in Hardship Bill</w:t>
      </w:r>
      <w:r>
        <w:t xml:space="preserve"> (8 July 2015),</w:t>
      </w:r>
      <w:r w:rsidRPr="00192EC1">
        <w:rPr>
          <w:rFonts w:ascii="Arial" w:hAnsi="Arial" w:cs="Arial"/>
        </w:rPr>
        <w:t xml:space="preserve"> </w:t>
      </w:r>
      <w:r w:rsidRPr="00192EC1">
        <w:t>Social Security (Extension of Young Persons Services and Remedial Matters) Amendment Bill</w:t>
      </w:r>
      <w:r>
        <w:t xml:space="preserve"> (9 September 2015)</w:t>
      </w:r>
      <w:r>
        <w:rPr>
          <w:b/>
        </w:rPr>
        <w:t>.</w:t>
      </w:r>
    </w:p>
  </w:footnote>
  <w:footnote w:id="2">
    <w:p w:rsidR="009801A8" w:rsidRDefault="009801A8">
      <w:pPr>
        <w:pStyle w:val="FootnoteText"/>
      </w:pPr>
      <w:r>
        <w:rPr>
          <w:rStyle w:val="FootnoteReference"/>
        </w:rPr>
        <w:footnoteRef/>
      </w:r>
      <w:r>
        <w:t xml:space="preserve"> The UN SDG targets on poverty include reduction, at least by half, in the proportion of men, women and children living in poverty in all its dimensions according to national dimensions.</w:t>
      </w:r>
      <w:r w:rsidRPr="00736C7D">
        <w:t xml:space="preserve"> http://www.un.org/sustainabledevelopment/poverty/</w:t>
      </w:r>
    </w:p>
  </w:footnote>
  <w:footnote w:id="3">
    <w:p w:rsidR="009801A8" w:rsidRDefault="009801A8">
      <w:pPr>
        <w:pStyle w:val="FootnoteText"/>
      </w:pPr>
      <w:r>
        <w:rPr>
          <w:rStyle w:val="FootnoteReference"/>
        </w:rPr>
        <w:footnoteRef/>
      </w:r>
      <w:r>
        <w:t xml:space="preserve"> The UN SDG targets on reducing inequality include progressively and sustainable increasing the income growth of the bottom 40 percent of the population at a rate higher than the national average by 2030; and promoting and empowering the social, economic and political inclusion of all, </w:t>
      </w:r>
      <w:r w:rsidRPr="007A6B9B">
        <w:rPr>
          <w:lang w:val="en-US"/>
        </w:rPr>
        <w:t>irrespective of age, sex, disability, race, ethnicity, origin, religion or economic or other status</w:t>
      </w:r>
      <w:r>
        <w:rPr>
          <w:lang w:val="en-US"/>
        </w:rPr>
        <w:t xml:space="preserve"> by 2030; </w:t>
      </w:r>
      <w:r w:rsidRPr="007A6B9B">
        <w:rPr>
          <w:lang w:val="en-US"/>
        </w:rPr>
        <w:t>http://www.un.org/sustainabledevelopment/inequality/</w:t>
      </w:r>
    </w:p>
  </w:footnote>
  <w:footnote w:id="4">
    <w:p w:rsidR="009801A8" w:rsidRDefault="009801A8">
      <w:pPr>
        <w:pStyle w:val="FootnoteText"/>
      </w:pPr>
      <w:r>
        <w:rPr>
          <w:rStyle w:val="FootnoteReference"/>
        </w:rPr>
        <w:footnoteRef/>
      </w:r>
      <w:r>
        <w:t xml:space="preserve"> Articles 9-11 – NOTE: </w:t>
      </w:r>
      <w:r w:rsidRPr="002A32DF">
        <w:t>The right to social security is a long standing international human right, recognised in the Declaration of Philadelphia 1944 and later incorporated in the 1948 Universal Declaration on Human Rights (Art. 22)</w:t>
      </w:r>
    </w:p>
  </w:footnote>
  <w:footnote w:id="5">
    <w:p w:rsidR="009801A8" w:rsidRDefault="009801A8">
      <w:pPr>
        <w:pStyle w:val="FootnoteText"/>
      </w:pPr>
      <w:r>
        <w:rPr>
          <w:rStyle w:val="FootnoteReference"/>
        </w:rPr>
        <w:footnoteRef/>
      </w:r>
      <w:r>
        <w:t xml:space="preserve"> Articles 26 and 27</w:t>
      </w:r>
    </w:p>
  </w:footnote>
  <w:footnote w:id="6">
    <w:p w:rsidR="009801A8" w:rsidRDefault="009801A8">
      <w:pPr>
        <w:pStyle w:val="FootnoteText"/>
      </w:pPr>
      <w:r>
        <w:rPr>
          <w:rStyle w:val="FootnoteReference"/>
        </w:rPr>
        <w:footnoteRef/>
      </w:r>
      <w:r>
        <w:t xml:space="preserve"> Article 28</w:t>
      </w:r>
    </w:p>
  </w:footnote>
  <w:footnote w:id="7">
    <w:p w:rsidR="009801A8" w:rsidRDefault="009801A8">
      <w:pPr>
        <w:pStyle w:val="FootnoteText"/>
      </w:pPr>
      <w:r>
        <w:rPr>
          <w:rStyle w:val="FootnoteReference"/>
        </w:rPr>
        <w:footnoteRef/>
      </w:r>
      <w:r>
        <w:t xml:space="preserve"> </w:t>
      </w:r>
      <w:r w:rsidRPr="004A7BB6">
        <w:t>UN Committee on Economic, Social and Cultural Rights, General Comment 19 on the right to social security, 4 February 2008, E/C.12/GC/19. General Comments are interpretations of aspects of treaties by the international body responsible for monitoring their implementation. As such they are regarded as the most authoritative legal interpretation of how a treaty should be implemented and indicate the requirements and standards that must be satisfied to ensure a State does not breach its international commitments</w:t>
      </w:r>
    </w:p>
  </w:footnote>
  <w:footnote w:id="8">
    <w:p w:rsidR="009801A8" w:rsidRDefault="009801A8">
      <w:pPr>
        <w:pStyle w:val="FootnoteText"/>
      </w:pPr>
      <w:r>
        <w:rPr>
          <w:rStyle w:val="FootnoteReference"/>
        </w:rPr>
        <w:footnoteRef/>
      </w:r>
      <w:r>
        <w:t xml:space="preserve"> </w:t>
      </w:r>
      <w:r w:rsidRPr="00152A86">
        <w:t>UN Committee on Economic, Social and Cultural Rights, General Comment 19 on the right to social security, 4 February 2008, E/C.12/GC/19, para 9</w:t>
      </w:r>
    </w:p>
  </w:footnote>
  <w:footnote w:id="9">
    <w:p w:rsidR="009801A8" w:rsidRDefault="009801A8">
      <w:pPr>
        <w:pStyle w:val="FootnoteText"/>
      </w:pPr>
      <w:r>
        <w:rPr>
          <w:rStyle w:val="FootnoteReference"/>
        </w:rPr>
        <w:footnoteRef/>
      </w:r>
      <w:r>
        <w:t xml:space="preserve"> </w:t>
      </w:r>
      <w:r w:rsidRPr="00152A86">
        <w:t>Ibid para 10</w:t>
      </w:r>
    </w:p>
  </w:footnote>
  <w:footnote w:id="10">
    <w:p w:rsidR="009801A8" w:rsidRDefault="009801A8">
      <w:pPr>
        <w:pStyle w:val="FootnoteText"/>
      </w:pPr>
      <w:r>
        <w:rPr>
          <w:rStyle w:val="FootnoteReference"/>
        </w:rPr>
        <w:footnoteRef/>
      </w:r>
      <w:r>
        <w:t xml:space="preserve"> </w:t>
      </w:r>
      <w:r w:rsidRPr="00152A86">
        <w:t>Ibid para 18</w:t>
      </w:r>
    </w:p>
  </w:footnote>
  <w:footnote w:id="11">
    <w:p w:rsidR="009801A8" w:rsidRDefault="009801A8">
      <w:pPr>
        <w:pStyle w:val="FootnoteText"/>
      </w:pPr>
      <w:r>
        <w:rPr>
          <w:rStyle w:val="FootnoteReference"/>
        </w:rPr>
        <w:footnoteRef/>
      </w:r>
      <w:r>
        <w:t xml:space="preserve"> </w:t>
      </w:r>
      <w:r w:rsidRPr="00152A86">
        <w:t>Ibid para 22,23</w:t>
      </w:r>
    </w:p>
  </w:footnote>
  <w:footnote w:id="12">
    <w:p w:rsidR="009801A8" w:rsidRDefault="009801A8">
      <w:pPr>
        <w:pStyle w:val="FootnoteText"/>
      </w:pPr>
      <w:r>
        <w:rPr>
          <w:rStyle w:val="FootnoteReference"/>
        </w:rPr>
        <w:footnoteRef/>
      </w:r>
      <w:r>
        <w:t xml:space="preserve"> </w:t>
      </w:r>
      <w:r w:rsidRPr="00152A86">
        <w:t>Ibid para 24</w:t>
      </w:r>
    </w:p>
  </w:footnote>
  <w:footnote w:id="13">
    <w:p w:rsidR="009801A8" w:rsidRDefault="009801A8">
      <w:pPr>
        <w:pStyle w:val="FootnoteText"/>
      </w:pPr>
      <w:r>
        <w:rPr>
          <w:rStyle w:val="FootnoteReference"/>
        </w:rPr>
        <w:footnoteRef/>
      </w:r>
      <w:r>
        <w:t xml:space="preserve"> </w:t>
      </w:r>
      <w:r w:rsidRPr="00152A86">
        <w:t>Ibid para 30</w:t>
      </w:r>
    </w:p>
  </w:footnote>
  <w:footnote w:id="14">
    <w:p w:rsidR="009801A8" w:rsidRDefault="009801A8">
      <w:pPr>
        <w:pStyle w:val="FootnoteText"/>
      </w:pPr>
      <w:r>
        <w:rPr>
          <w:rStyle w:val="FootnoteReference"/>
        </w:rPr>
        <w:footnoteRef/>
      </w:r>
      <w:r>
        <w:t xml:space="preserve"> </w:t>
      </w:r>
      <w:r w:rsidRPr="00152A86">
        <w:t>Ibid para 42</w:t>
      </w:r>
    </w:p>
  </w:footnote>
  <w:footnote w:id="15">
    <w:p w:rsidR="009801A8" w:rsidRDefault="009801A8">
      <w:pPr>
        <w:pStyle w:val="FootnoteText"/>
      </w:pPr>
      <w:r>
        <w:rPr>
          <w:rStyle w:val="FootnoteReference"/>
        </w:rPr>
        <w:footnoteRef/>
      </w:r>
      <w:r>
        <w:t xml:space="preserve"> </w:t>
      </w:r>
      <w:r w:rsidRPr="00152A86">
        <w:t>Ibid para 78</w:t>
      </w:r>
    </w:p>
  </w:footnote>
  <w:footnote w:id="16">
    <w:p w:rsidR="009801A8" w:rsidRDefault="009801A8">
      <w:pPr>
        <w:pStyle w:val="FootnoteText"/>
      </w:pPr>
      <w:r>
        <w:rPr>
          <w:rStyle w:val="FootnoteReference"/>
        </w:rPr>
        <w:footnoteRef/>
      </w:r>
      <w:r>
        <w:t xml:space="preserve"> Ministry of Social Development, </w:t>
      </w:r>
      <w:r w:rsidRPr="00AE5C75">
        <w:rPr>
          <w:i/>
        </w:rPr>
        <w:t>Regulatory Impact Statement: Policy changes proposed as a part of the rewrite of the Social Security Act 1964</w:t>
      </w:r>
      <w:r>
        <w:rPr>
          <w:i/>
        </w:rPr>
        <w:t xml:space="preserve"> </w:t>
      </w:r>
      <w:r>
        <w:t xml:space="preserve">(hereafter ‘RIS’), Part 1, p 8-15 </w:t>
      </w:r>
    </w:p>
  </w:footnote>
  <w:footnote w:id="17">
    <w:p w:rsidR="009801A8" w:rsidRDefault="009801A8">
      <w:pPr>
        <w:pStyle w:val="FootnoteText"/>
      </w:pPr>
      <w:r>
        <w:rPr>
          <w:rStyle w:val="FootnoteReference"/>
        </w:rPr>
        <w:footnoteRef/>
      </w:r>
      <w:r>
        <w:t xml:space="preserve"> Ibid at para 25, p 9</w:t>
      </w:r>
    </w:p>
  </w:footnote>
  <w:footnote w:id="18">
    <w:p w:rsidR="009801A8" w:rsidRDefault="009801A8">
      <w:pPr>
        <w:pStyle w:val="FootnoteText"/>
      </w:pPr>
      <w:r>
        <w:rPr>
          <w:rStyle w:val="FootnoteReference"/>
        </w:rPr>
        <w:footnoteRef/>
      </w:r>
      <w:r>
        <w:t xml:space="preserve"> ICESCR Article 11.1</w:t>
      </w:r>
    </w:p>
  </w:footnote>
  <w:footnote w:id="19">
    <w:p w:rsidR="009801A8" w:rsidRDefault="009801A8">
      <w:pPr>
        <w:pStyle w:val="FootnoteText"/>
      </w:pPr>
      <w:r>
        <w:rPr>
          <w:rStyle w:val="FootnoteReference"/>
        </w:rPr>
        <w:footnoteRef/>
      </w:r>
      <w:r>
        <w:t xml:space="preserve"> ICESCR Article 10.1</w:t>
      </w:r>
    </w:p>
  </w:footnote>
  <w:footnote w:id="20">
    <w:p w:rsidR="009801A8" w:rsidRDefault="009801A8">
      <w:pPr>
        <w:pStyle w:val="FootnoteText"/>
      </w:pPr>
      <w:r>
        <w:rPr>
          <w:rStyle w:val="FootnoteReference"/>
        </w:rPr>
        <w:footnoteRef/>
      </w:r>
      <w:r>
        <w:t xml:space="preserve"> ICESCR Article 10.3, UNCROC Article 26</w:t>
      </w:r>
    </w:p>
  </w:footnote>
  <w:footnote w:id="21">
    <w:p w:rsidR="009801A8" w:rsidRDefault="009801A8">
      <w:pPr>
        <w:pStyle w:val="FootnoteText"/>
      </w:pPr>
      <w:r>
        <w:rPr>
          <w:rStyle w:val="FootnoteReference"/>
        </w:rPr>
        <w:footnoteRef/>
      </w:r>
      <w:r>
        <w:t xml:space="preserve"> UNCROC Article 3.1</w:t>
      </w:r>
    </w:p>
  </w:footnote>
  <w:footnote w:id="22">
    <w:p w:rsidR="009801A8" w:rsidRPr="00B07DF5" w:rsidRDefault="009801A8">
      <w:pPr>
        <w:pStyle w:val="FootnoteText"/>
      </w:pPr>
      <w:r>
        <w:rPr>
          <w:rStyle w:val="FootnoteReference"/>
        </w:rPr>
        <w:footnoteRef/>
      </w:r>
      <w:r>
        <w:t xml:space="preserve"> Child Poverty Action Group (CPAG) has raised concerns regarding a lack of transparency regarding the use of sanctions, particularly in respect of the impact of sanctions on the well-being of affected children, see CPAG (2013) </w:t>
      </w:r>
      <w:r w:rsidRPr="00B07DF5">
        <w:rPr>
          <w:i/>
        </w:rPr>
        <w:t>Benefit Sanctions: Creating an invisible underclass of children</w:t>
      </w:r>
      <w:r>
        <w:rPr>
          <w:i/>
        </w:rPr>
        <w:t xml:space="preserve"> </w:t>
      </w:r>
      <w:r>
        <w:t xml:space="preserve">p 15-16, </w:t>
      </w:r>
      <w:r w:rsidRPr="00B07DF5">
        <w:t>http://www.cpag.org.nz/assets/Backgrounders/2-0%2028509%20Benefit%20Sanctions%20Report%20Sept%202013.pdf</w:t>
      </w:r>
    </w:p>
  </w:footnote>
  <w:footnote w:id="23">
    <w:p w:rsidR="009801A8" w:rsidRDefault="009801A8" w:rsidP="00E37EA1">
      <w:pPr>
        <w:pStyle w:val="FootnoteText"/>
      </w:pPr>
      <w:r>
        <w:rPr>
          <w:rStyle w:val="FootnoteReference"/>
        </w:rPr>
        <w:footnoteRef/>
      </w:r>
      <w:r>
        <w:t xml:space="preserve"> </w:t>
      </w:r>
      <w:r w:rsidRPr="00F23D22">
        <w:rPr>
          <w:sz w:val="18"/>
          <w:szCs w:val="18"/>
        </w:rPr>
        <w:t>EAG (2012) Working Paper 10: Reforms to the tax, benefit and active employment system to reduce child poverty, Recommendation 3, p 7, http://www.occ.org.nz/assets/Uploads/EAG/Working-papers/No-10-Reforms-to-tax-benefit-and-employment-system.pdf</w:t>
      </w:r>
    </w:p>
  </w:footnote>
  <w:footnote w:id="24">
    <w:p w:rsidR="009801A8" w:rsidRDefault="009801A8">
      <w:pPr>
        <w:pStyle w:val="FootnoteText"/>
      </w:pPr>
      <w:r>
        <w:rPr>
          <w:rStyle w:val="FootnoteReference"/>
        </w:rPr>
        <w:footnoteRef/>
      </w:r>
      <w:r>
        <w:t xml:space="preserve"> introduced by </w:t>
      </w:r>
      <w:r w:rsidRPr="00483DF7">
        <w:t>the Social Security (Extension of Young Persons Services and Remedial Matters) Amendment Bill 2015</w:t>
      </w:r>
      <w:r>
        <w:t xml:space="preserve"> – the Bill </w:t>
      </w:r>
      <w:r w:rsidRPr="00483DF7">
        <w:t>extends the Youth Service programme from current its application to 16 and 17 year olds to all 19 year-old beneficiaries with children and 18 and 19-year old beneficiaries without children who are considered at significant risk of long term welfare dependency</w:t>
      </w:r>
    </w:p>
  </w:footnote>
  <w:footnote w:id="25">
    <w:p w:rsidR="009801A8" w:rsidRPr="00EE636D" w:rsidRDefault="009801A8" w:rsidP="00EE636D">
      <w:pPr>
        <w:pStyle w:val="FootnoteText"/>
      </w:pPr>
      <w:r>
        <w:rPr>
          <w:rStyle w:val="FootnoteReference"/>
        </w:rPr>
        <w:footnoteRef/>
      </w:r>
      <w:r>
        <w:t xml:space="preserve"> </w:t>
      </w:r>
      <w:r w:rsidRPr="00EE636D">
        <w:t>UN Human</w:t>
      </w:r>
      <w:r>
        <w:t xml:space="preserve"> Rights Committee, </w:t>
      </w:r>
      <w:r w:rsidRPr="00EE636D">
        <w:t xml:space="preserve">General Comment No 16 on the right to privacy (8 April 1988), </w:t>
      </w:r>
      <w:r>
        <w:t>para 11</w:t>
      </w:r>
    </w:p>
  </w:footnote>
  <w:footnote w:id="26">
    <w:p w:rsidR="009801A8" w:rsidRPr="00EE636D" w:rsidRDefault="009801A8" w:rsidP="00EE636D">
      <w:pPr>
        <w:pStyle w:val="FootnoteText"/>
      </w:pPr>
      <w:r>
        <w:rPr>
          <w:rStyle w:val="FootnoteReference"/>
        </w:rPr>
        <w:footnoteRef/>
      </w:r>
      <w:r>
        <w:t xml:space="preserve"> </w:t>
      </w:r>
      <w:r w:rsidRPr="00EE636D">
        <w:t>UN Committee on Economic, Social and Cultural Rights</w:t>
      </w:r>
      <w:r>
        <w:t xml:space="preserve">, </w:t>
      </w:r>
      <w:r w:rsidRPr="00EE636D">
        <w:t>Gener</w:t>
      </w:r>
      <w:r>
        <w:t xml:space="preserve">al Comment 19 </w:t>
      </w:r>
      <w:r w:rsidRPr="00EE636D">
        <w:t>on the right to social</w:t>
      </w:r>
      <w:r>
        <w:t xml:space="preserve"> security (4 February 2008), para 24</w:t>
      </w:r>
    </w:p>
  </w:footnote>
  <w:footnote w:id="27">
    <w:p w:rsidR="009801A8" w:rsidRPr="00EE636D" w:rsidRDefault="009801A8" w:rsidP="00A6449D">
      <w:pPr>
        <w:pStyle w:val="FootnoteText"/>
      </w:pPr>
      <w:r>
        <w:rPr>
          <w:rStyle w:val="FootnoteReference"/>
        </w:rPr>
        <w:footnoteRef/>
      </w:r>
      <w:r>
        <w:t xml:space="preserve"> </w:t>
      </w:r>
      <w:r w:rsidRPr="00103DC8">
        <w:t xml:space="preserve">Centre for Applied Research in Economics (2012) </w:t>
      </w:r>
      <w:r w:rsidRPr="00103DC8">
        <w:rPr>
          <w:i/>
        </w:rPr>
        <w:t xml:space="preserve">Vulnerable Children: Can administrative data be used to identify children at risk of adverse outcomes? </w:t>
      </w:r>
      <w:r w:rsidRPr="00103DC8">
        <w:t>Department of Economics, University of Auckland</w:t>
      </w:r>
      <w:r>
        <w:t xml:space="preserve"> – this </w:t>
      </w:r>
      <w:r w:rsidRPr="00EE636D">
        <w:t xml:space="preserve">research </w:t>
      </w:r>
      <w:r>
        <w:t xml:space="preserve">was </w:t>
      </w:r>
      <w:r w:rsidRPr="00EE636D">
        <w:t>commissioned by MSD to investigate the use of predictive risk modelling in targeting early intervention and reducing child and neglect. CARE found that, in that case, implementation should be subject to a full ethical evaluation, development of an ethical framework to guide agencies in how they should respond to risk scores, strong engagement from front-line providers and staff and careful, deliberate and phased implementation</w:t>
      </w:r>
    </w:p>
  </w:footnote>
  <w:footnote w:id="28">
    <w:p w:rsidR="009801A8" w:rsidRPr="00F247E9" w:rsidRDefault="009801A8" w:rsidP="00F247E9">
      <w:pPr>
        <w:pStyle w:val="FootnoteText"/>
      </w:pPr>
      <w:r>
        <w:rPr>
          <w:rStyle w:val="FootnoteReference"/>
        </w:rPr>
        <w:footnoteRef/>
      </w:r>
      <w:r>
        <w:t xml:space="preserve"> </w:t>
      </w:r>
      <w:r w:rsidRPr="00F247E9">
        <w:t xml:space="preserve">The Human Rights Commission </w:t>
      </w:r>
      <w:r>
        <w:t>pointed this</w:t>
      </w:r>
      <w:r w:rsidRPr="00F247E9">
        <w:t xml:space="preserve"> omission out in</w:t>
      </w:r>
      <w:r>
        <w:t xml:space="preserve"> its email submission to MSD dated 6 May 2016. The Commission also recommended that the AISA include a clause mandating</w:t>
      </w:r>
      <w:r w:rsidRPr="002B56F4">
        <w:t xml:space="preserve"> the development of an ethical framework for agencies. </w:t>
      </w:r>
    </w:p>
  </w:footnote>
  <w:footnote w:id="29">
    <w:p w:rsidR="009801A8" w:rsidRPr="003705CC" w:rsidRDefault="009801A8" w:rsidP="003705CC">
      <w:pPr>
        <w:pStyle w:val="FootnoteText"/>
        <w:rPr>
          <w:b/>
        </w:rPr>
      </w:pPr>
      <w:r>
        <w:rPr>
          <w:rStyle w:val="FootnoteReference"/>
        </w:rPr>
        <w:footnoteRef/>
      </w:r>
      <w:r>
        <w:t xml:space="preserve"> MSD, </w:t>
      </w:r>
      <w:r w:rsidRPr="003C746E">
        <w:rPr>
          <w:i/>
        </w:rPr>
        <w:t>New Zealand Government response to the list of issues in relation to the Fifth Periodic Report under the United Nations Convention on the Rights of the Child</w:t>
      </w:r>
      <w:r>
        <w:t>, June 2016, para 63</w:t>
      </w:r>
    </w:p>
    <w:p w:rsidR="009801A8" w:rsidRDefault="009801A8">
      <w:pPr>
        <w:pStyle w:val="FootnoteText"/>
      </w:pPr>
    </w:p>
  </w:footnote>
  <w:footnote w:id="30">
    <w:p w:rsidR="009801A8" w:rsidRDefault="009801A8">
      <w:pPr>
        <w:pStyle w:val="FootnoteText"/>
      </w:pPr>
      <w:r>
        <w:rPr>
          <w:rStyle w:val="FootnoteReference"/>
        </w:rPr>
        <w:footnoteRef/>
      </w:r>
      <w:r>
        <w:t xml:space="preserve"> Report of the Attorney General under the New Zealand Bill of Rights Act on the Social Security Legislation Rewrite Bill, 8 March 2016 (hereafter ‘AG report’ para 10, p 2</w:t>
      </w:r>
    </w:p>
  </w:footnote>
  <w:footnote w:id="31">
    <w:p w:rsidR="009801A8" w:rsidRPr="00C464FC" w:rsidRDefault="009801A8" w:rsidP="00C464FC">
      <w:pPr>
        <w:pStyle w:val="FootnoteText"/>
      </w:pPr>
      <w:r>
        <w:rPr>
          <w:rStyle w:val="FootnoteReference"/>
        </w:rPr>
        <w:footnoteRef/>
      </w:r>
      <w:r>
        <w:t xml:space="preserve"> </w:t>
      </w:r>
      <w:r w:rsidRPr="00C464FC">
        <w:t>UN Committee on Economic, Social and Cultural Rights, General Comment 19 on the right to social security</w:t>
      </w:r>
      <w:r>
        <w:t>, para 3</w:t>
      </w:r>
    </w:p>
  </w:footnote>
  <w:footnote w:id="32">
    <w:p w:rsidR="009801A8" w:rsidRDefault="009801A8">
      <w:pPr>
        <w:pStyle w:val="FootnoteText"/>
      </w:pPr>
      <w:r>
        <w:rPr>
          <w:rStyle w:val="FootnoteReference"/>
        </w:rPr>
        <w:footnoteRef/>
      </w:r>
      <w:r>
        <w:t xml:space="preserve"> Ibid para 1</w:t>
      </w:r>
    </w:p>
  </w:footnote>
  <w:footnote w:id="33">
    <w:p w:rsidR="009801A8" w:rsidRDefault="009801A8">
      <w:pPr>
        <w:pStyle w:val="FootnoteText"/>
      </w:pPr>
      <w:r>
        <w:rPr>
          <w:rStyle w:val="FootnoteReference"/>
        </w:rPr>
        <w:footnoteRef/>
      </w:r>
      <w:r>
        <w:t xml:space="preserve"> AG report, paras 12, 19, 28</w:t>
      </w:r>
    </w:p>
  </w:footnote>
  <w:footnote w:id="34">
    <w:p w:rsidR="009801A8" w:rsidRDefault="009801A8">
      <w:pPr>
        <w:pStyle w:val="FootnoteText"/>
      </w:pPr>
      <w:r>
        <w:rPr>
          <w:rStyle w:val="FootnoteReference"/>
        </w:rPr>
        <w:footnoteRef/>
      </w:r>
      <w:r>
        <w:t xml:space="preserve"> AG report, para 26-28; also see the RIS at para 31</w:t>
      </w:r>
    </w:p>
  </w:footnote>
  <w:footnote w:id="35">
    <w:p w:rsidR="009801A8" w:rsidRDefault="009801A8">
      <w:pPr>
        <w:pStyle w:val="FootnoteText"/>
      </w:pPr>
      <w:r>
        <w:rPr>
          <w:rStyle w:val="FootnoteReference"/>
        </w:rPr>
        <w:footnoteRef/>
      </w:r>
      <w:r>
        <w:t xml:space="preserve"> Para 16</w:t>
      </w:r>
    </w:p>
  </w:footnote>
  <w:footnote w:id="36">
    <w:p w:rsidR="009801A8" w:rsidRDefault="009801A8">
      <w:pPr>
        <w:pStyle w:val="FootnoteText"/>
      </w:pPr>
      <w:r>
        <w:rPr>
          <w:rStyle w:val="FootnoteReference"/>
        </w:rPr>
        <w:footnoteRef/>
      </w:r>
      <w:r>
        <w:t xml:space="preserve"> CRPD Art 2</w:t>
      </w:r>
    </w:p>
  </w:footnote>
  <w:footnote w:id="37">
    <w:p w:rsidR="009801A8" w:rsidRDefault="009801A8">
      <w:pPr>
        <w:pStyle w:val="FootnoteText"/>
      </w:pPr>
      <w:r>
        <w:rPr>
          <w:rStyle w:val="FootnoteReference"/>
        </w:rPr>
        <w:footnoteRef/>
      </w:r>
      <w:r>
        <w:t xml:space="preserve"> RIS, paras 62 and 63 </w:t>
      </w:r>
    </w:p>
  </w:footnote>
  <w:footnote w:id="38">
    <w:p w:rsidR="009801A8" w:rsidRDefault="009801A8">
      <w:pPr>
        <w:pStyle w:val="FootnoteText"/>
      </w:pPr>
      <w:r>
        <w:rPr>
          <w:rStyle w:val="FootnoteReference"/>
        </w:rPr>
        <w:footnoteRef/>
      </w:r>
      <w:r>
        <w:t xml:space="preserve"> In addition, the Office of Human Rights Proceedings is currently providing representation to a number of people for the purposes of bringing a claim in respect to whether the spousal deductions clause under s 70 constitutes unlawful discrimination under the Human Rights Act. The matter is currently at a preliminary stage, with proceedings yet to be filed in the Human Rights Review Tribunal.</w:t>
      </w:r>
    </w:p>
  </w:footnote>
  <w:footnote w:id="39">
    <w:p w:rsidR="009801A8" w:rsidRDefault="009801A8">
      <w:pPr>
        <w:pStyle w:val="FootnoteText"/>
      </w:pPr>
      <w:r>
        <w:rPr>
          <w:rStyle w:val="FootnoteReference"/>
        </w:rPr>
        <w:footnoteRef/>
      </w:r>
      <w:r>
        <w:t xml:space="preserve"> </w:t>
      </w:r>
      <w:r w:rsidRPr="00144D19">
        <w:rPr>
          <w:i/>
        </w:rPr>
        <w:t>Latimer v Chief Executive of MSD</w:t>
      </w:r>
      <w:r w:rsidRPr="000F2BC7">
        <w:t xml:space="preserve"> </w:t>
      </w:r>
      <w:r>
        <w:t>[2015] NZHC 2779 at [21]</w:t>
      </w:r>
    </w:p>
  </w:footnote>
  <w:footnote w:id="40">
    <w:p w:rsidR="009801A8" w:rsidRDefault="009801A8">
      <w:pPr>
        <w:pStyle w:val="FootnoteText"/>
      </w:pPr>
      <w:r>
        <w:rPr>
          <w:rStyle w:val="FootnoteReference"/>
        </w:rPr>
        <w:footnoteRef/>
      </w:r>
      <w:r>
        <w:t xml:space="preserve"> </w:t>
      </w:r>
      <w:proofErr w:type="spellStart"/>
      <w:r w:rsidRPr="00144D19">
        <w:rPr>
          <w:i/>
        </w:rPr>
        <w:t>Boljevic</w:t>
      </w:r>
      <w:proofErr w:type="spellEnd"/>
      <w:r w:rsidRPr="00144D19">
        <w:rPr>
          <w:i/>
        </w:rPr>
        <w:t xml:space="preserve"> v Chief Executive of MSD</w:t>
      </w:r>
      <w:r>
        <w:t xml:space="preserve"> [2012] NZAR 280 (HC) per Kos J at [35]</w:t>
      </w:r>
    </w:p>
  </w:footnote>
  <w:footnote w:id="41">
    <w:p w:rsidR="009801A8" w:rsidRDefault="009801A8">
      <w:pPr>
        <w:pStyle w:val="FootnoteText"/>
      </w:pPr>
      <w:r>
        <w:rPr>
          <w:rStyle w:val="FootnoteReference"/>
        </w:rPr>
        <w:footnoteRef/>
      </w:r>
      <w:r>
        <w:t xml:space="preserve"> Chapter 15, p 227</w:t>
      </w:r>
    </w:p>
  </w:footnote>
  <w:footnote w:id="42">
    <w:p w:rsidR="009801A8" w:rsidRDefault="009801A8">
      <w:pPr>
        <w:pStyle w:val="FootnoteText"/>
      </w:pPr>
      <w:r>
        <w:rPr>
          <w:rStyle w:val="FootnoteReference"/>
        </w:rPr>
        <w:footnoteRef/>
      </w:r>
      <w:r>
        <w:t xml:space="preserve"> Human Rights Commission on Social Assistance (Payment of New Zealand Superannuation and Veterans Pension Overseas) Amendment Bill 2009</w:t>
      </w:r>
    </w:p>
  </w:footnote>
  <w:footnote w:id="43">
    <w:p w:rsidR="009801A8" w:rsidRDefault="009801A8">
      <w:pPr>
        <w:pStyle w:val="FootnoteText"/>
      </w:pPr>
      <w:r>
        <w:rPr>
          <w:rStyle w:val="FootnoteReference"/>
        </w:rPr>
        <w:footnoteRef/>
      </w:r>
      <w:r>
        <w:t xml:space="preserve"> RIS para 139</w:t>
      </w:r>
    </w:p>
  </w:footnote>
  <w:footnote w:id="44">
    <w:p w:rsidR="009801A8" w:rsidRDefault="009801A8">
      <w:pPr>
        <w:pStyle w:val="FootnoteText"/>
      </w:pPr>
      <w:r>
        <w:rPr>
          <w:rStyle w:val="FootnoteReference"/>
        </w:rPr>
        <w:footnoteRef/>
      </w:r>
      <w:r>
        <w:t xml:space="preserve"> Schedule 1, clauses 4, 5, 7</w:t>
      </w:r>
    </w:p>
  </w:footnote>
  <w:footnote w:id="45">
    <w:p w:rsidR="009801A8" w:rsidRDefault="009801A8">
      <w:pPr>
        <w:pStyle w:val="FootnoteText"/>
      </w:pPr>
      <w:r>
        <w:rPr>
          <w:rStyle w:val="FootnoteReference"/>
        </w:rPr>
        <w:footnoteRef/>
      </w:r>
      <w:r>
        <w:t xml:space="preserve"> RIS, para 91</w:t>
      </w:r>
    </w:p>
  </w:footnote>
  <w:footnote w:id="46">
    <w:p w:rsidR="009801A8" w:rsidRDefault="009801A8">
      <w:pPr>
        <w:pStyle w:val="FootnoteText"/>
      </w:pPr>
      <w:r>
        <w:rPr>
          <w:rStyle w:val="FootnoteReference"/>
        </w:rPr>
        <w:footnoteRef/>
      </w:r>
      <w:r>
        <w:t xml:space="preserve"> RIS, para 92</w:t>
      </w:r>
    </w:p>
  </w:footnote>
  <w:footnote w:id="47">
    <w:p w:rsidR="009801A8" w:rsidRDefault="009801A8">
      <w:pPr>
        <w:pStyle w:val="FootnoteText"/>
      </w:pPr>
      <w:r>
        <w:rPr>
          <w:rStyle w:val="FootnoteReference"/>
        </w:rPr>
        <w:footnoteRef/>
      </w:r>
      <w:r>
        <w:t xml:space="preserve"> RIS, para 115</w:t>
      </w:r>
    </w:p>
  </w:footnote>
  <w:footnote w:id="48">
    <w:p w:rsidR="009801A8" w:rsidRDefault="009801A8">
      <w:pPr>
        <w:pStyle w:val="FootnoteText"/>
      </w:pPr>
      <w:r>
        <w:rPr>
          <w:rStyle w:val="FootnoteReference"/>
        </w:rPr>
        <w:footnoteRef/>
      </w:r>
      <w:r>
        <w:t xml:space="preserve"> </w:t>
      </w:r>
      <w:r w:rsidRPr="00E0279B">
        <w:t>UN Committee on Economic, Social and Cultural Rights, General Comment 19 on the right to social security, 4 Feb</w:t>
      </w:r>
      <w:r>
        <w:t>ruary 2008, E/C.12/GC/19, para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5EC"/>
    <w:multiLevelType w:val="hybridMultilevel"/>
    <w:tmpl w:val="66D2E3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4EB4C75"/>
    <w:multiLevelType w:val="hybridMultilevel"/>
    <w:tmpl w:val="CFD6D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124407"/>
    <w:multiLevelType w:val="hybridMultilevel"/>
    <w:tmpl w:val="FF2CDE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051E0756"/>
    <w:multiLevelType w:val="hybridMultilevel"/>
    <w:tmpl w:val="A4306B5E"/>
    <w:lvl w:ilvl="0" w:tplc="88DCEA0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81D6D79"/>
    <w:multiLevelType w:val="hybridMultilevel"/>
    <w:tmpl w:val="F82092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107877CB"/>
    <w:multiLevelType w:val="hybridMultilevel"/>
    <w:tmpl w:val="F292573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42C0512"/>
    <w:multiLevelType w:val="hybridMultilevel"/>
    <w:tmpl w:val="61C43528"/>
    <w:lvl w:ilvl="0" w:tplc="14090001">
      <w:start w:val="1"/>
      <w:numFmt w:val="bullet"/>
      <w:lvlText w:val=""/>
      <w:lvlJc w:val="left"/>
      <w:pPr>
        <w:ind w:left="1470" w:hanging="360"/>
      </w:pPr>
      <w:rPr>
        <w:rFonts w:ascii="Symbol" w:hAnsi="Symbol" w:hint="default"/>
      </w:rPr>
    </w:lvl>
    <w:lvl w:ilvl="1" w:tplc="14090003" w:tentative="1">
      <w:start w:val="1"/>
      <w:numFmt w:val="bullet"/>
      <w:lvlText w:val="o"/>
      <w:lvlJc w:val="left"/>
      <w:pPr>
        <w:ind w:left="2190" w:hanging="360"/>
      </w:pPr>
      <w:rPr>
        <w:rFonts w:ascii="Courier New" w:hAnsi="Courier New" w:cs="Courier New" w:hint="default"/>
      </w:rPr>
    </w:lvl>
    <w:lvl w:ilvl="2" w:tplc="14090005" w:tentative="1">
      <w:start w:val="1"/>
      <w:numFmt w:val="bullet"/>
      <w:lvlText w:val=""/>
      <w:lvlJc w:val="left"/>
      <w:pPr>
        <w:ind w:left="2910" w:hanging="360"/>
      </w:pPr>
      <w:rPr>
        <w:rFonts w:ascii="Wingdings" w:hAnsi="Wingdings" w:hint="default"/>
      </w:rPr>
    </w:lvl>
    <w:lvl w:ilvl="3" w:tplc="14090001" w:tentative="1">
      <w:start w:val="1"/>
      <w:numFmt w:val="bullet"/>
      <w:lvlText w:val=""/>
      <w:lvlJc w:val="left"/>
      <w:pPr>
        <w:ind w:left="3630" w:hanging="360"/>
      </w:pPr>
      <w:rPr>
        <w:rFonts w:ascii="Symbol" w:hAnsi="Symbol" w:hint="default"/>
      </w:rPr>
    </w:lvl>
    <w:lvl w:ilvl="4" w:tplc="14090003" w:tentative="1">
      <w:start w:val="1"/>
      <w:numFmt w:val="bullet"/>
      <w:lvlText w:val="o"/>
      <w:lvlJc w:val="left"/>
      <w:pPr>
        <w:ind w:left="4350" w:hanging="360"/>
      </w:pPr>
      <w:rPr>
        <w:rFonts w:ascii="Courier New" w:hAnsi="Courier New" w:cs="Courier New" w:hint="default"/>
      </w:rPr>
    </w:lvl>
    <w:lvl w:ilvl="5" w:tplc="14090005" w:tentative="1">
      <w:start w:val="1"/>
      <w:numFmt w:val="bullet"/>
      <w:lvlText w:val=""/>
      <w:lvlJc w:val="left"/>
      <w:pPr>
        <w:ind w:left="5070" w:hanging="360"/>
      </w:pPr>
      <w:rPr>
        <w:rFonts w:ascii="Wingdings" w:hAnsi="Wingdings" w:hint="default"/>
      </w:rPr>
    </w:lvl>
    <w:lvl w:ilvl="6" w:tplc="14090001" w:tentative="1">
      <w:start w:val="1"/>
      <w:numFmt w:val="bullet"/>
      <w:lvlText w:val=""/>
      <w:lvlJc w:val="left"/>
      <w:pPr>
        <w:ind w:left="5790" w:hanging="360"/>
      </w:pPr>
      <w:rPr>
        <w:rFonts w:ascii="Symbol" w:hAnsi="Symbol" w:hint="default"/>
      </w:rPr>
    </w:lvl>
    <w:lvl w:ilvl="7" w:tplc="14090003" w:tentative="1">
      <w:start w:val="1"/>
      <w:numFmt w:val="bullet"/>
      <w:lvlText w:val="o"/>
      <w:lvlJc w:val="left"/>
      <w:pPr>
        <w:ind w:left="6510" w:hanging="360"/>
      </w:pPr>
      <w:rPr>
        <w:rFonts w:ascii="Courier New" w:hAnsi="Courier New" w:cs="Courier New" w:hint="default"/>
      </w:rPr>
    </w:lvl>
    <w:lvl w:ilvl="8" w:tplc="14090005" w:tentative="1">
      <w:start w:val="1"/>
      <w:numFmt w:val="bullet"/>
      <w:lvlText w:val=""/>
      <w:lvlJc w:val="left"/>
      <w:pPr>
        <w:ind w:left="7230" w:hanging="360"/>
      </w:pPr>
      <w:rPr>
        <w:rFonts w:ascii="Wingdings" w:hAnsi="Wingdings" w:hint="default"/>
      </w:rPr>
    </w:lvl>
  </w:abstractNum>
  <w:abstractNum w:abstractNumId="7" w15:restartNumberingAfterBreak="0">
    <w:nsid w:val="1DFF0335"/>
    <w:multiLevelType w:val="hybridMultilevel"/>
    <w:tmpl w:val="16784960"/>
    <w:lvl w:ilvl="0" w:tplc="735616E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248B2C20"/>
    <w:multiLevelType w:val="hybridMultilevel"/>
    <w:tmpl w:val="1514E42C"/>
    <w:lvl w:ilvl="0" w:tplc="14090001">
      <w:start w:val="1"/>
      <w:numFmt w:val="bullet"/>
      <w:lvlText w:val=""/>
      <w:lvlJc w:val="left"/>
      <w:pPr>
        <w:ind w:left="773" w:hanging="360"/>
      </w:pPr>
      <w:rPr>
        <w:rFonts w:ascii="Symbol" w:hAnsi="Symbol" w:hint="default"/>
      </w:rPr>
    </w:lvl>
    <w:lvl w:ilvl="1" w:tplc="14090003">
      <w:start w:val="1"/>
      <w:numFmt w:val="bullet"/>
      <w:lvlText w:val="o"/>
      <w:lvlJc w:val="left"/>
      <w:pPr>
        <w:ind w:left="1493" w:hanging="360"/>
      </w:pPr>
      <w:rPr>
        <w:rFonts w:ascii="Courier New" w:hAnsi="Courier New" w:cs="Courier New" w:hint="default"/>
      </w:rPr>
    </w:lvl>
    <w:lvl w:ilvl="2" w:tplc="14090005">
      <w:start w:val="1"/>
      <w:numFmt w:val="bullet"/>
      <w:lvlText w:val=""/>
      <w:lvlJc w:val="left"/>
      <w:pPr>
        <w:ind w:left="2213" w:hanging="360"/>
      </w:pPr>
      <w:rPr>
        <w:rFonts w:ascii="Wingdings" w:hAnsi="Wingdings" w:hint="default"/>
      </w:rPr>
    </w:lvl>
    <w:lvl w:ilvl="3" w:tplc="14090001">
      <w:start w:val="1"/>
      <w:numFmt w:val="bullet"/>
      <w:lvlText w:val=""/>
      <w:lvlJc w:val="left"/>
      <w:pPr>
        <w:ind w:left="2933" w:hanging="360"/>
      </w:pPr>
      <w:rPr>
        <w:rFonts w:ascii="Symbol" w:hAnsi="Symbol" w:hint="default"/>
      </w:rPr>
    </w:lvl>
    <w:lvl w:ilvl="4" w:tplc="14090003">
      <w:start w:val="1"/>
      <w:numFmt w:val="bullet"/>
      <w:lvlText w:val="o"/>
      <w:lvlJc w:val="left"/>
      <w:pPr>
        <w:ind w:left="3653" w:hanging="360"/>
      </w:pPr>
      <w:rPr>
        <w:rFonts w:ascii="Courier New" w:hAnsi="Courier New" w:cs="Courier New" w:hint="default"/>
      </w:rPr>
    </w:lvl>
    <w:lvl w:ilvl="5" w:tplc="14090005">
      <w:start w:val="1"/>
      <w:numFmt w:val="bullet"/>
      <w:lvlText w:val=""/>
      <w:lvlJc w:val="left"/>
      <w:pPr>
        <w:ind w:left="4373" w:hanging="360"/>
      </w:pPr>
      <w:rPr>
        <w:rFonts w:ascii="Wingdings" w:hAnsi="Wingdings" w:hint="default"/>
      </w:rPr>
    </w:lvl>
    <w:lvl w:ilvl="6" w:tplc="14090001">
      <w:start w:val="1"/>
      <w:numFmt w:val="bullet"/>
      <w:lvlText w:val=""/>
      <w:lvlJc w:val="left"/>
      <w:pPr>
        <w:ind w:left="5093" w:hanging="360"/>
      </w:pPr>
      <w:rPr>
        <w:rFonts w:ascii="Symbol" w:hAnsi="Symbol" w:hint="default"/>
      </w:rPr>
    </w:lvl>
    <w:lvl w:ilvl="7" w:tplc="14090003">
      <w:start w:val="1"/>
      <w:numFmt w:val="bullet"/>
      <w:lvlText w:val="o"/>
      <w:lvlJc w:val="left"/>
      <w:pPr>
        <w:ind w:left="5813" w:hanging="360"/>
      </w:pPr>
      <w:rPr>
        <w:rFonts w:ascii="Courier New" w:hAnsi="Courier New" w:cs="Courier New" w:hint="default"/>
      </w:rPr>
    </w:lvl>
    <w:lvl w:ilvl="8" w:tplc="14090005">
      <w:start w:val="1"/>
      <w:numFmt w:val="bullet"/>
      <w:lvlText w:val=""/>
      <w:lvlJc w:val="left"/>
      <w:pPr>
        <w:ind w:left="6533" w:hanging="360"/>
      </w:pPr>
      <w:rPr>
        <w:rFonts w:ascii="Wingdings" w:hAnsi="Wingdings" w:hint="default"/>
      </w:rPr>
    </w:lvl>
  </w:abstractNum>
  <w:abstractNum w:abstractNumId="9" w15:restartNumberingAfterBreak="0">
    <w:nsid w:val="2B905E64"/>
    <w:multiLevelType w:val="hybridMultilevel"/>
    <w:tmpl w:val="6B1C74C8"/>
    <w:lvl w:ilvl="0" w:tplc="66A0900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2BC61866"/>
    <w:multiLevelType w:val="hybridMultilevel"/>
    <w:tmpl w:val="8F2401C6"/>
    <w:lvl w:ilvl="0" w:tplc="7152FAF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2C79683B"/>
    <w:multiLevelType w:val="hybridMultilevel"/>
    <w:tmpl w:val="EEBE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4B100B"/>
    <w:multiLevelType w:val="hybridMultilevel"/>
    <w:tmpl w:val="623E7598"/>
    <w:lvl w:ilvl="0" w:tplc="AD2284CE">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31204601"/>
    <w:multiLevelType w:val="hybridMultilevel"/>
    <w:tmpl w:val="7B68A7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21D2CCD"/>
    <w:multiLevelType w:val="hybridMultilevel"/>
    <w:tmpl w:val="6162421C"/>
    <w:lvl w:ilvl="0" w:tplc="07942B3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32291233"/>
    <w:multiLevelType w:val="hybridMultilevel"/>
    <w:tmpl w:val="BAB8AEA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278571E"/>
    <w:multiLevelType w:val="hybridMultilevel"/>
    <w:tmpl w:val="E3443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B566EA"/>
    <w:multiLevelType w:val="hybridMultilevel"/>
    <w:tmpl w:val="FA7290C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41AB7029"/>
    <w:multiLevelType w:val="hybridMultilevel"/>
    <w:tmpl w:val="527827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9724E84"/>
    <w:multiLevelType w:val="hybridMultilevel"/>
    <w:tmpl w:val="77FEE51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08E21A5"/>
    <w:multiLevelType w:val="hybridMultilevel"/>
    <w:tmpl w:val="0D0827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54619A8"/>
    <w:multiLevelType w:val="hybridMultilevel"/>
    <w:tmpl w:val="E87EE9B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56B179F2"/>
    <w:multiLevelType w:val="hybridMultilevel"/>
    <w:tmpl w:val="141234A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58DC484B"/>
    <w:multiLevelType w:val="hybridMultilevel"/>
    <w:tmpl w:val="3E72FB7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6C9F627A"/>
    <w:multiLevelType w:val="hybridMultilevel"/>
    <w:tmpl w:val="8DC2D3AA"/>
    <w:lvl w:ilvl="0" w:tplc="8DE040F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6DC7440B"/>
    <w:multiLevelType w:val="hybridMultilevel"/>
    <w:tmpl w:val="5F06ECE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70675FE1"/>
    <w:multiLevelType w:val="hybridMultilevel"/>
    <w:tmpl w:val="AC8A9F18"/>
    <w:lvl w:ilvl="0" w:tplc="27F06A48">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72E637EB"/>
    <w:multiLevelType w:val="hybridMultilevel"/>
    <w:tmpl w:val="F79A792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75AF022D"/>
    <w:multiLevelType w:val="hybridMultilevel"/>
    <w:tmpl w:val="42E6F4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7DE64494"/>
    <w:multiLevelType w:val="hybridMultilevel"/>
    <w:tmpl w:val="2EB2C73E"/>
    <w:lvl w:ilvl="0" w:tplc="331C292E">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0"/>
  </w:num>
  <w:num w:numId="2">
    <w:abstractNumId w:val="28"/>
  </w:num>
  <w:num w:numId="3">
    <w:abstractNumId w:val="19"/>
  </w:num>
  <w:num w:numId="4">
    <w:abstractNumId w:val="1"/>
  </w:num>
  <w:num w:numId="5">
    <w:abstractNumId w:val="22"/>
  </w:num>
  <w:num w:numId="6">
    <w:abstractNumId w:val="6"/>
  </w:num>
  <w:num w:numId="7">
    <w:abstractNumId w:val="23"/>
  </w:num>
  <w:num w:numId="8">
    <w:abstractNumId w:val="2"/>
  </w:num>
  <w:num w:numId="9">
    <w:abstractNumId w:val="16"/>
  </w:num>
  <w:num w:numId="10">
    <w:abstractNumId w:val="11"/>
  </w:num>
  <w:num w:numId="11">
    <w:abstractNumId w:val="21"/>
  </w:num>
  <w:num w:numId="12">
    <w:abstractNumId w:val="17"/>
  </w:num>
  <w:num w:numId="13">
    <w:abstractNumId w:val="4"/>
  </w:num>
  <w:num w:numId="14">
    <w:abstractNumId w:val="27"/>
  </w:num>
  <w:num w:numId="15">
    <w:abstractNumId w:val="5"/>
  </w:num>
  <w:num w:numId="16">
    <w:abstractNumId w:val="13"/>
  </w:num>
  <w:num w:numId="17">
    <w:abstractNumId w:val="18"/>
  </w:num>
  <w:num w:numId="18">
    <w:abstractNumId w:val="25"/>
  </w:num>
  <w:num w:numId="19">
    <w:abstractNumId w:val="0"/>
  </w:num>
  <w:num w:numId="20">
    <w:abstractNumId w:val="14"/>
  </w:num>
  <w:num w:numId="21">
    <w:abstractNumId w:val="15"/>
  </w:num>
  <w:num w:numId="22">
    <w:abstractNumId w:val="8"/>
  </w:num>
  <w:num w:numId="23">
    <w:abstractNumId w:val="3"/>
  </w:num>
  <w:num w:numId="24">
    <w:abstractNumId w:val="10"/>
  </w:num>
  <w:num w:numId="25">
    <w:abstractNumId w:val="24"/>
  </w:num>
  <w:num w:numId="26">
    <w:abstractNumId w:val="9"/>
  </w:num>
  <w:num w:numId="27">
    <w:abstractNumId w:val="7"/>
  </w:num>
  <w:num w:numId="28">
    <w:abstractNumId w:val="26"/>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F0"/>
    <w:rsid w:val="000005DA"/>
    <w:rsid w:val="00001F2A"/>
    <w:rsid w:val="00002047"/>
    <w:rsid w:val="00003A73"/>
    <w:rsid w:val="0000552F"/>
    <w:rsid w:val="000062F6"/>
    <w:rsid w:val="000071B0"/>
    <w:rsid w:val="00007CF2"/>
    <w:rsid w:val="00007E72"/>
    <w:rsid w:val="0001048C"/>
    <w:rsid w:val="00010B31"/>
    <w:rsid w:val="00010D26"/>
    <w:rsid w:val="000114C6"/>
    <w:rsid w:val="00012771"/>
    <w:rsid w:val="00013FE0"/>
    <w:rsid w:val="00014894"/>
    <w:rsid w:val="000160D2"/>
    <w:rsid w:val="00020409"/>
    <w:rsid w:val="00020EBE"/>
    <w:rsid w:val="00021AFA"/>
    <w:rsid w:val="00021E3F"/>
    <w:rsid w:val="00022A97"/>
    <w:rsid w:val="000249E5"/>
    <w:rsid w:val="00026840"/>
    <w:rsid w:val="0002716C"/>
    <w:rsid w:val="00027401"/>
    <w:rsid w:val="0003025F"/>
    <w:rsid w:val="0003040C"/>
    <w:rsid w:val="00030799"/>
    <w:rsid w:val="00031458"/>
    <w:rsid w:val="000320EE"/>
    <w:rsid w:val="00032566"/>
    <w:rsid w:val="0003281C"/>
    <w:rsid w:val="0003298C"/>
    <w:rsid w:val="00033658"/>
    <w:rsid w:val="0003418B"/>
    <w:rsid w:val="00034488"/>
    <w:rsid w:val="00034DD1"/>
    <w:rsid w:val="00034EA6"/>
    <w:rsid w:val="0003514B"/>
    <w:rsid w:val="00035B52"/>
    <w:rsid w:val="00037F02"/>
    <w:rsid w:val="00040C8F"/>
    <w:rsid w:val="00041772"/>
    <w:rsid w:val="00042EFA"/>
    <w:rsid w:val="00043C34"/>
    <w:rsid w:val="00045361"/>
    <w:rsid w:val="000453CF"/>
    <w:rsid w:val="00045B61"/>
    <w:rsid w:val="0004727E"/>
    <w:rsid w:val="00050D0C"/>
    <w:rsid w:val="000517E2"/>
    <w:rsid w:val="00052557"/>
    <w:rsid w:val="000527E1"/>
    <w:rsid w:val="00052ADB"/>
    <w:rsid w:val="0005342A"/>
    <w:rsid w:val="00055FE0"/>
    <w:rsid w:val="00057070"/>
    <w:rsid w:val="0005747B"/>
    <w:rsid w:val="000609BD"/>
    <w:rsid w:val="00061D24"/>
    <w:rsid w:val="00061EF8"/>
    <w:rsid w:val="00066440"/>
    <w:rsid w:val="00066948"/>
    <w:rsid w:val="00067324"/>
    <w:rsid w:val="000675B8"/>
    <w:rsid w:val="000704C0"/>
    <w:rsid w:val="00072736"/>
    <w:rsid w:val="00073B1D"/>
    <w:rsid w:val="000748D8"/>
    <w:rsid w:val="00074996"/>
    <w:rsid w:val="00074DC6"/>
    <w:rsid w:val="0007518C"/>
    <w:rsid w:val="000753C4"/>
    <w:rsid w:val="000756FE"/>
    <w:rsid w:val="000758CE"/>
    <w:rsid w:val="00075B71"/>
    <w:rsid w:val="0007607A"/>
    <w:rsid w:val="000773D2"/>
    <w:rsid w:val="00080B86"/>
    <w:rsid w:val="00080E8E"/>
    <w:rsid w:val="000810C8"/>
    <w:rsid w:val="00083AEF"/>
    <w:rsid w:val="0008510F"/>
    <w:rsid w:val="00087A4C"/>
    <w:rsid w:val="0009055A"/>
    <w:rsid w:val="00090D4F"/>
    <w:rsid w:val="000911A4"/>
    <w:rsid w:val="0009165A"/>
    <w:rsid w:val="00094476"/>
    <w:rsid w:val="00096107"/>
    <w:rsid w:val="00096F3E"/>
    <w:rsid w:val="000971D1"/>
    <w:rsid w:val="00097E6E"/>
    <w:rsid w:val="000A04A8"/>
    <w:rsid w:val="000A0997"/>
    <w:rsid w:val="000A173D"/>
    <w:rsid w:val="000A1C97"/>
    <w:rsid w:val="000A1D97"/>
    <w:rsid w:val="000A1DDE"/>
    <w:rsid w:val="000A2DC5"/>
    <w:rsid w:val="000A31D0"/>
    <w:rsid w:val="000A351D"/>
    <w:rsid w:val="000A59A5"/>
    <w:rsid w:val="000A627D"/>
    <w:rsid w:val="000A6468"/>
    <w:rsid w:val="000A66FB"/>
    <w:rsid w:val="000A7862"/>
    <w:rsid w:val="000A7E62"/>
    <w:rsid w:val="000B092D"/>
    <w:rsid w:val="000B094C"/>
    <w:rsid w:val="000B14D9"/>
    <w:rsid w:val="000B1956"/>
    <w:rsid w:val="000B1BDC"/>
    <w:rsid w:val="000B1ED2"/>
    <w:rsid w:val="000B2DD1"/>
    <w:rsid w:val="000B35ED"/>
    <w:rsid w:val="000B3A2F"/>
    <w:rsid w:val="000B544C"/>
    <w:rsid w:val="000B66E3"/>
    <w:rsid w:val="000C206D"/>
    <w:rsid w:val="000C2772"/>
    <w:rsid w:val="000C60B7"/>
    <w:rsid w:val="000C663C"/>
    <w:rsid w:val="000C7126"/>
    <w:rsid w:val="000D00A6"/>
    <w:rsid w:val="000D0CD3"/>
    <w:rsid w:val="000D2259"/>
    <w:rsid w:val="000D5795"/>
    <w:rsid w:val="000D6397"/>
    <w:rsid w:val="000D68C9"/>
    <w:rsid w:val="000D7225"/>
    <w:rsid w:val="000E1957"/>
    <w:rsid w:val="000E2EDF"/>
    <w:rsid w:val="000E3676"/>
    <w:rsid w:val="000E3FA6"/>
    <w:rsid w:val="000E3FBC"/>
    <w:rsid w:val="000E40BA"/>
    <w:rsid w:val="000E4A87"/>
    <w:rsid w:val="000E4CB8"/>
    <w:rsid w:val="000E527B"/>
    <w:rsid w:val="000E5EB7"/>
    <w:rsid w:val="000E667F"/>
    <w:rsid w:val="000E7156"/>
    <w:rsid w:val="000E7715"/>
    <w:rsid w:val="000E7784"/>
    <w:rsid w:val="000E79EB"/>
    <w:rsid w:val="000E7CBF"/>
    <w:rsid w:val="000E7F9B"/>
    <w:rsid w:val="000F0865"/>
    <w:rsid w:val="000F0C21"/>
    <w:rsid w:val="000F1AFF"/>
    <w:rsid w:val="000F2580"/>
    <w:rsid w:val="000F291F"/>
    <w:rsid w:val="000F29B1"/>
    <w:rsid w:val="000F2BC7"/>
    <w:rsid w:val="000F2CCB"/>
    <w:rsid w:val="000F4178"/>
    <w:rsid w:val="000F5222"/>
    <w:rsid w:val="000F55D5"/>
    <w:rsid w:val="000F6C59"/>
    <w:rsid w:val="000F6D8C"/>
    <w:rsid w:val="000F6F81"/>
    <w:rsid w:val="000F7AA2"/>
    <w:rsid w:val="00100250"/>
    <w:rsid w:val="00100C95"/>
    <w:rsid w:val="00101A1E"/>
    <w:rsid w:val="0010204D"/>
    <w:rsid w:val="00103DC8"/>
    <w:rsid w:val="00104306"/>
    <w:rsid w:val="00104803"/>
    <w:rsid w:val="00104AC7"/>
    <w:rsid w:val="00105047"/>
    <w:rsid w:val="001061C5"/>
    <w:rsid w:val="0010633A"/>
    <w:rsid w:val="0010719B"/>
    <w:rsid w:val="00107E3C"/>
    <w:rsid w:val="001100BC"/>
    <w:rsid w:val="00112627"/>
    <w:rsid w:val="00112736"/>
    <w:rsid w:val="00112BB7"/>
    <w:rsid w:val="0011399F"/>
    <w:rsid w:val="00115E99"/>
    <w:rsid w:val="001174C5"/>
    <w:rsid w:val="00117A74"/>
    <w:rsid w:val="00117FF2"/>
    <w:rsid w:val="0012084E"/>
    <w:rsid w:val="00120C81"/>
    <w:rsid w:val="0012215D"/>
    <w:rsid w:val="00123610"/>
    <w:rsid w:val="00123C44"/>
    <w:rsid w:val="001244A3"/>
    <w:rsid w:val="00124997"/>
    <w:rsid w:val="00126EF5"/>
    <w:rsid w:val="001311C4"/>
    <w:rsid w:val="001325AC"/>
    <w:rsid w:val="0013295D"/>
    <w:rsid w:val="0013388E"/>
    <w:rsid w:val="00134023"/>
    <w:rsid w:val="00134105"/>
    <w:rsid w:val="00134377"/>
    <w:rsid w:val="00134E6F"/>
    <w:rsid w:val="00134F6B"/>
    <w:rsid w:val="001374F7"/>
    <w:rsid w:val="00141390"/>
    <w:rsid w:val="00141524"/>
    <w:rsid w:val="001416C0"/>
    <w:rsid w:val="00141ABA"/>
    <w:rsid w:val="00142A09"/>
    <w:rsid w:val="00142FA2"/>
    <w:rsid w:val="001437E8"/>
    <w:rsid w:val="00143886"/>
    <w:rsid w:val="00144D19"/>
    <w:rsid w:val="001451BB"/>
    <w:rsid w:val="0014669D"/>
    <w:rsid w:val="00146BC5"/>
    <w:rsid w:val="00146FB7"/>
    <w:rsid w:val="00147A3A"/>
    <w:rsid w:val="00147FC9"/>
    <w:rsid w:val="00152A86"/>
    <w:rsid w:val="00152E17"/>
    <w:rsid w:val="0015333F"/>
    <w:rsid w:val="001547EC"/>
    <w:rsid w:val="00154BC4"/>
    <w:rsid w:val="001556EA"/>
    <w:rsid w:val="001560CC"/>
    <w:rsid w:val="00156DEB"/>
    <w:rsid w:val="0015713A"/>
    <w:rsid w:val="0016030B"/>
    <w:rsid w:val="00160840"/>
    <w:rsid w:val="00160D8C"/>
    <w:rsid w:val="001620E9"/>
    <w:rsid w:val="00162AD7"/>
    <w:rsid w:val="00162D8D"/>
    <w:rsid w:val="00164C04"/>
    <w:rsid w:val="00165C5F"/>
    <w:rsid w:val="00166208"/>
    <w:rsid w:val="00167B9A"/>
    <w:rsid w:val="00167CA3"/>
    <w:rsid w:val="0017013D"/>
    <w:rsid w:val="00170E99"/>
    <w:rsid w:val="001718FB"/>
    <w:rsid w:val="0017360A"/>
    <w:rsid w:val="00174ABA"/>
    <w:rsid w:val="00174C76"/>
    <w:rsid w:val="00174F1B"/>
    <w:rsid w:val="00175A0A"/>
    <w:rsid w:val="00175E04"/>
    <w:rsid w:val="001767FE"/>
    <w:rsid w:val="00180028"/>
    <w:rsid w:val="00182020"/>
    <w:rsid w:val="001825D5"/>
    <w:rsid w:val="001836C1"/>
    <w:rsid w:val="00183D4C"/>
    <w:rsid w:val="0018495D"/>
    <w:rsid w:val="00186EE7"/>
    <w:rsid w:val="00192741"/>
    <w:rsid w:val="00192D97"/>
    <w:rsid w:val="00192EC1"/>
    <w:rsid w:val="00193B60"/>
    <w:rsid w:val="001971E0"/>
    <w:rsid w:val="00197734"/>
    <w:rsid w:val="001A03D4"/>
    <w:rsid w:val="001A06B5"/>
    <w:rsid w:val="001A16FB"/>
    <w:rsid w:val="001A225C"/>
    <w:rsid w:val="001A480E"/>
    <w:rsid w:val="001A560E"/>
    <w:rsid w:val="001A5AC7"/>
    <w:rsid w:val="001A77FE"/>
    <w:rsid w:val="001A7E42"/>
    <w:rsid w:val="001B08B1"/>
    <w:rsid w:val="001B132C"/>
    <w:rsid w:val="001B19F4"/>
    <w:rsid w:val="001B37B2"/>
    <w:rsid w:val="001B4ED5"/>
    <w:rsid w:val="001B5503"/>
    <w:rsid w:val="001B62BA"/>
    <w:rsid w:val="001C134C"/>
    <w:rsid w:val="001C2260"/>
    <w:rsid w:val="001C2999"/>
    <w:rsid w:val="001C2A28"/>
    <w:rsid w:val="001C31A5"/>
    <w:rsid w:val="001C45FE"/>
    <w:rsid w:val="001C6378"/>
    <w:rsid w:val="001C6D19"/>
    <w:rsid w:val="001C78A3"/>
    <w:rsid w:val="001C7947"/>
    <w:rsid w:val="001D0A80"/>
    <w:rsid w:val="001D1052"/>
    <w:rsid w:val="001D31F4"/>
    <w:rsid w:val="001D4593"/>
    <w:rsid w:val="001D4E86"/>
    <w:rsid w:val="001D5B60"/>
    <w:rsid w:val="001D65DA"/>
    <w:rsid w:val="001D77EF"/>
    <w:rsid w:val="001E25A5"/>
    <w:rsid w:val="001E42E3"/>
    <w:rsid w:val="001E4ADE"/>
    <w:rsid w:val="001E4CE3"/>
    <w:rsid w:val="001E6092"/>
    <w:rsid w:val="001E64E6"/>
    <w:rsid w:val="001F1AE1"/>
    <w:rsid w:val="001F1C7C"/>
    <w:rsid w:val="001F22A6"/>
    <w:rsid w:val="001F2C9C"/>
    <w:rsid w:val="001F342D"/>
    <w:rsid w:val="001F4B99"/>
    <w:rsid w:val="001F7385"/>
    <w:rsid w:val="001F7402"/>
    <w:rsid w:val="00201241"/>
    <w:rsid w:val="00202310"/>
    <w:rsid w:val="00203169"/>
    <w:rsid w:val="0020328C"/>
    <w:rsid w:val="00203A58"/>
    <w:rsid w:val="00203EAE"/>
    <w:rsid w:val="00204C25"/>
    <w:rsid w:val="00204FBD"/>
    <w:rsid w:val="00206007"/>
    <w:rsid w:val="0020602B"/>
    <w:rsid w:val="002060CA"/>
    <w:rsid w:val="00207CA8"/>
    <w:rsid w:val="00207DD1"/>
    <w:rsid w:val="00210060"/>
    <w:rsid w:val="00211783"/>
    <w:rsid w:val="00212043"/>
    <w:rsid w:val="0021361A"/>
    <w:rsid w:val="002138A5"/>
    <w:rsid w:val="002148E5"/>
    <w:rsid w:val="00214B03"/>
    <w:rsid w:val="00215713"/>
    <w:rsid w:val="002161DE"/>
    <w:rsid w:val="00216C12"/>
    <w:rsid w:val="00217A37"/>
    <w:rsid w:val="00217AC3"/>
    <w:rsid w:val="002203EB"/>
    <w:rsid w:val="002220B6"/>
    <w:rsid w:val="00222CDD"/>
    <w:rsid w:val="00223C09"/>
    <w:rsid w:val="00223D86"/>
    <w:rsid w:val="0022410D"/>
    <w:rsid w:val="00224D38"/>
    <w:rsid w:val="00225FE3"/>
    <w:rsid w:val="002273F6"/>
    <w:rsid w:val="00230438"/>
    <w:rsid w:val="00230DD9"/>
    <w:rsid w:val="00230E98"/>
    <w:rsid w:val="002311B1"/>
    <w:rsid w:val="00231363"/>
    <w:rsid w:val="00232526"/>
    <w:rsid w:val="00232E47"/>
    <w:rsid w:val="002371DE"/>
    <w:rsid w:val="00237DB6"/>
    <w:rsid w:val="00237E6C"/>
    <w:rsid w:val="0024063E"/>
    <w:rsid w:val="00240F91"/>
    <w:rsid w:val="00241395"/>
    <w:rsid w:val="00242FC0"/>
    <w:rsid w:val="00245C8E"/>
    <w:rsid w:val="00246C63"/>
    <w:rsid w:val="00246C9C"/>
    <w:rsid w:val="0024724C"/>
    <w:rsid w:val="002516B4"/>
    <w:rsid w:val="00251DB4"/>
    <w:rsid w:val="00253C38"/>
    <w:rsid w:val="00254941"/>
    <w:rsid w:val="00254B56"/>
    <w:rsid w:val="0025503A"/>
    <w:rsid w:val="00255330"/>
    <w:rsid w:val="0025539A"/>
    <w:rsid w:val="002575E8"/>
    <w:rsid w:val="00257C24"/>
    <w:rsid w:val="0026022F"/>
    <w:rsid w:val="00261A57"/>
    <w:rsid w:val="00262479"/>
    <w:rsid w:val="00262A63"/>
    <w:rsid w:val="002633BD"/>
    <w:rsid w:val="00263994"/>
    <w:rsid w:val="00263CA8"/>
    <w:rsid w:val="00263CB5"/>
    <w:rsid w:val="00263E35"/>
    <w:rsid w:val="002640A0"/>
    <w:rsid w:val="002658A7"/>
    <w:rsid w:val="0026618A"/>
    <w:rsid w:val="00267CED"/>
    <w:rsid w:val="00270677"/>
    <w:rsid w:val="00270A02"/>
    <w:rsid w:val="002714FE"/>
    <w:rsid w:val="00271849"/>
    <w:rsid w:val="00272306"/>
    <w:rsid w:val="00274001"/>
    <w:rsid w:val="00274CFE"/>
    <w:rsid w:val="002751E5"/>
    <w:rsid w:val="002755BB"/>
    <w:rsid w:val="002755D2"/>
    <w:rsid w:val="00280068"/>
    <w:rsid w:val="002802B7"/>
    <w:rsid w:val="0028212A"/>
    <w:rsid w:val="00290721"/>
    <w:rsid w:val="002909E0"/>
    <w:rsid w:val="0029184E"/>
    <w:rsid w:val="00291968"/>
    <w:rsid w:val="002924E7"/>
    <w:rsid w:val="00294FDC"/>
    <w:rsid w:val="00295151"/>
    <w:rsid w:val="002958DF"/>
    <w:rsid w:val="00295E0B"/>
    <w:rsid w:val="0029636D"/>
    <w:rsid w:val="00296421"/>
    <w:rsid w:val="00296A70"/>
    <w:rsid w:val="00296E58"/>
    <w:rsid w:val="00297743"/>
    <w:rsid w:val="0029794D"/>
    <w:rsid w:val="002A1124"/>
    <w:rsid w:val="002A1462"/>
    <w:rsid w:val="002A1566"/>
    <w:rsid w:val="002A21EC"/>
    <w:rsid w:val="002A32DF"/>
    <w:rsid w:val="002A3C85"/>
    <w:rsid w:val="002A3DE7"/>
    <w:rsid w:val="002A6A33"/>
    <w:rsid w:val="002B1FFB"/>
    <w:rsid w:val="002B2F66"/>
    <w:rsid w:val="002B367E"/>
    <w:rsid w:val="002B3D98"/>
    <w:rsid w:val="002B41CB"/>
    <w:rsid w:val="002B4E7C"/>
    <w:rsid w:val="002B56F4"/>
    <w:rsid w:val="002B6267"/>
    <w:rsid w:val="002B6D74"/>
    <w:rsid w:val="002C110D"/>
    <w:rsid w:val="002C23F4"/>
    <w:rsid w:val="002C27B3"/>
    <w:rsid w:val="002C32CA"/>
    <w:rsid w:val="002C6667"/>
    <w:rsid w:val="002C77D9"/>
    <w:rsid w:val="002D23E7"/>
    <w:rsid w:val="002D2ABF"/>
    <w:rsid w:val="002D45F5"/>
    <w:rsid w:val="002D4885"/>
    <w:rsid w:val="002D4989"/>
    <w:rsid w:val="002D515F"/>
    <w:rsid w:val="002D55AF"/>
    <w:rsid w:val="002D57A5"/>
    <w:rsid w:val="002D68B9"/>
    <w:rsid w:val="002D6A14"/>
    <w:rsid w:val="002D6EE4"/>
    <w:rsid w:val="002D70DB"/>
    <w:rsid w:val="002E0F71"/>
    <w:rsid w:val="002E13AF"/>
    <w:rsid w:val="002E411B"/>
    <w:rsid w:val="002E4240"/>
    <w:rsid w:val="002E4255"/>
    <w:rsid w:val="002E5186"/>
    <w:rsid w:val="002E5D90"/>
    <w:rsid w:val="002E6FE4"/>
    <w:rsid w:val="002F0757"/>
    <w:rsid w:val="002F148C"/>
    <w:rsid w:val="002F17E6"/>
    <w:rsid w:val="002F1F4F"/>
    <w:rsid w:val="002F2928"/>
    <w:rsid w:val="002F2D9D"/>
    <w:rsid w:val="002F3437"/>
    <w:rsid w:val="002F44A1"/>
    <w:rsid w:val="002F542B"/>
    <w:rsid w:val="002F642B"/>
    <w:rsid w:val="002F64C6"/>
    <w:rsid w:val="002F697F"/>
    <w:rsid w:val="002F7649"/>
    <w:rsid w:val="002F7EC2"/>
    <w:rsid w:val="00301A67"/>
    <w:rsid w:val="00301DCF"/>
    <w:rsid w:val="00302740"/>
    <w:rsid w:val="00303C0B"/>
    <w:rsid w:val="00304A80"/>
    <w:rsid w:val="00304BA6"/>
    <w:rsid w:val="00306699"/>
    <w:rsid w:val="00306EFC"/>
    <w:rsid w:val="00307068"/>
    <w:rsid w:val="00307174"/>
    <w:rsid w:val="00310AB2"/>
    <w:rsid w:val="00314902"/>
    <w:rsid w:val="00314E31"/>
    <w:rsid w:val="0031622E"/>
    <w:rsid w:val="00316B49"/>
    <w:rsid w:val="00317884"/>
    <w:rsid w:val="00317D49"/>
    <w:rsid w:val="00317E65"/>
    <w:rsid w:val="00320E6E"/>
    <w:rsid w:val="00321AA2"/>
    <w:rsid w:val="003227B0"/>
    <w:rsid w:val="00323565"/>
    <w:rsid w:val="00323934"/>
    <w:rsid w:val="00323C69"/>
    <w:rsid w:val="00323D79"/>
    <w:rsid w:val="00324929"/>
    <w:rsid w:val="00326032"/>
    <w:rsid w:val="00326179"/>
    <w:rsid w:val="00326F54"/>
    <w:rsid w:val="0033097E"/>
    <w:rsid w:val="00330B94"/>
    <w:rsid w:val="00331224"/>
    <w:rsid w:val="003318FF"/>
    <w:rsid w:val="00333747"/>
    <w:rsid w:val="00334228"/>
    <w:rsid w:val="003358CF"/>
    <w:rsid w:val="00335F02"/>
    <w:rsid w:val="003366B1"/>
    <w:rsid w:val="00336D49"/>
    <w:rsid w:val="00336F01"/>
    <w:rsid w:val="00337F17"/>
    <w:rsid w:val="00340280"/>
    <w:rsid w:val="00340D9B"/>
    <w:rsid w:val="0034395A"/>
    <w:rsid w:val="00344348"/>
    <w:rsid w:val="00346954"/>
    <w:rsid w:val="0034740C"/>
    <w:rsid w:val="00347674"/>
    <w:rsid w:val="0035313E"/>
    <w:rsid w:val="00353661"/>
    <w:rsid w:val="003547E4"/>
    <w:rsid w:val="0035534B"/>
    <w:rsid w:val="0035586A"/>
    <w:rsid w:val="00355A32"/>
    <w:rsid w:val="00357D8E"/>
    <w:rsid w:val="0036044B"/>
    <w:rsid w:val="0036110D"/>
    <w:rsid w:val="003624D3"/>
    <w:rsid w:val="00362AEC"/>
    <w:rsid w:val="00362F2B"/>
    <w:rsid w:val="00363993"/>
    <w:rsid w:val="00363EF1"/>
    <w:rsid w:val="0036639F"/>
    <w:rsid w:val="003674A0"/>
    <w:rsid w:val="00370316"/>
    <w:rsid w:val="003705CC"/>
    <w:rsid w:val="00372250"/>
    <w:rsid w:val="00373DF9"/>
    <w:rsid w:val="003747A0"/>
    <w:rsid w:val="00374D42"/>
    <w:rsid w:val="00374E71"/>
    <w:rsid w:val="00375C0D"/>
    <w:rsid w:val="00375E34"/>
    <w:rsid w:val="00376FA3"/>
    <w:rsid w:val="00377AED"/>
    <w:rsid w:val="0038007B"/>
    <w:rsid w:val="00380446"/>
    <w:rsid w:val="00381041"/>
    <w:rsid w:val="00381270"/>
    <w:rsid w:val="0038731B"/>
    <w:rsid w:val="003879B3"/>
    <w:rsid w:val="00387DCB"/>
    <w:rsid w:val="003904EA"/>
    <w:rsid w:val="00390D98"/>
    <w:rsid w:val="00390F90"/>
    <w:rsid w:val="0039144B"/>
    <w:rsid w:val="00392079"/>
    <w:rsid w:val="003926B9"/>
    <w:rsid w:val="00392748"/>
    <w:rsid w:val="00393628"/>
    <w:rsid w:val="00393CCB"/>
    <w:rsid w:val="00394199"/>
    <w:rsid w:val="003954EC"/>
    <w:rsid w:val="00396AE7"/>
    <w:rsid w:val="003A00B3"/>
    <w:rsid w:val="003A1393"/>
    <w:rsid w:val="003A2577"/>
    <w:rsid w:val="003A3C95"/>
    <w:rsid w:val="003A3CEA"/>
    <w:rsid w:val="003A442A"/>
    <w:rsid w:val="003A6808"/>
    <w:rsid w:val="003A750A"/>
    <w:rsid w:val="003B014B"/>
    <w:rsid w:val="003B05AA"/>
    <w:rsid w:val="003B1157"/>
    <w:rsid w:val="003B14D3"/>
    <w:rsid w:val="003B2607"/>
    <w:rsid w:val="003B3562"/>
    <w:rsid w:val="003B4EA0"/>
    <w:rsid w:val="003B6001"/>
    <w:rsid w:val="003B6336"/>
    <w:rsid w:val="003C1444"/>
    <w:rsid w:val="003C331F"/>
    <w:rsid w:val="003C4CB2"/>
    <w:rsid w:val="003C5228"/>
    <w:rsid w:val="003C599B"/>
    <w:rsid w:val="003C5A6D"/>
    <w:rsid w:val="003C6C0B"/>
    <w:rsid w:val="003C6FF3"/>
    <w:rsid w:val="003C7016"/>
    <w:rsid w:val="003C72B4"/>
    <w:rsid w:val="003C746E"/>
    <w:rsid w:val="003C76EE"/>
    <w:rsid w:val="003D01C5"/>
    <w:rsid w:val="003D1EF8"/>
    <w:rsid w:val="003D2A0F"/>
    <w:rsid w:val="003D2B03"/>
    <w:rsid w:val="003D2CA9"/>
    <w:rsid w:val="003D2E0C"/>
    <w:rsid w:val="003D3435"/>
    <w:rsid w:val="003D39D7"/>
    <w:rsid w:val="003D41CD"/>
    <w:rsid w:val="003D5057"/>
    <w:rsid w:val="003D531E"/>
    <w:rsid w:val="003D6391"/>
    <w:rsid w:val="003E0A79"/>
    <w:rsid w:val="003E117B"/>
    <w:rsid w:val="003E16B5"/>
    <w:rsid w:val="003E3B84"/>
    <w:rsid w:val="003E3C17"/>
    <w:rsid w:val="003E3E2D"/>
    <w:rsid w:val="003E4108"/>
    <w:rsid w:val="003E4A4A"/>
    <w:rsid w:val="003E5289"/>
    <w:rsid w:val="003E6FEF"/>
    <w:rsid w:val="003F0938"/>
    <w:rsid w:val="003F11AB"/>
    <w:rsid w:val="003F1930"/>
    <w:rsid w:val="003F33CE"/>
    <w:rsid w:val="003F4999"/>
    <w:rsid w:val="003F4E8A"/>
    <w:rsid w:val="003F5F1C"/>
    <w:rsid w:val="003F6DB5"/>
    <w:rsid w:val="00401DE1"/>
    <w:rsid w:val="00401E51"/>
    <w:rsid w:val="0040279B"/>
    <w:rsid w:val="004027C5"/>
    <w:rsid w:val="00404412"/>
    <w:rsid w:val="004051C5"/>
    <w:rsid w:val="00405F38"/>
    <w:rsid w:val="00406DB6"/>
    <w:rsid w:val="00407DB6"/>
    <w:rsid w:val="00410796"/>
    <w:rsid w:val="004111F1"/>
    <w:rsid w:val="00411792"/>
    <w:rsid w:val="00411893"/>
    <w:rsid w:val="004143DB"/>
    <w:rsid w:val="00414490"/>
    <w:rsid w:val="00414AE3"/>
    <w:rsid w:val="00414DF0"/>
    <w:rsid w:val="004154D7"/>
    <w:rsid w:val="004163D1"/>
    <w:rsid w:val="00416A92"/>
    <w:rsid w:val="004228AD"/>
    <w:rsid w:val="00422AD3"/>
    <w:rsid w:val="0042340A"/>
    <w:rsid w:val="004239D9"/>
    <w:rsid w:val="00423AE4"/>
    <w:rsid w:val="00423DD6"/>
    <w:rsid w:val="0042487F"/>
    <w:rsid w:val="004254A2"/>
    <w:rsid w:val="004254E7"/>
    <w:rsid w:val="004264BD"/>
    <w:rsid w:val="00432136"/>
    <w:rsid w:val="0043217E"/>
    <w:rsid w:val="00432391"/>
    <w:rsid w:val="00433D65"/>
    <w:rsid w:val="00436C90"/>
    <w:rsid w:val="00436F9D"/>
    <w:rsid w:val="00437496"/>
    <w:rsid w:val="004377F3"/>
    <w:rsid w:val="00441DEC"/>
    <w:rsid w:val="00441E67"/>
    <w:rsid w:val="0044214E"/>
    <w:rsid w:val="0044420E"/>
    <w:rsid w:val="004450A5"/>
    <w:rsid w:val="00445821"/>
    <w:rsid w:val="0044644A"/>
    <w:rsid w:val="00446FCE"/>
    <w:rsid w:val="0044701D"/>
    <w:rsid w:val="00450EB0"/>
    <w:rsid w:val="00451BDE"/>
    <w:rsid w:val="00456957"/>
    <w:rsid w:val="0046001D"/>
    <w:rsid w:val="004608EA"/>
    <w:rsid w:val="00460B2F"/>
    <w:rsid w:val="00461902"/>
    <w:rsid w:val="004628B9"/>
    <w:rsid w:val="0046360C"/>
    <w:rsid w:val="004646D5"/>
    <w:rsid w:val="00464B17"/>
    <w:rsid w:val="00465A21"/>
    <w:rsid w:val="0046611F"/>
    <w:rsid w:val="00467F85"/>
    <w:rsid w:val="00467FD7"/>
    <w:rsid w:val="004702D4"/>
    <w:rsid w:val="00471FC9"/>
    <w:rsid w:val="00472DC2"/>
    <w:rsid w:val="0047376F"/>
    <w:rsid w:val="0047415C"/>
    <w:rsid w:val="0047488D"/>
    <w:rsid w:val="00476B3A"/>
    <w:rsid w:val="00476EED"/>
    <w:rsid w:val="004777CD"/>
    <w:rsid w:val="004778B8"/>
    <w:rsid w:val="00477E20"/>
    <w:rsid w:val="00480160"/>
    <w:rsid w:val="00480D2B"/>
    <w:rsid w:val="00482410"/>
    <w:rsid w:val="0048295A"/>
    <w:rsid w:val="004831D2"/>
    <w:rsid w:val="004838F0"/>
    <w:rsid w:val="00483DF7"/>
    <w:rsid w:val="00485366"/>
    <w:rsid w:val="004924DC"/>
    <w:rsid w:val="004946F3"/>
    <w:rsid w:val="004950F5"/>
    <w:rsid w:val="0049545F"/>
    <w:rsid w:val="00495B55"/>
    <w:rsid w:val="00496066"/>
    <w:rsid w:val="00496B32"/>
    <w:rsid w:val="00496CB4"/>
    <w:rsid w:val="00497CD9"/>
    <w:rsid w:val="004A08FB"/>
    <w:rsid w:val="004A1274"/>
    <w:rsid w:val="004A250F"/>
    <w:rsid w:val="004A2D2D"/>
    <w:rsid w:val="004A37A8"/>
    <w:rsid w:val="004A5DEC"/>
    <w:rsid w:val="004A601C"/>
    <w:rsid w:val="004A7616"/>
    <w:rsid w:val="004A7855"/>
    <w:rsid w:val="004A7BB6"/>
    <w:rsid w:val="004A7E68"/>
    <w:rsid w:val="004B0D46"/>
    <w:rsid w:val="004B23C4"/>
    <w:rsid w:val="004B2C7A"/>
    <w:rsid w:val="004B3660"/>
    <w:rsid w:val="004B3AA0"/>
    <w:rsid w:val="004B3B52"/>
    <w:rsid w:val="004B450D"/>
    <w:rsid w:val="004B529A"/>
    <w:rsid w:val="004B6074"/>
    <w:rsid w:val="004B6F35"/>
    <w:rsid w:val="004C0030"/>
    <w:rsid w:val="004C2EF8"/>
    <w:rsid w:val="004C3375"/>
    <w:rsid w:val="004C629A"/>
    <w:rsid w:val="004C70A7"/>
    <w:rsid w:val="004D126A"/>
    <w:rsid w:val="004D1521"/>
    <w:rsid w:val="004D3113"/>
    <w:rsid w:val="004D3DAB"/>
    <w:rsid w:val="004D3F94"/>
    <w:rsid w:val="004D4A6E"/>
    <w:rsid w:val="004D655C"/>
    <w:rsid w:val="004D773A"/>
    <w:rsid w:val="004D7F39"/>
    <w:rsid w:val="004E5F31"/>
    <w:rsid w:val="004F00BA"/>
    <w:rsid w:val="004F0AF4"/>
    <w:rsid w:val="004F26CE"/>
    <w:rsid w:val="004F2E12"/>
    <w:rsid w:val="004F3F75"/>
    <w:rsid w:val="004F44AD"/>
    <w:rsid w:val="004F4E03"/>
    <w:rsid w:val="004F517B"/>
    <w:rsid w:val="004F6BCF"/>
    <w:rsid w:val="00501476"/>
    <w:rsid w:val="00501DC3"/>
    <w:rsid w:val="00505658"/>
    <w:rsid w:val="00506898"/>
    <w:rsid w:val="005073A5"/>
    <w:rsid w:val="00507606"/>
    <w:rsid w:val="00510218"/>
    <w:rsid w:val="00510885"/>
    <w:rsid w:val="005110EA"/>
    <w:rsid w:val="005114ED"/>
    <w:rsid w:val="0051369D"/>
    <w:rsid w:val="0051424F"/>
    <w:rsid w:val="00515053"/>
    <w:rsid w:val="00517299"/>
    <w:rsid w:val="00520F3D"/>
    <w:rsid w:val="005223EF"/>
    <w:rsid w:val="005224F4"/>
    <w:rsid w:val="00522DBC"/>
    <w:rsid w:val="0052442E"/>
    <w:rsid w:val="00525491"/>
    <w:rsid w:val="005259C2"/>
    <w:rsid w:val="00526729"/>
    <w:rsid w:val="00530A73"/>
    <w:rsid w:val="0053256D"/>
    <w:rsid w:val="00532ECC"/>
    <w:rsid w:val="00533131"/>
    <w:rsid w:val="005341AE"/>
    <w:rsid w:val="00534380"/>
    <w:rsid w:val="00534450"/>
    <w:rsid w:val="00534B7C"/>
    <w:rsid w:val="00535614"/>
    <w:rsid w:val="00535979"/>
    <w:rsid w:val="00535C2A"/>
    <w:rsid w:val="00535D2C"/>
    <w:rsid w:val="00535DDC"/>
    <w:rsid w:val="00535FC1"/>
    <w:rsid w:val="00537A0B"/>
    <w:rsid w:val="00537C5E"/>
    <w:rsid w:val="005422D1"/>
    <w:rsid w:val="00546432"/>
    <w:rsid w:val="00546DEA"/>
    <w:rsid w:val="00550832"/>
    <w:rsid w:val="00550A1B"/>
    <w:rsid w:val="00551E23"/>
    <w:rsid w:val="00552337"/>
    <w:rsid w:val="00553FAD"/>
    <w:rsid w:val="00554E36"/>
    <w:rsid w:val="00555591"/>
    <w:rsid w:val="005555B0"/>
    <w:rsid w:val="00556E1A"/>
    <w:rsid w:val="00557F29"/>
    <w:rsid w:val="005610C7"/>
    <w:rsid w:val="0056144F"/>
    <w:rsid w:val="00562CFF"/>
    <w:rsid w:val="00562DA1"/>
    <w:rsid w:val="0056378C"/>
    <w:rsid w:val="005646B0"/>
    <w:rsid w:val="005649E8"/>
    <w:rsid w:val="00565EDC"/>
    <w:rsid w:val="00570C4F"/>
    <w:rsid w:val="005714CD"/>
    <w:rsid w:val="005718CB"/>
    <w:rsid w:val="005763A1"/>
    <w:rsid w:val="00577946"/>
    <w:rsid w:val="00577A11"/>
    <w:rsid w:val="00577E65"/>
    <w:rsid w:val="005815E3"/>
    <w:rsid w:val="00581BF5"/>
    <w:rsid w:val="00581F61"/>
    <w:rsid w:val="00582B82"/>
    <w:rsid w:val="005837D6"/>
    <w:rsid w:val="00583F26"/>
    <w:rsid w:val="0058581C"/>
    <w:rsid w:val="00585B98"/>
    <w:rsid w:val="00585BAB"/>
    <w:rsid w:val="00585D11"/>
    <w:rsid w:val="00585DBC"/>
    <w:rsid w:val="00590384"/>
    <w:rsid w:val="005904F0"/>
    <w:rsid w:val="005916A1"/>
    <w:rsid w:val="00591F81"/>
    <w:rsid w:val="00594BE5"/>
    <w:rsid w:val="0059666E"/>
    <w:rsid w:val="00596DF8"/>
    <w:rsid w:val="0059793C"/>
    <w:rsid w:val="005A026B"/>
    <w:rsid w:val="005A16A5"/>
    <w:rsid w:val="005A2DCE"/>
    <w:rsid w:val="005A4838"/>
    <w:rsid w:val="005A5394"/>
    <w:rsid w:val="005A5A10"/>
    <w:rsid w:val="005A78C5"/>
    <w:rsid w:val="005A7F48"/>
    <w:rsid w:val="005B00FE"/>
    <w:rsid w:val="005B05DB"/>
    <w:rsid w:val="005B1E88"/>
    <w:rsid w:val="005B2BA6"/>
    <w:rsid w:val="005B3B6B"/>
    <w:rsid w:val="005B50B7"/>
    <w:rsid w:val="005B54C7"/>
    <w:rsid w:val="005B6BB7"/>
    <w:rsid w:val="005B6E33"/>
    <w:rsid w:val="005B7212"/>
    <w:rsid w:val="005C09CF"/>
    <w:rsid w:val="005C1F2A"/>
    <w:rsid w:val="005C2856"/>
    <w:rsid w:val="005C2BCC"/>
    <w:rsid w:val="005C2F1B"/>
    <w:rsid w:val="005C3093"/>
    <w:rsid w:val="005C3E60"/>
    <w:rsid w:val="005C4154"/>
    <w:rsid w:val="005C52B0"/>
    <w:rsid w:val="005C6FB1"/>
    <w:rsid w:val="005C7E5D"/>
    <w:rsid w:val="005C7F44"/>
    <w:rsid w:val="005D0ABB"/>
    <w:rsid w:val="005D107F"/>
    <w:rsid w:val="005D10BA"/>
    <w:rsid w:val="005D264A"/>
    <w:rsid w:val="005D4099"/>
    <w:rsid w:val="005D43B0"/>
    <w:rsid w:val="005D57FE"/>
    <w:rsid w:val="005D794F"/>
    <w:rsid w:val="005E246F"/>
    <w:rsid w:val="005E2871"/>
    <w:rsid w:val="005E3610"/>
    <w:rsid w:val="005E494F"/>
    <w:rsid w:val="005E4E0C"/>
    <w:rsid w:val="005E4E87"/>
    <w:rsid w:val="005E4F51"/>
    <w:rsid w:val="005E5E0D"/>
    <w:rsid w:val="005E6A8E"/>
    <w:rsid w:val="005E792F"/>
    <w:rsid w:val="005E7A0A"/>
    <w:rsid w:val="005F1439"/>
    <w:rsid w:val="005F14EE"/>
    <w:rsid w:val="005F31C2"/>
    <w:rsid w:val="005F36AA"/>
    <w:rsid w:val="005F3DFB"/>
    <w:rsid w:val="005F5D8E"/>
    <w:rsid w:val="005F5E10"/>
    <w:rsid w:val="005F5EBD"/>
    <w:rsid w:val="005F69FD"/>
    <w:rsid w:val="005F6B4C"/>
    <w:rsid w:val="005F72E4"/>
    <w:rsid w:val="005F75BB"/>
    <w:rsid w:val="005F7736"/>
    <w:rsid w:val="00600840"/>
    <w:rsid w:val="00602664"/>
    <w:rsid w:val="00602936"/>
    <w:rsid w:val="0060606B"/>
    <w:rsid w:val="00606C57"/>
    <w:rsid w:val="00606C65"/>
    <w:rsid w:val="0060726D"/>
    <w:rsid w:val="00607B67"/>
    <w:rsid w:val="00611782"/>
    <w:rsid w:val="006136F0"/>
    <w:rsid w:val="00613B98"/>
    <w:rsid w:val="00613EF5"/>
    <w:rsid w:val="006140D7"/>
    <w:rsid w:val="0061479C"/>
    <w:rsid w:val="006158F0"/>
    <w:rsid w:val="0061610E"/>
    <w:rsid w:val="0061689B"/>
    <w:rsid w:val="006175F7"/>
    <w:rsid w:val="00617C7D"/>
    <w:rsid w:val="0062010F"/>
    <w:rsid w:val="00623267"/>
    <w:rsid w:val="0062442F"/>
    <w:rsid w:val="0062553F"/>
    <w:rsid w:val="00625ACA"/>
    <w:rsid w:val="00625CBA"/>
    <w:rsid w:val="0062778D"/>
    <w:rsid w:val="00627A57"/>
    <w:rsid w:val="0063005A"/>
    <w:rsid w:val="00632D03"/>
    <w:rsid w:val="00633BBE"/>
    <w:rsid w:val="00635B5D"/>
    <w:rsid w:val="00636F2E"/>
    <w:rsid w:val="00640245"/>
    <w:rsid w:val="006422F2"/>
    <w:rsid w:val="00643196"/>
    <w:rsid w:val="00643D9F"/>
    <w:rsid w:val="00644186"/>
    <w:rsid w:val="006442FE"/>
    <w:rsid w:val="00644A6F"/>
    <w:rsid w:val="006464F9"/>
    <w:rsid w:val="00646CB7"/>
    <w:rsid w:val="0064731C"/>
    <w:rsid w:val="006478F0"/>
    <w:rsid w:val="00647939"/>
    <w:rsid w:val="0065087A"/>
    <w:rsid w:val="00652C8C"/>
    <w:rsid w:val="00654E03"/>
    <w:rsid w:val="00655005"/>
    <w:rsid w:val="00655432"/>
    <w:rsid w:val="0065638B"/>
    <w:rsid w:val="0065706E"/>
    <w:rsid w:val="00662C6C"/>
    <w:rsid w:val="0066386A"/>
    <w:rsid w:val="00664047"/>
    <w:rsid w:val="00665778"/>
    <w:rsid w:val="0066597F"/>
    <w:rsid w:val="00666066"/>
    <w:rsid w:val="006668FF"/>
    <w:rsid w:val="0066761C"/>
    <w:rsid w:val="0066774C"/>
    <w:rsid w:val="00670FDC"/>
    <w:rsid w:val="006734A6"/>
    <w:rsid w:val="00674C42"/>
    <w:rsid w:val="00675E39"/>
    <w:rsid w:val="00676497"/>
    <w:rsid w:val="00676C4D"/>
    <w:rsid w:val="00677F6E"/>
    <w:rsid w:val="0068126D"/>
    <w:rsid w:val="00682EF9"/>
    <w:rsid w:val="006830F1"/>
    <w:rsid w:val="00686A25"/>
    <w:rsid w:val="0068780D"/>
    <w:rsid w:val="00687A92"/>
    <w:rsid w:val="00690A26"/>
    <w:rsid w:val="006918D6"/>
    <w:rsid w:val="00691C37"/>
    <w:rsid w:val="006922B0"/>
    <w:rsid w:val="00692337"/>
    <w:rsid w:val="00692D84"/>
    <w:rsid w:val="006949B7"/>
    <w:rsid w:val="0069551A"/>
    <w:rsid w:val="006962EA"/>
    <w:rsid w:val="00696BC3"/>
    <w:rsid w:val="00697886"/>
    <w:rsid w:val="006A05F9"/>
    <w:rsid w:val="006A15B4"/>
    <w:rsid w:val="006A1E05"/>
    <w:rsid w:val="006A299B"/>
    <w:rsid w:val="006A3003"/>
    <w:rsid w:val="006A3A2E"/>
    <w:rsid w:val="006A3B52"/>
    <w:rsid w:val="006A4FB8"/>
    <w:rsid w:val="006A568B"/>
    <w:rsid w:val="006A7C7E"/>
    <w:rsid w:val="006B0D7C"/>
    <w:rsid w:val="006B276B"/>
    <w:rsid w:val="006B2D5F"/>
    <w:rsid w:val="006B3F22"/>
    <w:rsid w:val="006B75CD"/>
    <w:rsid w:val="006B7AC3"/>
    <w:rsid w:val="006C1292"/>
    <w:rsid w:val="006C1975"/>
    <w:rsid w:val="006C1C24"/>
    <w:rsid w:val="006C3003"/>
    <w:rsid w:val="006C515B"/>
    <w:rsid w:val="006C5249"/>
    <w:rsid w:val="006C5641"/>
    <w:rsid w:val="006C6159"/>
    <w:rsid w:val="006C6327"/>
    <w:rsid w:val="006C70B1"/>
    <w:rsid w:val="006C71B1"/>
    <w:rsid w:val="006D0877"/>
    <w:rsid w:val="006D3EE8"/>
    <w:rsid w:val="006D4A2D"/>
    <w:rsid w:val="006D5C2D"/>
    <w:rsid w:val="006D5E84"/>
    <w:rsid w:val="006D6933"/>
    <w:rsid w:val="006E03AF"/>
    <w:rsid w:val="006E1E51"/>
    <w:rsid w:val="006E26F1"/>
    <w:rsid w:val="006E3ACD"/>
    <w:rsid w:val="006E5F7A"/>
    <w:rsid w:val="006E7678"/>
    <w:rsid w:val="006E792C"/>
    <w:rsid w:val="006F068D"/>
    <w:rsid w:val="006F0E49"/>
    <w:rsid w:val="006F1D1A"/>
    <w:rsid w:val="006F25E7"/>
    <w:rsid w:val="006F26AB"/>
    <w:rsid w:val="006F3199"/>
    <w:rsid w:val="006F4469"/>
    <w:rsid w:val="006F4514"/>
    <w:rsid w:val="006F55C7"/>
    <w:rsid w:val="006F7219"/>
    <w:rsid w:val="00700083"/>
    <w:rsid w:val="007001D8"/>
    <w:rsid w:val="00701B5D"/>
    <w:rsid w:val="00701FD9"/>
    <w:rsid w:val="00702122"/>
    <w:rsid w:val="007022A6"/>
    <w:rsid w:val="0070247C"/>
    <w:rsid w:val="00705179"/>
    <w:rsid w:val="00705DE5"/>
    <w:rsid w:val="0070765D"/>
    <w:rsid w:val="00707C26"/>
    <w:rsid w:val="007112BD"/>
    <w:rsid w:val="00712A22"/>
    <w:rsid w:val="00713347"/>
    <w:rsid w:val="007146E0"/>
    <w:rsid w:val="00716CC2"/>
    <w:rsid w:val="0072035C"/>
    <w:rsid w:val="0072077F"/>
    <w:rsid w:val="0072195E"/>
    <w:rsid w:val="00721C79"/>
    <w:rsid w:val="00722BD3"/>
    <w:rsid w:val="0072309D"/>
    <w:rsid w:val="00723EB0"/>
    <w:rsid w:val="007256F2"/>
    <w:rsid w:val="00726A73"/>
    <w:rsid w:val="00726B9E"/>
    <w:rsid w:val="0072741E"/>
    <w:rsid w:val="007304C2"/>
    <w:rsid w:val="0073141C"/>
    <w:rsid w:val="007315E4"/>
    <w:rsid w:val="00735D41"/>
    <w:rsid w:val="00736C7D"/>
    <w:rsid w:val="007400C6"/>
    <w:rsid w:val="00741198"/>
    <w:rsid w:val="00741F40"/>
    <w:rsid w:val="007430A1"/>
    <w:rsid w:val="00744CEE"/>
    <w:rsid w:val="00744EC0"/>
    <w:rsid w:val="0074590D"/>
    <w:rsid w:val="0074684F"/>
    <w:rsid w:val="007475CF"/>
    <w:rsid w:val="007479C8"/>
    <w:rsid w:val="00747A3A"/>
    <w:rsid w:val="00750CD3"/>
    <w:rsid w:val="00752B7A"/>
    <w:rsid w:val="007533FD"/>
    <w:rsid w:val="007535EE"/>
    <w:rsid w:val="00753ABC"/>
    <w:rsid w:val="007569E3"/>
    <w:rsid w:val="007576CF"/>
    <w:rsid w:val="00757DCB"/>
    <w:rsid w:val="00760CA0"/>
    <w:rsid w:val="00762AFD"/>
    <w:rsid w:val="007635BC"/>
    <w:rsid w:val="00763D21"/>
    <w:rsid w:val="00763E67"/>
    <w:rsid w:val="0077095D"/>
    <w:rsid w:val="007713DF"/>
    <w:rsid w:val="00771CDC"/>
    <w:rsid w:val="00773843"/>
    <w:rsid w:val="00773DA5"/>
    <w:rsid w:val="00773F92"/>
    <w:rsid w:val="007740C7"/>
    <w:rsid w:val="007753E7"/>
    <w:rsid w:val="00775487"/>
    <w:rsid w:val="00775CBB"/>
    <w:rsid w:val="0077715A"/>
    <w:rsid w:val="0077798E"/>
    <w:rsid w:val="00777F68"/>
    <w:rsid w:val="0078018A"/>
    <w:rsid w:val="00780676"/>
    <w:rsid w:val="00780D2D"/>
    <w:rsid w:val="00781381"/>
    <w:rsid w:val="007814DF"/>
    <w:rsid w:val="00782559"/>
    <w:rsid w:val="007857DF"/>
    <w:rsid w:val="00785A88"/>
    <w:rsid w:val="007868A0"/>
    <w:rsid w:val="00786E15"/>
    <w:rsid w:val="00786FD7"/>
    <w:rsid w:val="00787098"/>
    <w:rsid w:val="007879A4"/>
    <w:rsid w:val="007903E9"/>
    <w:rsid w:val="00791C23"/>
    <w:rsid w:val="00792AF6"/>
    <w:rsid w:val="007930E6"/>
    <w:rsid w:val="00793548"/>
    <w:rsid w:val="007936D5"/>
    <w:rsid w:val="00794053"/>
    <w:rsid w:val="00794433"/>
    <w:rsid w:val="007946B2"/>
    <w:rsid w:val="00795572"/>
    <w:rsid w:val="00795C73"/>
    <w:rsid w:val="00795D66"/>
    <w:rsid w:val="00796EFE"/>
    <w:rsid w:val="007A03C4"/>
    <w:rsid w:val="007A0A82"/>
    <w:rsid w:val="007A3718"/>
    <w:rsid w:val="007A3861"/>
    <w:rsid w:val="007A6B9B"/>
    <w:rsid w:val="007A6D68"/>
    <w:rsid w:val="007A72FA"/>
    <w:rsid w:val="007A75A9"/>
    <w:rsid w:val="007B0577"/>
    <w:rsid w:val="007B1965"/>
    <w:rsid w:val="007B33E4"/>
    <w:rsid w:val="007B3AE2"/>
    <w:rsid w:val="007B3DE9"/>
    <w:rsid w:val="007B529A"/>
    <w:rsid w:val="007B6E36"/>
    <w:rsid w:val="007B6EC2"/>
    <w:rsid w:val="007C1EC8"/>
    <w:rsid w:val="007C2748"/>
    <w:rsid w:val="007C2AEF"/>
    <w:rsid w:val="007C2F4B"/>
    <w:rsid w:val="007C3C30"/>
    <w:rsid w:val="007C3D64"/>
    <w:rsid w:val="007C4749"/>
    <w:rsid w:val="007C7C4E"/>
    <w:rsid w:val="007C7E93"/>
    <w:rsid w:val="007D0722"/>
    <w:rsid w:val="007D1CE4"/>
    <w:rsid w:val="007D2D1B"/>
    <w:rsid w:val="007D39C9"/>
    <w:rsid w:val="007D56FC"/>
    <w:rsid w:val="007D580E"/>
    <w:rsid w:val="007D58FF"/>
    <w:rsid w:val="007D5930"/>
    <w:rsid w:val="007D7EFA"/>
    <w:rsid w:val="007E04D4"/>
    <w:rsid w:val="007E0DCD"/>
    <w:rsid w:val="007E18AD"/>
    <w:rsid w:val="007E1F38"/>
    <w:rsid w:val="007E1FBB"/>
    <w:rsid w:val="007E3776"/>
    <w:rsid w:val="007E385B"/>
    <w:rsid w:val="007E38E7"/>
    <w:rsid w:val="007E431D"/>
    <w:rsid w:val="007E4876"/>
    <w:rsid w:val="007E48AC"/>
    <w:rsid w:val="007E48AD"/>
    <w:rsid w:val="007E4EE5"/>
    <w:rsid w:val="007E6C08"/>
    <w:rsid w:val="007E7A2F"/>
    <w:rsid w:val="007E7F3F"/>
    <w:rsid w:val="007F0890"/>
    <w:rsid w:val="007F1514"/>
    <w:rsid w:val="007F2552"/>
    <w:rsid w:val="007F42BB"/>
    <w:rsid w:val="007F55CC"/>
    <w:rsid w:val="007F59E5"/>
    <w:rsid w:val="007F72B0"/>
    <w:rsid w:val="008007ED"/>
    <w:rsid w:val="00801976"/>
    <w:rsid w:val="0080214E"/>
    <w:rsid w:val="00802236"/>
    <w:rsid w:val="008034C7"/>
    <w:rsid w:val="00803D3E"/>
    <w:rsid w:val="00805289"/>
    <w:rsid w:val="00805472"/>
    <w:rsid w:val="008101F3"/>
    <w:rsid w:val="0081043B"/>
    <w:rsid w:val="00810570"/>
    <w:rsid w:val="00810F0F"/>
    <w:rsid w:val="008110FF"/>
    <w:rsid w:val="00811268"/>
    <w:rsid w:val="008112FB"/>
    <w:rsid w:val="0081153A"/>
    <w:rsid w:val="00811A92"/>
    <w:rsid w:val="00812884"/>
    <w:rsid w:val="00813DB0"/>
    <w:rsid w:val="008143DF"/>
    <w:rsid w:val="008149D3"/>
    <w:rsid w:val="00815664"/>
    <w:rsid w:val="00815E48"/>
    <w:rsid w:val="008161ED"/>
    <w:rsid w:val="00816584"/>
    <w:rsid w:val="00816A53"/>
    <w:rsid w:val="00817660"/>
    <w:rsid w:val="00817C7A"/>
    <w:rsid w:val="0082009C"/>
    <w:rsid w:val="00820E97"/>
    <w:rsid w:val="00821356"/>
    <w:rsid w:val="008219E6"/>
    <w:rsid w:val="00821D02"/>
    <w:rsid w:val="00821E78"/>
    <w:rsid w:val="00821E7F"/>
    <w:rsid w:val="00821F36"/>
    <w:rsid w:val="00823B40"/>
    <w:rsid w:val="008244D6"/>
    <w:rsid w:val="00824BBB"/>
    <w:rsid w:val="00824D50"/>
    <w:rsid w:val="008266EC"/>
    <w:rsid w:val="00827E4F"/>
    <w:rsid w:val="00831563"/>
    <w:rsid w:val="008317F4"/>
    <w:rsid w:val="0083282E"/>
    <w:rsid w:val="00832E63"/>
    <w:rsid w:val="00834E69"/>
    <w:rsid w:val="00835B11"/>
    <w:rsid w:val="008376A5"/>
    <w:rsid w:val="008377AA"/>
    <w:rsid w:val="00842D05"/>
    <w:rsid w:val="00844682"/>
    <w:rsid w:val="00845026"/>
    <w:rsid w:val="00845B22"/>
    <w:rsid w:val="008463D6"/>
    <w:rsid w:val="00846637"/>
    <w:rsid w:val="00846868"/>
    <w:rsid w:val="008475F3"/>
    <w:rsid w:val="00850DC2"/>
    <w:rsid w:val="008510F8"/>
    <w:rsid w:val="00852E3E"/>
    <w:rsid w:val="00852FBA"/>
    <w:rsid w:val="00853B8B"/>
    <w:rsid w:val="00853FC4"/>
    <w:rsid w:val="00854860"/>
    <w:rsid w:val="00854E36"/>
    <w:rsid w:val="00855628"/>
    <w:rsid w:val="00860588"/>
    <w:rsid w:val="00861062"/>
    <w:rsid w:val="00864A2B"/>
    <w:rsid w:val="00865786"/>
    <w:rsid w:val="00865F1A"/>
    <w:rsid w:val="00870C0B"/>
    <w:rsid w:val="00871E65"/>
    <w:rsid w:val="008721C6"/>
    <w:rsid w:val="00872B0D"/>
    <w:rsid w:val="00872C9D"/>
    <w:rsid w:val="00873834"/>
    <w:rsid w:val="00873DD0"/>
    <w:rsid w:val="008773D4"/>
    <w:rsid w:val="008824F7"/>
    <w:rsid w:val="00884670"/>
    <w:rsid w:val="0088496A"/>
    <w:rsid w:val="00885E63"/>
    <w:rsid w:val="00885F84"/>
    <w:rsid w:val="008861F8"/>
    <w:rsid w:val="008862DC"/>
    <w:rsid w:val="00886337"/>
    <w:rsid w:val="00886630"/>
    <w:rsid w:val="00887B0D"/>
    <w:rsid w:val="00890138"/>
    <w:rsid w:val="00891438"/>
    <w:rsid w:val="00893610"/>
    <w:rsid w:val="0089364C"/>
    <w:rsid w:val="00893B5C"/>
    <w:rsid w:val="008956BD"/>
    <w:rsid w:val="00895CB2"/>
    <w:rsid w:val="00895DF9"/>
    <w:rsid w:val="008964DC"/>
    <w:rsid w:val="00897154"/>
    <w:rsid w:val="00897BDA"/>
    <w:rsid w:val="008A0B2C"/>
    <w:rsid w:val="008A151A"/>
    <w:rsid w:val="008A2015"/>
    <w:rsid w:val="008A2B9B"/>
    <w:rsid w:val="008A2D9C"/>
    <w:rsid w:val="008A30B8"/>
    <w:rsid w:val="008A3840"/>
    <w:rsid w:val="008A4E42"/>
    <w:rsid w:val="008A6A10"/>
    <w:rsid w:val="008A6F36"/>
    <w:rsid w:val="008A78A2"/>
    <w:rsid w:val="008B0D0B"/>
    <w:rsid w:val="008B0E5F"/>
    <w:rsid w:val="008B13BF"/>
    <w:rsid w:val="008B15FC"/>
    <w:rsid w:val="008B2452"/>
    <w:rsid w:val="008B2FEB"/>
    <w:rsid w:val="008B3F99"/>
    <w:rsid w:val="008B5487"/>
    <w:rsid w:val="008B563D"/>
    <w:rsid w:val="008B6050"/>
    <w:rsid w:val="008B7F18"/>
    <w:rsid w:val="008B7F3A"/>
    <w:rsid w:val="008B7F56"/>
    <w:rsid w:val="008C2176"/>
    <w:rsid w:val="008C3881"/>
    <w:rsid w:val="008C4D69"/>
    <w:rsid w:val="008C547F"/>
    <w:rsid w:val="008C579C"/>
    <w:rsid w:val="008C5C65"/>
    <w:rsid w:val="008C6212"/>
    <w:rsid w:val="008C6771"/>
    <w:rsid w:val="008C776E"/>
    <w:rsid w:val="008C7AE2"/>
    <w:rsid w:val="008D0647"/>
    <w:rsid w:val="008D1247"/>
    <w:rsid w:val="008D2B3E"/>
    <w:rsid w:val="008D2F78"/>
    <w:rsid w:val="008D3004"/>
    <w:rsid w:val="008D317B"/>
    <w:rsid w:val="008D362A"/>
    <w:rsid w:val="008D508E"/>
    <w:rsid w:val="008D5855"/>
    <w:rsid w:val="008D5CFF"/>
    <w:rsid w:val="008D7FD4"/>
    <w:rsid w:val="008E01C5"/>
    <w:rsid w:val="008E06AC"/>
    <w:rsid w:val="008E0C99"/>
    <w:rsid w:val="008E1050"/>
    <w:rsid w:val="008E17D8"/>
    <w:rsid w:val="008E4430"/>
    <w:rsid w:val="008E4FDB"/>
    <w:rsid w:val="008E5126"/>
    <w:rsid w:val="008E52E4"/>
    <w:rsid w:val="008E553A"/>
    <w:rsid w:val="008E58C3"/>
    <w:rsid w:val="008E6153"/>
    <w:rsid w:val="008E6BB7"/>
    <w:rsid w:val="008E6DDD"/>
    <w:rsid w:val="008E77F8"/>
    <w:rsid w:val="008F03A8"/>
    <w:rsid w:val="008F233D"/>
    <w:rsid w:val="008F2F97"/>
    <w:rsid w:val="008F4FFE"/>
    <w:rsid w:val="008F5B47"/>
    <w:rsid w:val="008F66FE"/>
    <w:rsid w:val="008F6702"/>
    <w:rsid w:val="008F71CF"/>
    <w:rsid w:val="008F7D83"/>
    <w:rsid w:val="009000ED"/>
    <w:rsid w:val="00900255"/>
    <w:rsid w:val="00900787"/>
    <w:rsid w:val="00901426"/>
    <w:rsid w:val="009015E8"/>
    <w:rsid w:val="00901E4B"/>
    <w:rsid w:val="00904613"/>
    <w:rsid w:val="00904882"/>
    <w:rsid w:val="0090511F"/>
    <w:rsid w:val="0090531E"/>
    <w:rsid w:val="00906D38"/>
    <w:rsid w:val="00907A44"/>
    <w:rsid w:val="009108BD"/>
    <w:rsid w:val="00910BE3"/>
    <w:rsid w:val="009114F0"/>
    <w:rsid w:val="00912018"/>
    <w:rsid w:val="00912B48"/>
    <w:rsid w:val="00913E05"/>
    <w:rsid w:val="0091403A"/>
    <w:rsid w:val="00915A72"/>
    <w:rsid w:val="00915B4A"/>
    <w:rsid w:val="0091605C"/>
    <w:rsid w:val="009163E3"/>
    <w:rsid w:val="00916EF5"/>
    <w:rsid w:val="0091707C"/>
    <w:rsid w:val="00917083"/>
    <w:rsid w:val="00917574"/>
    <w:rsid w:val="00917AAC"/>
    <w:rsid w:val="00917FC8"/>
    <w:rsid w:val="00920116"/>
    <w:rsid w:val="0092075D"/>
    <w:rsid w:val="00921887"/>
    <w:rsid w:val="00921B4B"/>
    <w:rsid w:val="00921B8E"/>
    <w:rsid w:val="00922F5D"/>
    <w:rsid w:val="00923A10"/>
    <w:rsid w:val="00923A74"/>
    <w:rsid w:val="0092423C"/>
    <w:rsid w:val="00924581"/>
    <w:rsid w:val="00924B31"/>
    <w:rsid w:val="0092534B"/>
    <w:rsid w:val="0092600B"/>
    <w:rsid w:val="009277AB"/>
    <w:rsid w:val="00930B91"/>
    <w:rsid w:val="009316DD"/>
    <w:rsid w:val="00934E07"/>
    <w:rsid w:val="009354E7"/>
    <w:rsid w:val="00936DC3"/>
    <w:rsid w:val="00937558"/>
    <w:rsid w:val="009377F3"/>
    <w:rsid w:val="009404C4"/>
    <w:rsid w:val="00942177"/>
    <w:rsid w:val="00942325"/>
    <w:rsid w:val="00942383"/>
    <w:rsid w:val="009426CB"/>
    <w:rsid w:val="00942877"/>
    <w:rsid w:val="009430E5"/>
    <w:rsid w:val="009439DE"/>
    <w:rsid w:val="00945257"/>
    <w:rsid w:val="00945E98"/>
    <w:rsid w:val="0094664F"/>
    <w:rsid w:val="009477BA"/>
    <w:rsid w:val="00951A53"/>
    <w:rsid w:val="00952D40"/>
    <w:rsid w:val="00952E49"/>
    <w:rsid w:val="0095356C"/>
    <w:rsid w:val="00953CE2"/>
    <w:rsid w:val="00954153"/>
    <w:rsid w:val="00954271"/>
    <w:rsid w:val="009543CD"/>
    <w:rsid w:val="00955356"/>
    <w:rsid w:val="0095574B"/>
    <w:rsid w:val="0095740C"/>
    <w:rsid w:val="00960104"/>
    <w:rsid w:val="00960832"/>
    <w:rsid w:val="00961784"/>
    <w:rsid w:val="00964245"/>
    <w:rsid w:val="00964458"/>
    <w:rsid w:val="0096472E"/>
    <w:rsid w:val="00965FBB"/>
    <w:rsid w:val="00966184"/>
    <w:rsid w:val="009671D0"/>
    <w:rsid w:val="009674C3"/>
    <w:rsid w:val="009714B9"/>
    <w:rsid w:val="00973DAA"/>
    <w:rsid w:val="00973DD0"/>
    <w:rsid w:val="00974544"/>
    <w:rsid w:val="009777AA"/>
    <w:rsid w:val="0097781B"/>
    <w:rsid w:val="009801A8"/>
    <w:rsid w:val="00980449"/>
    <w:rsid w:val="00981392"/>
    <w:rsid w:val="00982B28"/>
    <w:rsid w:val="0098379B"/>
    <w:rsid w:val="009843A4"/>
    <w:rsid w:val="00984B88"/>
    <w:rsid w:val="0098591F"/>
    <w:rsid w:val="00985B54"/>
    <w:rsid w:val="0098604F"/>
    <w:rsid w:val="0098607C"/>
    <w:rsid w:val="00986356"/>
    <w:rsid w:val="00986E46"/>
    <w:rsid w:val="00990623"/>
    <w:rsid w:val="00993408"/>
    <w:rsid w:val="00994122"/>
    <w:rsid w:val="00994D1B"/>
    <w:rsid w:val="009955A2"/>
    <w:rsid w:val="00996D67"/>
    <w:rsid w:val="00997FFC"/>
    <w:rsid w:val="009A06DB"/>
    <w:rsid w:val="009A0C81"/>
    <w:rsid w:val="009A0FBC"/>
    <w:rsid w:val="009A2352"/>
    <w:rsid w:val="009A250D"/>
    <w:rsid w:val="009A2B46"/>
    <w:rsid w:val="009A2CA1"/>
    <w:rsid w:val="009A310D"/>
    <w:rsid w:val="009A58E9"/>
    <w:rsid w:val="009A6480"/>
    <w:rsid w:val="009A7511"/>
    <w:rsid w:val="009A7967"/>
    <w:rsid w:val="009B03B0"/>
    <w:rsid w:val="009B2847"/>
    <w:rsid w:val="009B31EF"/>
    <w:rsid w:val="009B33B2"/>
    <w:rsid w:val="009B3912"/>
    <w:rsid w:val="009B5724"/>
    <w:rsid w:val="009C07A2"/>
    <w:rsid w:val="009C09DA"/>
    <w:rsid w:val="009C171E"/>
    <w:rsid w:val="009C176D"/>
    <w:rsid w:val="009C303D"/>
    <w:rsid w:val="009C3F44"/>
    <w:rsid w:val="009C4F5D"/>
    <w:rsid w:val="009C5F64"/>
    <w:rsid w:val="009C6121"/>
    <w:rsid w:val="009C65B1"/>
    <w:rsid w:val="009C69BB"/>
    <w:rsid w:val="009D55E1"/>
    <w:rsid w:val="009D568D"/>
    <w:rsid w:val="009D7B08"/>
    <w:rsid w:val="009E0D50"/>
    <w:rsid w:val="009E11CF"/>
    <w:rsid w:val="009E20C7"/>
    <w:rsid w:val="009E26D4"/>
    <w:rsid w:val="009E32A4"/>
    <w:rsid w:val="009E4478"/>
    <w:rsid w:val="009E48E4"/>
    <w:rsid w:val="009E5C95"/>
    <w:rsid w:val="009E61BC"/>
    <w:rsid w:val="009F0B30"/>
    <w:rsid w:val="009F4107"/>
    <w:rsid w:val="009F48DA"/>
    <w:rsid w:val="009F5173"/>
    <w:rsid w:val="009F580E"/>
    <w:rsid w:val="009F6B57"/>
    <w:rsid w:val="009F70C9"/>
    <w:rsid w:val="009F7580"/>
    <w:rsid w:val="009F7DC9"/>
    <w:rsid w:val="00A00130"/>
    <w:rsid w:val="00A00F1A"/>
    <w:rsid w:val="00A018E9"/>
    <w:rsid w:val="00A02AD3"/>
    <w:rsid w:val="00A02BDD"/>
    <w:rsid w:val="00A02FD6"/>
    <w:rsid w:val="00A05A4B"/>
    <w:rsid w:val="00A0607F"/>
    <w:rsid w:val="00A10292"/>
    <w:rsid w:val="00A10D7A"/>
    <w:rsid w:val="00A11BB8"/>
    <w:rsid w:val="00A12F18"/>
    <w:rsid w:val="00A14292"/>
    <w:rsid w:val="00A1513C"/>
    <w:rsid w:val="00A1596C"/>
    <w:rsid w:val="00A15F1F"/>
    <w:rsid w:val="00A16AEA"/>
    <w:rsid w:val="00A175E5"/>
    <w:rsid w:val="00A17B0E"/>
    <w:rsid w:val="00A21671"/>
    <w:rsid w:val="00A2322C"/>
    <w:rsid w:val="00A24464"/>
    <w:rsid w:val="00A25B43"/>
    <w:rsid w:val="00A25E9B"/>
    <w:rsid w:val="00A303FF"/>
    <w:rsid w:val="00A34574"/>
    <w:rsid w:val="00A3490D"/>
    <w:rsid w:val="00A34A07"/>
    <w:rsid w:val="00A36AE8"/>
    <w:rsid w:val="00A41002"/>
    <w:rsid w:val="00A41B31"/>
    <w:rsid w:val="00A41BC1"/>
    <w:rsid w:val="00A42A10"/>
    <w:rsid w:val="00A42CCE"/>
    <w:rsid w:val="00A42F12"/>
    <w:rsid w:val="00A50504"/>
    <w:rsid w:val="00A507DB"/>
    <w:rsid w:val="00A508F0"/>
    <w:rsid w:val="00A50B06"/>
    <w:rsid w:val="00A5123A"/>
    <w:rsid w:val="00A53023"/>
    <w:rsid w:val="00A534B4"/>
    <w:rsid w:val="00A537C2"/>
    <w:rsid w:val="00A5387B"/>
    <w:rsid w:val="00A53D53"/>
    <w:rsid w:val="00A55063"/>
    <w:rsid w:val="00A55B69"/>
    <w:rsid w:val="00A56746"/>
    <w:rsid w:val="00A568D9"/>
    <w:rsid w:val="00A56A48"/>
    <w:rsid w:val="00A60054"/>
    <w:rsid w:val="00A600FB"/>
    <w:rsid w:val="00A60926"/>
    <w:rsid w:val="00A61462"/>
    <w:rsid w:val="00A61D07"/>
    <w:rsid w:val="00A6234A"/>
    <w:rsid w:val="00A6360F"/>
    <w:rsid w:val="00A63C5D"/>
    <w:rsid w:val="00A6411E"/>
    <w:rsid w:val="00A6449D"/>
    <w:rsid w:val="00A64959"/>
    <w:rsid w:val="00A660B1"/>
    <w:rsid w:val="00A662F1"/>
    <w:rsid w:val="00A663EF"/>
    <w:rsid w:val="00A672D7"/>
    <w:rsid w:val="00A7142F"/>
    <w:rsid w:val="00A718C6"/>
    <w:rsid w:val="00A71BF6"/>
    <w:rsid w:val="00A72EDA"/>
    <w:rsid w:val="00A73F24"/>
    <w:rsid w:val="00A748AE"/>
    <w:rsid w:val="00A749EC"/>
    <w:rsid w:val="00A74D14"/>
    <w:rsid w:val="00A75B17"/>
    <w:rsid w:val="00A7785E"/>
    <w:rsid w:val="00A77BA5"/>
    <w:rsid w:val="00A77D6C"/>
    <w:rsid w:val="00A833FB"/>
    <w:rsid w:val="00A834F7"/>
    <w:rsid w:val="00A841B0"/>
    <w:rsid w:val="00A859DD"/>
    <w:rsid w:val="00A86A50"/>
    <w:rsid w:val="00A9005C"/>
    <w:rsid w:val="00A919B2"/>
    <w:rsid w:val="00A91DA3"/>
    <w:rsid w:val="00A92373"/>
    <w:rsid w:val="00A960F5"/>
    <w:rsid w:val="00A9616A"/>
    <w:rsid w:val="00A966CF"/>
    <w:rsid w:val="00A96703"/>
    <w:rsid w:val="00A969B1"/>
    <w:rsid w:val="00A9712C"/>
    <w:rsid w:val="00AA098E"/>
    <w:rsid w:val="00AA1016"/>
    <w:rsid w:val="00AA2361"/>
    <w:rsid w:val="00AA28A5"/>
    <w:rsid w:val="00AA29E2"/>
    <w:rsid w:val="00AA34F2"/>
    <w:rsid w:val="00AA420F"/>
    <w:rsid w:val="00AA4596"/>
    <w:rsid w:val="00AA5421"/>
    <w:rsid w:val="00AA5745"/>
    <w:rsid w:val="00AA5D3E"/>
    <w:rsid w:val="00AA7D4F"/>
    <w:rsid w:val="00AB01B3"/>
    <w:rsid w:val="00AB09C7"/>
    <w:rsid w:val="00AB2AFF"/>
    <w:rsid w:val="00AB3362"/>
    <w:rsid w:val="00AB4BDA"/>
    <w:rsid w:val="00AB4E79"/>
    <w:rsid w:val="00AB51B2"/>
    <w:rsid w:val="00AB5905"/>
    <w:rsid w:val="00AB683C"/>
    <w:rsid w:val="00AB6D89"/>
    <w:rsid w:val="00AB76E4"/>
    <w:rsid w:val="00AB770F"/>
    <w:rsid w:val="00AC0A6F"/>
    <w:rsid w:val="00AC1B2E"/>
    <w:rsid w:val="00AC1CA9"/>
    <w:rsid w:val="00AC24B6"/>
    <w:rsid w:val="00AC4C59"/>
    <w:rsid w:val="00AC4DC3"/>
    <w:rsid w:val="00AC4EA5"/>
    <w:rsid w:val="00AC6358"/>
    <w:rsid w:val="00AC6E34"/>
    <w:rsid w:val="00AC727C"/>
    <w:rsid w:val="00AD0A8C"/>
    <w:rsid w:val="00AD19CC"/>
    <w:rsid w:val="00AD2783"/>
    <w:rsid w:val="00AD3450"/>
    <w:rsid w:val="00AD3AC9"/>
    <w:rsid w:val="00AD4265"/>
    <w:rsid w:val="00AD4C7D"/>
    <w:rsid w:val="00AD5537"/>
    <w:rsid w:val="00AD67C9"/>
    <w:rsid w:val="00AD7B2C"/>
    <w:rsid w:val="00AE0311"/>
    <w:rsid w:val="00AE33ED"/>
    <w:rsid w:val="00AE40FA"/>
    <w:rsid w:val="00AE579C"/>
    <w:rsid w:val="00AE5C75"/>
    <w:rsid w:val="00AE6111"/>
    <w:rsid w:val="00AF06E0"/>
    <w:rsid w:val="00AF14C2"/>
    <w:rsid w:val="00AF1798"/>
    <w:rsid w:val="00AF1A0B"/>
    <w:rsid w:val="00AF1BA2"/>
    <w:rsid w:val="00AF2B55"/>
    <w:rsid w:val="00AF320D"/>
    <w:rsid w:val="00AF3A39"/>
    <w:rsid w:val="00AF4C19"/>
    <w:rsid w:val="00AF5288"/>
    <w:rsid w:val="00AF6145"/>
    <w:rsid w:val="00AF7CB8"/>
    <w:rsid w:val="00AF7D44"/>
    <w:rsid w:val="00B00F57"/>
    <w:rsid w:val="00B033B3"/>
    <w:rsid w:val="00B03DF1"/>
    <w:rsid w:val="00B041EB"/>
    <w:rsid w:val="00B05326"/>
    <w:rsid w:val="00B05546"/>
    <w:rsid w:val="00B07DF5"/>
    <w:rsid w:val="00B10DF1"/>
    <w:rsid w:val="00B110D5"/>
    <w:rsid w:val="00B11946"/>
    <w:rsid w:val="00B12974"/>
    <w:rsid w:val="00B13054"/>
    <w:rsid w:val="00B1348D"/>
    <w:rsid w:val="00B137AF"/>
    <w:rsid w:val="00B13FFF"/>
    <w:rsid w:val="00B14027"/>
    <w:rsid w:val="00B1645E"/>
    <w:rsid w:val="00B172F5"/>
    <w:rsid w:val="00B17483"/>
    <w:rsid w:val="00B17526"/>
    <w:rsid w:val="00B2025F"/>
    <w:rsid w:val="00B2163B"/>
    <w:rsid w:val="00B222AF"/>
    <w:rsid w:val="00B227D9"/>
    <w:rsid w:val="00B22ED1"/>
    <w:rsid w:val="00B23161"/>
    <w:rsid w:val="00B235FA"/>
    <w:rsid w:val="00B23661"/>
    <w:rsid w:val="00B23663"/>
    <w:rsid w:val="00B238A6"/>
    <w:rsid w:val="00B24BD9"/>
    <w:rsid w:val="00B253FF"/>
    <w:rsid w:val="00B2664D"/>
    <w:rsid w:val="00B2690B"/>
    <w:rsid w:val="00B30060"/>
    <w:rsid w:val="00B32231"/>
    <w:rsid w:val="00B33A43"/>
    <w:rsid w:val="00B33CD5"/>
    <w:rsid w:val="00B349E9"/>
    <w:rsid w:val="00B369FD"/>
    <w:rsid w:val="00B37014"/>
    <w:rsid w:val="00B37B7D"/>
    <w:rsid w:val="00B37C10"/>
    <w:rsid w:val="00B4138E"/>
    <w:rsid w:val="00B417EF"/>
    <w:rsid w:val="00B42764"/>
    <w:rsid w:val="00B44AC6"/>
    <w:rsid w:val="00B44B06"/>
    <w:rsid w:val="00B45D67"/>
    <w:rsid w:val="00B46F4C"/>
    <w:rsid w:val="00B50172"/>
    <w:rsid w:val="00B5068E"/>
    <w:rsid w:val="00B50865"/>
    <w:rsid w:val="00B514AF"/>
    <w:rsid w:val="00B5290A"/>
    <w:rsid w:val="00B52927"/>
    <w:rsid w:val="00B53579"/>
    <w:rsid w:val="00B53776"/>
    <w:rsid w:val="00B54485"/>
    <w:rsid w:val="00B54F14"/>
    <w:rsid w:val="00B56B90"/>
    <w:rsid w:val="00B602A8"/>
    <w:rsid w:val="00B62763"/>
    <w:rsid w:val="00B62C8F"/>
    <w:rsid w:val="00B62D8B"/>
    <w:rsid w:val="00B6372E"/>
    <w:rsid w:val="00B63B34"/>
    <w:rsid w:val="00B64956"/>
    <w:rsid w:val="00B657AE"/>
    <w:rsid w:val="00B678D7"/>
    <w:rsid w:val="00B7095A"/>
    <w:rsid w:val="00B71232"/>
    <w:rsid w:val="00B71401"/>
    <w:rsid w:val="00B72108"/>
    <w:rsid w:val="00B72EE1"/>
    <w:rsid w:val="00B7365A"/>
    <w:rsid w:val="00B7564F"/>
    <w:rsid w:val="00B75675"/>
    <w:rsid w:val="00B75D82"/>
    <w:rsid w:val="00B807C1"/>
    <w:rsid w:val="00B80D38"/>
    <w:rsid w:val="00B814C4"/>
    <w:rsid w:val="00B81585"/>
    <w:rsid w:val="00B81ADD"/>
    <w:rsid w:val="00B83557"/>
    <w:rsid w:val="00B8368C"/>
    <w:rsid w:val="00B849C2"/>
    <w:rsid w:val="00B85605"/>
    <w:rsid w:val="00B8561F"/>
    <w:rsid w:val="00B856F5"/>
    <w:rsid w:val="00B86CD8"/>
    <w:rsid w:val="00B8754F"/>
    <w:rsid w:val="00B90AC2"/>
    <w:rsid w:val="00B91EAB"/>
    <w:rsid w:val="00B92470"/>
    <w:rsid w:val="00B92FBB"/>
    <w:rsid w:val="00B93198"/>
    <w:rsid w:val="00B93B03"/>
    <w:rsid w:val="00B93B4F"/>
    <w:rsid w:val="00B962FA"/>
    <w:rsid w:val="00B968B9"/>
    <w:rsid w:val="00BA0F28"/>
    <w:rsid w:val="00BA1896"/>
    <w:rsid w:val="00BA2697"/>
    <w:rsid w:val="00BA4441"/>
    <w:rsid w:val="00BA4529"/>
    <w:rsid w:val="00BA4994"/>
    <w:rsid w:val="00BA50D9"/>
    <w:rsid w:val="00BA5830"/>
    <w:rsid w:val="00BA58B6"/>
    <w:rsid w:val="00BA5A79"/>
    <w:rsid w:val="00BA6A31"/>
    <w:rsid w:val="00BA74F8"/>
    <w:rsid w:val="00BB1E60"/>
    <w:rsid w:val="00BB2C0D"/>
    <w:rsid w:val="00BB6080"/>
    <w:rsid w:val="00BB76DA"/>
    <w:rsid w:val="00BB7AE4"/>
    <w:rsid w:val="00BC038A"/>
    <w:rsid w:val="00BC065A"/>
    <w:rsid w:val="00BC0BA6"/>
    <w:rsid w:val="00BC0BB0"/>
    <w:rsid w:val="00BC10AB"/>
    <w:rsid w:val="00BC2088"/>
    <w:rsid w:val="00BC3B7C"/>
    <w:rsid w:val="00BC3F89"/>
    <w:rsid w:val="00BC5FD9"/>
    <w:rsid w:val="00BC7AE6"/>
    <w:rsid w:val="00BD0FFE"/>
    <w:rsid w:val="00BD2933"/>
    <w:rsid w:val="00BD3E6F"/>
    <w:rsid w:val="00BD4BE5"/>
    <w:rsid w:val="00BD7670"/>
    <w:rsid w:val="00BD7C6C"/>
    <w:rsid w:val="00BD7EBA"/>
    <w:rsid w:val="00BE1698"/>
    <w:rsid w:val="00BE26C0"/>
    <w:rsid w:val="00BE341D"/>
    <w:rsid w:val="00BE49BC"/>
    <w:rsid w:val="00BE4BCD"/>
    <w:rsid w:val="00BE4D30"/>
    <w:rsid w:val="00BE647C"/>
    <w:rsid w:val="00BE69DE"/>
    <w:rsid w:val="00BE6BF8"/>
    <w:rsid w:val="00BE7FFA"/>
    <w:rsid w:val="00BF06C9"/>
    <w:rsid w:val="00BF0F51"/>
    <w:rsid w:val="00BF2E92"/>
    <w:rsid w:val="00BF30CB"/>
    <w:rsid w:val="00BF3501"/>
    <w:rsid w:val="00BF3A91"/>
    <w:rsid w:val="00BF3DB0"/>
    <w:rsid w:val="00BF4391"/>
    <w:rsid w:val="00BF5B2C"/>
    <w:rsid w:val="00BF71D9"/>
    <w:rsid w:val="00BF73FE"/>
    <w:rsid w:val="00C013D4"/>
    <w:rsid w:val="00C03B50"/>
    <w:rsid w:val="00C05706"/>
    <w:rsid w:val="00C05D27"/>
    <w:rsid w:val="00C05D48"/>
    <w:rsid w:val="00C10275"/>
    <w:rsid w:val="00C1080C"/>
    <w:rsid w:val="00C10934"/>
    <w:rsid w:val="00C109DF"/>
    <w:rsid w:val="00C10AD2"/>
    <w:rsid w:val="00C10EFA"/>
    <w:rsid w:val="00C1264C"/>
    <w:rsid w:val="00C12C83"/>
    <w:rsid w:val="00C14C06"/>
    <w:rsid w:val="00C15283"/>
    <w:rsid w:val="00C17468"/>
    <w:rsid w:val="00C208A9"/>
    <w:rsid w:val="00C20E19"/>
    <w:rsid w:val="00C20EA7"/>
    <w:rsid w:val="00C21579"/>
    <w:rsid w:val="00C22620"/>
    <w:rsid w:val="00C238B4"/>
    <w:rsid w:val="00C23DF2"/>
    <w:rsid w:val="00C250A2"/>
    <w:rsid w:val="00C25A25"/>
    <w:rsid w:val="00C2639D"/>
    <w:rsid w:val="00C276C2"/>
    <w:rsid w:val="00C27E96"/>
    <w:rsid w:val="00C27F95"/>
    <w:rsid w:val="00C30845"/>
    <w:rsid w:val="00C3191C"/>
    <w:rsid w:val="00C31A2E"/>
    <w:rsid w:val="00C32058"/>
    <w:rsid w:val="00C355D3"/>
    <w:rsid w:val="00C35B44"/>
    <w:rsid w:val="00C36C0F"/>
    <w:rsid w:val="00C36E29"/>
    <w:rsid w:val="00C374A0"/>
    <w:rsid w:val="00C4054E"/>
    <w:rsid w:val="00C40FA6"/>
    <w:rsid w:val="00C417DC"/>
    <w:rsid w:val="00C43565"/>
    <w:rsid w:val="00C43CEF"/>
    <w:rsid w:val="00C45162"/>
    <w:rsid w:val="00C464FC"/>
    <w:rsid w:val="00C467A7"/>
    <w:rsid w:val="00C47635"/>
    <w:rsid w:val="00C479ED"/>
    <w:rsid w:val="00C50CA0"/>
    <w:rsid w:val="00C5292F"/>
    <w:rsid w:val="00C53CC5"/>
    <w:rsid w:val="00C54DBD"/>
    <w:rsid w:val="00C54E22"/>
    <w:rsid w:val="00C55B35"/>
    <w:rsid w:val="00C56230"/>
    <w:rsid w:val="00C608A5"/>
    <w:rsid w:val="00C60C48"/>
    <w:rsid w:val="00C62365"/>
    <w:rsid w:val="00C62E95"/>
    <w:rsid w:val="00C630D1"/>
    <w:rsid w:val="00C630E1"/>
    <w:rsid w:val="00C631AB"/>
    <w:rsid w:val="00C66360"/>
    <w:rsid w:val="00C71C59"/>
    <w:rsid w:val="00C729D6"/>
    <w:rsid w:val="00C72B31"/>
    <w:rsid w:val="00C73D9E"/>
    <w:rsid w:val="00C748AC"/>
    <w:rsid w:val="00C75034"/>
    <w:rsid w:val="00C75E15"/>
    <w:rsid w:val="00C761E5"/>
    <w:rsid w:val="00C7681F"/>
    <w:rsid w:val="00C76CC2"/>
    <w:rsid w:val="00C77B07"/>
    <w:rsid w:val="00C77BBA"/>
    <w:rsid w:val="00C800FD"/>
    <w:rsid w:val="00C805FA"/>
    <w:rsid w:val="00C81648"/>
    <w:rsid w:val="00C8165F"/>
    <w:rsid w:val="00C81781"/>
    <w:rsid w:val="00C835D6"/>
    <w:rsid w:val="00C83F99"/>
    <w:rsid w:val="00C85156"/>
    <w:rsid w:val="00C8520B"/>
    <w:rsid w:val="00C85652"/>
    <w:rsid w:val="00C87602"/>
    <w:rsid w:val="00C87E9D"/>
    <w:rsid w:val="00C9028E"/>
    <w:rsid w:val="00C905A8"/>
    <w:rsid w:val="00C90A80"/>
    <w:rsid w:val="00C93CB1"/>
    <w:rsid w:val="00C940AF"/>
    <w:rsid w:val="00C94855"/>
    <w:rsid w:val="00C94DC6"/>
    <w:rsid w:val="00C961F3"/>
    <w:rsid w:val="00C96A44"/>
    <w:rsid w:val="00CA0239"/>
    <w:rsid w:val="00CA162A"/>
    <w:rsid w:val="00CA1DB8"/>
    <w:rsid w:val="00CA35AB"/>
    <w:rsid w:val="00CA3BAE"/>
    <w:rsid w:val="00CA3D14"/>
    <w:rsid w:val="00CA3E40"/>
    <w:rsid w:val="00CA567B"/>
    <w:rsid w:val="00CA6E21"/>
    <w:rsid w:val="00CA7237"/>
    <w:rsid w:val="00CA7A70"/>
    <w:rsid w:val="00CB239E"/>
    <w:rsid w:val="00CB398D"/>
    <w:rsid w:val="00CB3D89"/>
    <w:rsid w:val="00CB60CC"/>
    <w:rsid w:val="00CB6B5F"/>
    <w:rsid w:val="00CB6E6E"/>
    <w:rsid w:val="00CB77A6"/>
    <w:rsid w:val="00CC192E"/>
    <w:rsid w:val="00CC3068"/>
    <w:rsid w:val="00CC3980"/>
    <w:rsid w:val="00CC6198"/>
    <w:rsid w:val="00CC7C2C"/>
    <w:rsid w:val="00CD03E1"/>
    <w:rsid w:val="00CD204C"/>
    <w:rsid w:val="00CD3770"/>
    <w:rsid w:val="00CD42B6"/>
    <w:rsid w:val="00CD53D6"/>
    <w:rsid w:val="00CD63AB"/>
    <w:rsid w:val="00CE16E8"/>
    <w:rsid w:val="00CE2246"/>
    <w:rsid w:val="00CE226B"/>
    <w:rsid w:val="00CE42F8"/>
    <w:rsid w:val="00CE58A1"/>
    <w:rsid w:val="00CE69D2"/>
    <w:rsid w:val="00CE708A"/>
    <w:rsid w:val="00CE759A"/>
    <w:rsid w:val="00CE7CB7"/>
    <w:rsid w:val="00CF074D"/>
    <w:rsid w:val="00CF2B2B"/>
    <w:rsid w:val="00CF4D98"/>
    <w:rsid w:val="00CF52C9"/>
    <w:rsid w:val="00CF5368"/>
    <w:rsid w:val="00CF6F54"/>
    <w:rsid w:val="00CF7E63"/>
    <w:rsid w:val="00D008EB"/>
    <w:rsid w:val="00D0436B"/>
    <w:rsid w:val="00D04690"/>
    <w:rsid w:val="00D04F85"/>
    <w:rsid w:val="00D0635B"/>
    <w:rsid w:val="00D066E8"/>
    <w:rsid w:val="00D0701C"/>
    <w:rsid w:val="00D072F9"/>
    <w:rsid w:val="00D11927"/>
    <w:rsid w:val="00D11AE8"/>
    <w:rsid w:val="00D11F44"/>
    <w:rsid w:val="00D14AD3"/>
    <w:rsid w:val="00D15D13"/>
    <w:rsid w:val="00D160BA"/>
    <w:rsid w:val="00D171E3"/>
    <w:rsid w:val="00D171F6"/>
    <w:rsid w:val="00D1744E"/>
    <w:rsid w:val="00D17812"/>
    <w:rsid w:val="00D210D7"/>
    <w:rsid w:val="00D215C4"/>
    <w:rsid w:val="00D21F8E"/>
    <w:rsid w:val="00D23FBB"/>
    <w:rsid w:val="00D259F4"/>
    <w:rsid w:val="00D25E5A"/>
    <w:rsid w:val="00D26018"/>
    <w:rsid w:val="00D26040"/>
    <w:rsid w:val="00D3086B"/>
    <w:rsid w:val="00D3125B"/>
    <w:rsid w:val="00D314F7"/>
    <w:rsid w:val="00D318D2"/>
    <w:rsid w:val="00D319C3"/>
    <w:rsid w:val="00D32720"/>
    <w:rsid w:val="00D337D1"/>
    <w:rsid w:val="00D34CD2"/>
    <w:rsid w:val="00D35E12"/>
    <w:rsid w:val="00D367E8"/>
    <w:rsid w:val="00D36CA5"/>
    <w:rsid w:val="00D37544"/>
    <w:rsid w:val="00D40F6F"/>
    <w:rsid w:val="00D41346"/>
    <w:rsid w:val="00D418D6"/>
    <w:rsid w:val="00D428DF"/>
    <w:rsid w:val="00D437CF"/>
    <w:rsid w:val="00D43AD0"/>
    <w:rsid w:val="00D4434D"/>
    <w:rsid w:val="00D44F65"/>
    <w:rsid w:val="00D47BB5"/>
    <w:rsid w:val="00D50F76"/>
    <w:rsid w:val="00D5113A"/>
    <w:rsid w:val="00D5273F"/>
    <w:rsid w:val="00D53CBA"/>
    <w:rsid w:val="00D54F9B"/>
    <w:rsid w:val="00D55052"/>
    <w:rsid w:val="00D57290"/>
    <w:rsid w:val="00D57CA6"/>
    <w:rsid w:val="00D603EE"/>
    <w:rsid w:val="00D61832"/>
    <w:rsid w:val="00D618EF"/>
    <w:rsid w:val="00D619EC"/>
    <w:rsid w:val="00D61A33"/>
    <w:rsid w:val="00D6245A"/>
    <w:rsid w:val="00D624A9"/>
    <w:rsid w:val="00D625D4"/>
    <w:rsid w:val="00D62C60"/>
    <w:rsid w:val="00D630F0"/>
    <w:rsid w:val="00D6364B"/>
    <w:rsid w:val="00D6567B"/>
    <w:rsid w:val="00D66550"/>
    <w:rsid w:val="00D669DD"/>
    <w:rsid w:val="00D66E53"/>
    <w:rsid w:val="00D70A26"/>
    <w:rsid w:val="00D7165C"/>
    <w:rsid w:val="00D72031"/>
    <w:rsid w:val="00D72624"/>
    <w:rsid w:val="00D74D87"/>
    <w:rsid w:val="00D75110"/>
    <w:rsid w:val="00D755BF"/>
    <w:rsid w:val="00D755DF"/>
    <w:rsid w:val="00D757D1"/>
    <w:rsid w:val="00D75B05"/>
    <w:rsid w:val="00D75EB2"/>
    <w:rsid w:val="00D760AA"/>
    <w:rsid w:val="00D7797B"/>
    <w:rsid w:val="00D81EA0"/>
    <w:rsid w:val="00D82A48"/>
    <w:rsid w:val="00D835A2"/>
    <w:rsid w:val="00D83E1C"/>
    <w:rsid w:val="00D844ED"/>
    <w:rsid w:val="00D86010"/>
    <w:rsid w:val="00D865F1"/>
    <w:rsid w:val="00D90D2B"/>
    <w:rsid w:val="00D91D6F"/>
    <w:rsid w:val="00D961F6"/>
    <w:rsid w:val="00D97063"/>
    <w:rsid w:val="00DA00B4"/>
    <w:rsid w:val="00DA2CA3"/>
    <w:rsid w:val="00DA3EF2"/>
    <w:rsid w:val="00DA47EC"/>
    <w:rsid w:val="00DA5358"/>
    <w:rsid w:val="00DB0296"/>
    <w:rsid w:val="00DB0901"/>
    <w:rsid w:val="00DB1BCC"/>
    <w:rsid w:val="00DB2DD5"/>
    <w:rsid w:val="00DB2F9B"/>
    <w:rsid w:val="00DB310F"/>
    <w:rsid w:val="00DB3177"/>
    <w:rsid w:val="00DB3E55"/>
    <w:rsid w:val="00DB3E64"/>
    <w:rsid w:val="00DB4234"/>
    <w:rsid w:val="00DB5C6F"/>
    <w:rsid w:val="00DC089C"/>
    <w:rsid w:val="00DC10CE"/>
    <w:rsid w:val="00DC3023"/>
    <w:rsid w:val="00DC39D9"/>
    <w:rsid w:val="00DC527E"/>
    <w:rsid w:val="00DC63B5"/>
    <w:rsid w:val="00DD0117"/>
    <w:rsid w:val="00DD02D3"/>
    <w:rsid w:val="00DD1075"/>
    <w:rsid w:val="00DD34CA"/>
    <w:rsid w:val="00DD4276"/>
    <w:rsid w:val="00DD4CA8"/>
    <w:rsid w:val="00DD56BA"/>
    <w:rsid w:val="00DD6083"/>
    <w:rsid w:val="00DD6B55"/>
    <w:rsid w:val="00DD6FC9"/>
    <w:rsid w:val="00DE0102"/>
    <w:rsid w:val="00DE0A87"/>
    <w:rsid w:val="00DE2068"/>
    <w:rsid w:val="00DE21E9"/>
    <w:rsid w:val="00DE2702"/>
    <w:rsid w:val="00DE294E"/>
    <w:rsid w:val="00DE29E2"/>
    <w:rsid w:val="00DE2D5B"/>
    <w:rsid w:val="00DE5485"/>
    <w:rsid w:val="00DE5CBF"/>
    <w:rsid w:val="00DE5CE6"/>
    <w:rsid w:val="00DF0884"/>
    <w:rsid w:val="00DF0EEE"/>
    <w:rsid w:val="00DF154E"/>
    <w:rsid w:val="00DF21CC"/>
    <w:rsid w:val="00DF2E19"/>
    <w:rsid w:val="00DF3539"/>
    <w:rsid w:val="00DF49D6"/>
    <w:rsid w:val="00DF7192"/>
    <w:rsid w:val="00DF77E1"/>
    <w:rsid w:val="00E00CF0"/>
    <w:rsid w:val="00E00DB9"/>
    <w:rsid w:val="00E0187F"/>
    <w:rsid w:val="00E019DE"/>
    <w:rsid w:val="00E0279B"/>
    <w:rsid w:val="00E02DF6"/>
    <w:rsid w:val="00E03EB8"/>
    <w:rsid w:val="00E04236"/>
    <w:rsid w:val="00E057A2"/>
    <w:rsid w:val="00E066BE"/>
    <w:rsid w:val="00E06A88"/>
    <w:rsid w:val="00E10477"/>
    <w:rsid w:val="00E106F1"/>
    <w:rsid w:val="00E10C11"/>
    <w:rsid w:val="00E128B1"/>
    <w:rsid w:val="00E1383F"/>
    <w:rsid w:val="00E141BB"/>
    <w:rsid w:val="00E1423B"/>
    <w:rsid w:val="00E1535E"/>
    <w:rsid w:val="00E1545C"/>
    <w:rsid w:val="00E179BE"/>
    <w:rsid w:val="00E203D6"/>
    <w:rsid w:val="00E2172D"/>
    <w:rsid w:val="00E22F4E"/>
    <w:rsid w:val="00E23046"/>
    <w:rsid w:val="00E2385F"/>
    <w:rsid w:val="00E24FD7"/>
    <w:rsid w:val="00E2615E"/>
    <w:rsid w:val="00E27BAA"/>
    <w:rsid w:val="00E303AF"/>
    <w:rsid w:val="00E313C1"/>
    <w:rsid w:val="00E32229"/>
    <w:rsid w:val="00E32ED2"/>
    <w:rsid w:val="00E34661"/>
    <w:rsid w:val="00E34CD8"/>
    <w:rsid w:val="00E36FC6"/>
    <w:rsid w:val="00E3709B"/>
    <w:rsid w:val="00E375B2"/>
    <w:rsid w:val="00E37EA1"/>
    <w:rsid w:val="00E408AE"/>
    <w:rsid w:val="00E408FE"/>
    <w:rsid w:val="00E40915"/>
    <w:rsid w:val="00E4155F"/>
    <w:rsid w:val="00E427C2"/>
    <w:rsid w:val="00E43840"/>
    <w:rsid w:val="00E4424E"/>
    <w:rsid w:val="00E44362"/>
    <w:rsid w:val="00E44631"/>
    <w:rsid w:val="00E50387"/>
    <w:rsid w:val="00E503A2"/>
    <w:rsid w:val="00E52B40"/>
    <w:rsid w:val="00E54B2D"/>
    <w:rsid w:val="00E54C3C"/>
    <w:rsid w:val="00E5559C"/>
    <w:rsid w:val="00E55EC4"/>
    <w:rsid w:val="00E562D0"/>
    <w:rsid w:val="00E5637B"/>
    <w:rsid w:val="00E56B4E"/>
    <w:rsid w:val="00E5741F"/>
    <w:rsid w:val="00E6070A"/>
    <w:rsid w:val="00E60E54"/>
    <w:rsid w:val="00E60E58"/>
    <w:rsid w:val="00E620BF"/>
    <w:rsid w:val="00E72272"/>
    <w:rsid w:val="00E72AA0"/>
    <w:rsid w:val="00E72BBA"/>
    <w:rsid w:val="00E748FD"/>
    <w:rsid w:val="00E74A1A"/>
    <w:rsid w:val="00E800C3"/>
    <w:rsid w:val="00E809B3"/>
    <w:rsid w:val="00E85943"/>
    <w:rsid w:val="00E85FB3"/>
    <w:rsid w:val="00E86255"/>
    <w:rsid w:val="00E87051"/>
    <w:rsid w:val="00E8747E"/>
    <w:rsid w:val="00E907A6"/>
    <w:rsid w:val="00E9185A"/>
    <w:rsid w:val="00E927AC"/>
    <w:rsid w:val="00E93147"/>
    <w:rsid w:val="00E9363E"/>
    <w:rsid w:val="00E9383A"/>
    <w:rsid w:val="00E9397B"/>
    <w:rsid w:val="00E93A4A"/>
    <w:rsid w:val="00E945FA"/>
    <w:rsid w:val="00E9524B"/>
    <w:rsid w:val="00E9626F"/>
    <w:rsid w:val="00E963A8"/>
    <w:rsid w:val="00E9662E"/>
    <w:rsid w:val="00E974AD"/>
    <w:rsid w:val="00EA0BDA"/>
    <w:rsid w:val="00EA107F"/>
    <w:rsid w:val="00EA35B3"/>
    <w:rsid w:val="00EA42A3"/>
    <w:rsid w:val="00EA79DF"/>
    <w:rsid w:val="00EA7B03"/>
    <w:rsid w:val="00EB1EAC"/>
    <w:rsid w:val="00EB3093"/>
    <w:rsid w:val="00EB4297"/>
    <w:rsid w:val="00EB6D79"/>
    <w:rsid w:val="00EB721D"/>
    <w:rsid w:val="00EB7C7F"/>
    <w:rsid w:val="00EC07EB"/>
    <w:rsid w:val="00EC1554"/>
    <w:rsid w:val="00EC2585"/>
    <w:rsid w:val="00EC32BF"/>
    <w:rsid w:val="00EC4A52"/>
    <w:rsid w:val="00EC6B3F"/>
    <w:rsid w:val="00EC72F9"/>
    <w:rsid w:val="00ED0CBE"/>
    <w:rsid w:val="00ED387C"/>
    <w:rsid w:val="00ED38B6"/>
    <w:rsid w:val="00ED3EF0"/>
    <w:rsid w:val="00ED4981"/>
    <w:rsid w:val="00ED4C59"/>
    <w:rsid w:val="00ED51CD"/>
    <w:rsid w:val="00ED55BB"/>
    <w:rsid w:val="00ED56BD"/>
    <w:rsid w:val="00ED64C5"/>
    <w:rsid w:val="00ED72E4"/>
    <w:rsid w:val="00ED7447"/>
    <w:rsid w:val="00ED7EE4"/>
    <w:rsid w:val="00EE0363"/>
    <w:rsid w:val="00EE1FA2"/>
    <w:rsid w:val="00EE5E89"/>
    <w:rsid w:val="00EE636D"/>
    <w:rsid w:val="00EE66A3"/>
    <w:rsid w:val="00EE6B4C"/>
    <w:rsid w:val="00EF1366"/>
    <w:rsid w:val="00EF16CC"/>
    <w:rsid w:val="00EF383F"/>
    <w:rsid w:val="00EF5A01"/>
    <w:rsid w:val="00EF5D0F"/>
    <w:rsid w:val="00EF6569"/>
    <w:rsid w:val="00F00FE9"/>
    <w:rsid w:val="00F01667"/>
    <w:rsid w:val="00F01936"/>
    <w:rsid w:val="00F02697"/>
    <w:rsid w:val="00F02C9C"/>
    <w:rsid w:val="00F02F56"/>
    <w:rsid w:val="00F036B3"/>
    <w:rsid w:val="00F05527"/>
    <w:rsid w:val="00F05D12"/>
    <w:rsid w:val="00F065B1"/>
    <w:rsid w:val="00F10711"/>
    <w:rsid w:val="00F1186B"/>
    <w:rsid w:val="00F11E96"/>
    <w:rsid w:val="00F1215F"/>
    <w:rsid w:val="00F1315C"/>
    <w:rsid w:val="00F131E5"/>
    <w:rsid w:val="00F13379"/>
    <w:rsid w:val="00F150D5"/>
    <w:rsid w:val="00F15F98"/>
    <w:rsid w:val="00F16079"/>
    <w:rsid w:val="00F21114"/>
    <w:rsid w:val="00F22A3C"/>
    <w:rsid w:val="00F22E88"/>
    <w:rsid w:val="00F242AD"/>
    <w:rsid w:val="00F247E9"/>
    <w:rsid w:val="00F260C2"/>
    <w:rsid w:val="00F279EF"/>
    <w:rsid w:val="00F30FD4"/>
    <w:rsid w:val="00F3169C"/>
    <w:rsid w:val="00F319E3"/>
    <w:rsid w:val="00F32506"/>
    <w:rsid w:val="00F32A9D"/>
    <w:rsid w:val="00F32B15"/>
    <w:rsid w:val="00F331CB"/>
    <w:rsid w:val="00F35D2D"/>
    <w:rsid w:val="00F36B34"/>
    <w:rsid w:val="00F372B3"/>
    <w:rsid w:val="00F408E7"/>
    <w:rsid w:val="00F40ACF"/>
    <w:rsid w:val="00F41B22"/>
    <w:rsid w:val="00F424CC"/>
    <w:rsid w:val="00F429E7"/>
    <w:rsid w:val="00F43EA8"/>
    <w:rsid w:val="00F4481B"/>
    <w:rsid w:val="00F44913"/>
    <w:rsid w:val="00F44B40"/>
    <w:rsid w:val="00F44F32"/>
    <w:rsid w:val="00F465B2"/>
    <w:rsid w:val="00F4687A"/>
    <w:rsid w:val="00F473D2"/>
    <w:rsid w:val="00F475E5"/>
    <w:rsid w:val="00F5111C"/>
    <w:rsid w:val="00F5195A"/>
    <w:rsid w:val="00F52A82"/>
    <w:rsid w:val="00F52B91"/>
    <w:rsid w:val="00F52DE0"/>
    <w:rsid w:val="00F5323C"/>
    <w:rsid w:val="00F54741"/>
    <w:rsid w:val="00F55306"/>
    <w:rsid w:val="00F558CF"/>
    <w:rsid w:val="00F60D92"/>
    <w:rsid w:val="00F61273"/>
    <w:rsid w:val="00F6166B"/>
    <w:rsid w:val="00F64E76"/>
    <w:rsid w:val="00F65638"/>
    <w:rsid w:val="00F65888"/>
    <w:rsid w:val="00F65982"/>
    <w:rsid w:val="00F65FA2"/>
    <w:rsid w:val="00F6691E"/>
    <w:rsid w:val="00F70435"/>
    <w:rsid w:val="00F71879"/>
    <w:rsid w:val="00F728E2"/>
    <w:rsid w:val="00F741F2"/>
    <w:rsid w:val="00F74755"/>
    <w:rsid w:val="00F75504"/>
    <w:rsid w:val="00F7646B"/>
    <w:rsid w:val="00F76CB1"/>
    <w:rsid w:val="00F76E7E"/>
    <w:rsid w:val="00F8030E"/>
    <w:rsid w:val="00F810D7"/>
    <w:rsid w:val="00F81547"/>
    <w:rsid w:val="00F83EA6"/>
    <w:rsid w:val="00F8407C"/>
    <w:rsid w:val="00F845B0"/>
    <w:rsid w:val="00F851C0"/>
    <w:rsid w:val="00F85B62"/>
    <w:rsid w:val="00F85D7D"/>
    <w:rsid w:val="00F87120"/>
    <w:rsid w:val="00F87DD3"/>
    <w:rsid w:val="00F91322"/>
    <w:rsid w:val="00F917A0"/>
    <w:rsid w:val="00F923BB"/>
    <w:rsid w:val="00F9362C"/>
    <w:rsid w:val="00F9378A"/>
    <w:rsid w:val="00F939AF"/>
    <w:rsid w:val="00F93D61"/>
    <w:rsid w:val="00F9579B"/>
    <w:rsid w:val="00F9679A"/>
    <w:rsid w:val="00FA0635"/>
    <w:rsid w:val="00FA09FB"/>
    <w:rsid w:val="00FA15C0"/>
    <w:rsid w:val="00FA2CE8"/>
    <w:rsid w:val="00FA41F4"/>
    <w:rsid w:val="00FA65D1"/>
    <w:rsid w:val="00FA6B60"/>
    <w:rsid w:val="00FA7B4F"/>
    <w:rsid w:val="00FB0711"/>
    <w:rsid w:val="00FB13BF"/>
    <w:rsid w:val="00FB2F44"/>
    <w:rsid w:val="00FB2FC9"/>
    <w:rsid w:val="00FB3304"/>
    <w:rsid w:val="00FB3861"/>
    <w:rsid w:val="00FB40FC"/>
    <w:rsid w:val="00FB4CFD"/>
    <w:rsid w:val="00FB4F30"/>
    <w:rsid w:val="00FB70BC"/>
    <w:rsid w:val="00FB7538"/>
    <w:rsid w:val="00FB774A"/>
    <w:rsid w:val="00FC0EBE"/>
    <w:rsid w:val="00FD00C2"/>
    <w:rsid w:val="00FD0D03"/>
    <w:rsid w:val="00FD235A"/>
    <w:rsid w:val="00FD2410"/>
    <w:rsid w:val="00FD2A8D"/>
    <w:rsid w:val="00FD368D"/>
    <w:rsid w:val="00FD3A43"/>
    <w:rsid w:val="00FD3BC5"/>
    <w:rsid w:val="00FD5025"/>
    <w:rsid w:val="00FD5070"/>
    <w:rsid w:val="00FD67C5"/>
    <w:rsid w:val="00FE0736"/>
    <w:rsid w:val="00FE08BB"/>
    <w:rsid w:val="00FE15FC"/>
    <w:rsid w:val="00FE2567"/>
    <w:rsid w:val="00FE3FED"/>
    <w:rsid w:val="00FE437D"/>
    <w:rsid w:val="00FE5C5C"/>
    <w:rsid w:val="00FF006D"/>
    <w:rsid w:val="00FF247E"/>
    <w:rsid w:val="00FF393F"/>
    <w:rsid w:val="00FF4BAC"/>
    <w:rsid w:val="00FF5E85"/>
    <w:rsid w:val="00FF5FD8"/>
    <w:rsid w:val="00FF6184"/>
    <w:rsid w:val="00FF72E9"/>
    <w:rsid w:val="00FF79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89F16"/>
  <w15:docId w15:val="{4E000D44-3E05-42D4-BAAD-26B8169B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DF0"/>
    <w:pPr>
      <w:ind w:left="720"/>
      <w:contextualSpacing/>
    </w:pPr>
  </w:style>
  <w:style w:type="paragraph" w:styleId="NoSpacing">
    <w:name w:val="No Spacing"/>
    <w:uiPriority w:val="1"/>
    <w:qFormat/>
    <w:rsid w:val="00960104"/>
    <w:pPr>
      <w:spacing w:after="0" w:line="240" w:lineRule="auto"/>
    </w:pPr>
  </w:style>
  <w:style w:type="paragraph" w:styleId="Header">
    <w:name w:val="header"/>
    <w:basedOn w:val="Normal"/>
    <w:link w:val="HeaderChar"/>
    <w:uiPriority w:val="99"/>
    <w:unhideWhenUsed/>
    <w:rsid w:val="00533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131"/>
  </w:style>
  <w:style w:type="paragraph" w:styleId="Footer">
    <w:name w:val="footer"/>
    <w:basedOn w:val="Normal"/>
    <w:link w:val="FooterChar"/>
    <w:uiPriority w:val="99"/>
    <w:unhideWhenUsed/>
    <w:rsid w:val="00533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131"/>
  </w:style>
  <w:style w:type="paragraph" w:styleId="FootnoteText">
    <w:name w:val="footnote text"/>
    <w:basedOn w:val="Normal"/>
    <w:link w:val="FootnoteTextChar"/>
    <w:uiPriority w:val="99"/>
    <w:unhideWhenUsed/>
    <w:rsid w:val="00652C8C"/>
    <w:pPr>
      <w:spacing w:after="0" w:line="240" w:lineRule="auto"/>
    </w:pPr>
    <w:rPr>
      <w:sz w:val="20"/>
      <w:szCs w:val="20"/>
    </w:rPr>
  </w:style>
  <w:style w:type="character" w:customStyle="1" w:styleId="FootnoteTextChar">
    <w:name w:val="Footnote Text Char"/>
    <w:basedOn w:val="DefaultParagraphFont"/>
    <w:link w:val="FootnoteText"/>
    <w:uiPriority w:val="99"/>
    <w:rsid w:val="00652C8C"/>
    <w:rPr>
      <w:sz w:val="20"/>
      <w:szCs w:val="20"/>
    </w:rPr>
  </w:style>
  <w:style w:type="character" w:styleId="FootnoteReference">
    <w:name w:val="footnote reference"/>
    <w:basedOn w:val="DefaultParagraphFont"/>
    <w:uiPriority w:val="99"/>
    <w:unhideWhenUsed/>
    <w:rsid w:val="00652C8C"/>
    <w:rPr>
      <w:vertAlign w:val="superscript"/>
    </w:rPr>
  </w:style>
  <w:style w:type="character" w:styleId="Hyperlink">
    <w:name w:val="Hyperlink"/>
    <w:basedOn w:val="DefaultParagraphFont"/>
    <w:uiPriority w:val="99"/>
    <w:unhideWhenUsed/>
    <w:rsid w:val="00652C8C"/>
    <w:rPr>
      <w:color w:val="0000FF" w:themeColor="hyperlink"/>
      <w:u w:val="single"/>
    </w:rPr>
  </w:style>
  <w:style w:type="paragraph" w:styleId="BalloonText">
    <w:name w:val="Balloon Text"/>
    <w:basedOn w:val="Normal"/>
    <w:link w:val="BalloonTextChar"/>
    <w:uiPriority w:val="99"/>
    <w:semiHidden/>
    <w:unhideWhenUsed/>
    <w:rsid w:val="00DE2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4563">
      <w:bodyDiv w:val="1"/>
      <w:marLeft w:val="0"/>
      <w:marRight w:val="0"/>
      <w:marTop w:val="0"/>
      <w:marBottom w:val="0"/>
      <w:divBdr>
        <w:top w:val="none" w:sz="0" w:space="0" w:color="auto"/>
        <w:left w:val="none" w:sz="0" w:space="0" w:color="auto"/>
        <w:bottom w:val="none" w:sz="0" w:space="0" w:color="auto"/>
        <w:right w:val="none" w:sz="0" w:space="0" w:color="auto"/>
      </w:divBdr>
    </w:div>
    <w:div w:id="167753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H@hr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DFE0A-51A2-40BC-89E8-5071346E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NZ Human Rights Commission</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Hancock</dc:creator>
  <cp:lastModifiedBy>John Hancock</cp:lastModifiedBy>
  <cp:revision>3</cp:revision>
  <cp:lastPrinted>2016-06-22T04:16:00Z</cp:lastPrinted>
  <dcterms:created xsi:type="dcterms:W3CDTF">2016-06-22T04:15:00Z</dcterms:created>
  <dcterms:modified xsi:type="dcterms:W3CDTF">2016-06-22T04:22:00Z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-692279140</vt:i4>
  </property>
</Properties>
</file>