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7" w:type="dxa"/>
        <w:tblInd w:w="-5" w:type="dxa"/>
        <w:tblLook w:val="04A0" w:firstRow="1" w:lastRow="0" w:firstColumn="1" w:lastColumn="0" w:noHBand="0" w:noVBand="1"/>
      </w:tblPr>
      <w:tblGrid>
        <w:gridCol w:w="2552"/>
        <w:gridCol w:w="1555"/>
        <w:gridCol w:w="2586"/>
        <w:gridCol w:w="3944"/>
      </w:tblGrid>
      <w:tr w:rsidR="002542DD" w14:paraId="16544348" w14:textId="77777777" w:rsidTr="007B6FAB">
        <w:tc>
          <w:tcPr>
            <w:tcW w:w="4107" w:type="dxa"/>
            <w:gridSpan w:val="2"/>
          </w:tcPr>
          <w:p w14:paraId="04DD80E2" w14:textId="77777777" w:rsidR="002542DD" w:rsidRPr="002542DD" w:rsidRDefault="002542DD" w:rsidP="002542DD">
            <w:pPr>
              <w:ind w:left="22" w:right="-897"/>
              <w:rPr>
                <w:b/>
              </w:rPr>
            </w:pPr>
            <w:bookmarkStart w:id="0" w:name="_GoBack"/>
            <w:bookmarkEnd w:id="0"/>
            <w:r w:rsidRPr="002542DD">
              <w:rPr>
                <w:b/>
              </w:rPr>
              <w:t>Fact Sheet – UPR 2018 – New Zealand</w:t>
            </w:r>
            <w:r w:rsidRPr="002542DD">
              <w:rPr>
                <w:b/>
                <w:noProof/>
              </w:rPr>
              <w:t xml:space="preserve"> </w:t>
            </w:r>
          </w:p>
          <w:p w14:paraId="40A60B95" w14:textId="77777777" w:rsidR="002542DD" w:rsidRPr="002542DD" w:rsidRDefault="002542DD" w:rsidP="002542DD">
            <w:pPr>
              <w:rPr>
                <w:b/>
              </w:rPr>
            </w:pPr>
            <w:r w:rsidRPr="002542DD">
              <w:rPr>
                <w:b/>
              </w:rPr>
              <w:t>3</w:t>
            </w:r>
            <w:r w:rsidRPr="002542DD">
              <w:rPr>
                <w:b/>
                <w:vertAlign w:val="superscript"/>
              </w:rPr>
              <w:t>rd</w:t>
            </w:r>
            <w:r w:rsidRPr="002542DD">
              <w:rPr>
                <w:b/>
              </w:rPr>
              <w:t xml:space="preserve"> cycle Universal Periodic Review</w:t>
            </w:r>
          </w:p>
          <w:p w14:paraId="4F9948B6" w14:textId="77777777" w:rsidR="002542DD" w:rsidRDefault="002542DD"/>
        </w:tc>
        <w:tc>
          <w:tcPr>
            <w:tcW w:w="2586" w:type="dxa"/>
          </w:tcPr>
          <w:p w14:paraId="46875C7D" w14:textId="76444190" w:rsidR="002542DD" w:rsidRDefault="002542DD">
            <w:r w:rsidRPr="00357AF5">
              <w:rPr>
                <w:noProof/>
              </w:rPr>
              <w:drawing>
                <wp:inline distT="0" distB="0" distL="0" distR="0" wp14:anchorId="33943AA8" wp14:editId="49F340F8">
                  <wp:extent cx="1504950" cy="926876"/>
                  <wp:effectExtent l="0" t="0" r="0" b="6985"/>
                  <wp:docPr id="7" name="Content Placeholder 6">
                    <a:extLst xmlns:a="http://schemas.openxmlformats.org/drawingml/2006/main">
                      <a:ext uri="{FF2B5EF4-FFF2-40B4-BE49-F238E27FC236}">
                        <a16:creationId xmlns:a16="http://schemas.microsoft.com/office/drawing/2014/main" id="{BBADE2C2-EEEF-4FBD-9DCD-FD57E218F8A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BBADE2C2-EEEF-4FBD-9DCD-FD57E218F8A2}"/>
                              </a:ext>
                            </a:extLst>
                          </pic:cNvPr>
                          <pic:cNvPicPr>
                            <a:picLocks noGrp="1" noChangeAspect="1"/>
                          </pic:cNvPicPr>
                        </pic:nvPicPr>
                        <pic:blipFill>
                          <a:blip r:embed="rId8"/>
                          <a:stretch>
                            <a:fillRect/>
                          </a:stretch>
                        </pic:blipFill>
                        <pic:spPr>
                          <a:xfrm>
                            <a:off x="0" y="0"/>
                            <a:ext cx="1532024" cy="943550"/>
                          </a:xfrm>
                          <a:prstGeom prst="rect">
                            <a:avLst/>
                          </a:prstGeom>
                        </pic:spPr>
                      </pic:pic>
                    </a:graphicData>
                  </a:graphic>
                </wp:inline>
              </w:drawing>
            </w:r>
          </w:p>
        </w:tc>
        <w:tc>
          <w:tcPr>
            <w:tcW w:w="3944" w:type="dxa"/>
          </w:tcPr>
          <w:p w14:paraId="4300F0F3" w14:textId="77777777" w:rsidR="002542DD" w:rsidRPr="002542DD" w:rsidRDefault="002542DD" w:rsidP="002542DD">
            <w:pPr>
              <w:jc w:val="right"/>
              <w:rPr>
                <w:sz w:val="20"/>
                <w:szCs w:val="20"/>
              </w:rPr>
            </w:pPr>
            <w:r w:rsidRPr="002542DD">
              <w:rPr>
                <w:sz w:val="20"/>
                <w:szCs w:val="20"/>
              </w:rPr>
              <w:t>Ruth Herbert</w:t>
            </w:r>
          </w:p>
          <w:p w14:paraId="141896E9" w14:textId="77777777" w:rsidR="002542DD" w:rsidRPr="002542DD" w:rsidRDefault="002542DD" w:rsidP="002542DD">
            <w:pPr>
              <w:jc w:val="right"/>
              <w:rPr>
                <w:sz w:val="20"/>
                <w:szCs w:val="20"/>
              </w:rPr>
            </w:pPr>
            <w:r w:rsidRPr="002542DD">
              <w:rPr>
                <w:sz w:val="20"/>
                <w:szCs w:val="20"/>
              </w:rPr>
              <w:t>Co-Founder</w:t>
            </w:r>
          </w:p>
          <w:p w14:paraId="4303419C" w14:textId="2EB941A8" w:rsidR="002542DD" w:rsidRPr="002542DD" w:rsidRDefault="002542DD" w:rsidP="002542DD">
            <w:pPr>
              <w:jc w:val="right"/>
              <w:rPr>
                <w:sz w:val="20"/>
                <w:szCs w:val="20"/>
              </w:rPr>
            </w:pPr>
            <w:r w:rsidRPr="002542DD">
              <w:rPr>
                <w:sz w:val="20"/>
                <w:szCs w:val="20"/>
              </w:rPr>
              <w:t>The Backbone Collective</w:t>
            </w:r>
          </w:p>
          <w:p w14:paraId="5B56AF6D" w14:textId="36F06BAA" w:rsidR="002542DD" w:rsidRPr="002542DD" w:rsidRDefault="00635D24" w:rsidP="002542DD">
            <w:pPr>
              <w:jc w:val="right"/>
              <w:rPr>
                <w:sz w:val="20"/>
                <w:szCs w:val="20"/>
              </w:rPr>
            </w:pPr>
            <w:hyperlink r:id="rId9" w:history="1">
              <w:r w:rsidR="002542DD" w:rsidRPr="002542DD">
                <w:rPr>
                  <w:rStyle w:val="Hyperlink"/>
                  <w:sz w:val="20"/>
                  <w:szCs w:val="20"/>
                </w:rPr>
                <w:t>www.backbone.org.nz</w:t>
              </w:r>
            </w:hyperlink>
          </w:p>
          <w:p w14:paraId="405F3525" w14:textId="773A2CE3" w:rsidR="002542DD" w:rsidRPr="002542DD" w:rsidRDefault="00635D24" w:rsidP="002542DD">
            <w:pPr>
              <w:jc w:val="right"/>
              <w:rPr>
                <w:sz w:val="20"/>
                <w:szCs w:val="20"/>
              </w:rPr>
            </w:pPr>
            <w:hyperlink r:id="rId10" w:history="1">
              <w:r w:rsidR="002542DD" w:rsidRPr="002542DD">
                <w:rPr>
                  <w:rStyle w:val="Hyperlink"/>
                  <w:sz w:val="20"/>
                  <w:szCs w:val="20"/>
                </w:rPr>
                <w:t>ruth@backbone.org.nz</w:t>
              </w:r>
            </w:hyperlink>
          </w:p>
          <w:p w14:paraId="51F3F03D" w14:textId="0DD8EDA4" w:rsidR="002542DD" w:rsidRDefault="002542DD" w:rsidP="002542DD">
            <w:pPr>
              <w:jc w:val="right"/>
            </w:pPr>
            <w:r w:rsidRPr="002542DD">
              <w:rPr>
                <w:sz w:val="20"/>
                <w:szCs w:val="20"/>
              </w:rPr>
              <w:t>+64 27486422</w:t>
            </w:r>
          </w:p>
        </w:tc>
      </w:tr>
      <w:tr w:rsidR="000430F7" w14:paraId="4FA94EBB" w14:textId="77777777" w:rsidTr="007B6FAB">
        <w:tc>
          <w:tcPr>
            <w:tcW w:w="10637" w:type="dxa"/>
            <w:gridSpan w:val="4"/>
            <w:tcBorders>
              <w:top w:val="single" w:sz="4" w:space="0" w:color="auto"/>
            </w:tcBorders>
          </w:tcPr>
          <w:p w14:paraId="417F6743" w14:textId="17231573" w:rsidR="000430F7" w:rsidRPr="00DB3575" w:rsidRDefault="00DB3575" w:rsidP="00364F23">
            <w:pPr>
              <w:spacing w:before="120" w:after="120"/>
              <w:jc w:val="center"/>
              <w:rPr>
                <w:b/>
                <w:sz w:val="26"/>
                <w:szCs w:val="26"/>
              </w:rPr>
            </w:pPr>
            <w:r w:rsidRPr="00DB3575">
              <w:rPr>
                <w:b/>
                <w:sz w:val="26"/>
                <w:szCs w:val="26"/>
              </w:rPr>
              <w:t xml:space="preserve">Systemic </w:t>
            </w:r>
            <w:r w:rsidR="007427EB">
              <w:rPr>
                <w:b/>
                <w:sz w:val="26"/>
                <w:szCs w:val="26"/>
              </w:rPr>
              <w:t>abuse</w:t>
            </w:r>
            <w:r w:rsidR="007427EB" w:rsidRPr="00DB3575">
              <w:rPr>
                <w:b/>
                <w:sz w:val="26"/>
                <w:szCs w:val="26"/>
              </w:rPr>
              <w:t xml:space="preserve"> </w:t>
            </w:r>
            <w:r w:rsidR="00364F23">
              <w:rPr>
                <w:b/>
                <w:sz w:val="26"/>
                <w:szCs w:val="26"/>
              </w:rPr>
              <w:t>by</w:t>
            </w:r>
            <w:r w:rsidR="00364F23" w:rsidRPr="00DB3575">
              <w:rPr>
                <w:b/>
                <w:sz w:val="26"/>
                <w:szCs w:val="26"/>
              </w:rPr>
              <w:t xml:space="preserve"> </w:t>
            </w:r>
            <w:r w:rsidR="000430F7" w:rsidRPr="00DB3575">
              <w:rPr>
                <w:b/>
                <w:sz w:val="26"/>
                <w:szCs w:val="26"/>
              </w:rPr>
              <w:t>the NZ Family Court</w:t>
            </w:r>
            <w:r w:rsidRPr="00DB3575">
              <w:rPr>
                <w:b/>
                <w:sz w:val="26"/>
                <w:szCs w:val="26"/>
              </w:rPr>
              <w:t>: a</w:t>
            </w:r>
            <w:r w:rsidR="000430F7" w:rsidRPr="00DB3575">
              <w:rPr>
                <w:b/>
                <w:sz w:val="26"/>
                <w:szCs w:val="26"/>
              </w:rPr>
              <w:t xml:space="preserve"> major violation of women and children’s human rights</w:t>
            </w:r>
          </w:p>
        </w:tc>
      </w:tr>
      <w:tr w:rsidR="000430F7" w14:paraId="551AD2CF" w14:textId="77777777" w:rsidTr="007B6FAB">
        <w:tc>
          <w:tcPr>
            <w:tcW w:w="10637" w:type="dxa"/>
            <w:gridSpan w:val="4"/>
            <w:shd w:val="clear" w:color="auto" w:fill="86DADE"/>
          </w:tcPr>
          <w:p w14:paraId="2AB74D3C" w14:textId="2EFCAF2A" w:rsidR="000430F7" w:rsidRPr="00DB3575" w:rsidRDefault="000430F7" w:rsidP="00DB3575">
            <w:pPr>
              <w:jc w:val="center"/>
              <w:rPr>
                <w:b/>
                <w:sz w:val="24"/>
                <w:szCs w:val="24"/>
              </w:rPr>
            </w:pPr>
            <w:r w:rsidRPr="00DB3575">
              <w:rPr>
                <w:b/>
                <w:sz w:val="24"/>
                <w:szCs w:val="24"/>
              </w:rPr>
              <w:t>KEY ISSUE</w:t>
            </w:r>
          </w:p>
        </w:tc>
      </w:tr>
      <w:tr w:rsidR="000430F7" w14:paraId="6CB0BCAA" w14:textId="77777777" w:rsidTr="007B6FAB">
        <w:tc>
          <w:tcPr>
            <w:tcW w:w="10637" w:type="dxa"/>
            <w:gridSpan w:val="4"/>
          </w:tcPr>
          <w:p w14:paraId="4A81B2AF" w14:textId="37FA9041" w:rsidR="00141C87" w:rsidRPr="00141C87" w:rsidRDefault="000430F7" w:rsidP="00141C87">
            <w:pPr>
              <w:spacing w:after="120"/>
              <w:rPr>
                <w:sz w:val="20"/>
                <w:szCs w:val="20"/>
              </w:rPr>
            </w:pPr>
            <w:r w:rsidRPr="00141C87">
              <w:rPr>
                <w:sz w:val="20"/>
                <w:szCs w:val="20"/>
              </w:rPr>
              <w:t>New Zealand women and children who have been victims of violence and abuse are suffering extraordinary levels of discrimination and abuse via the Family Court process.</w:t>
            </w:r>
            <w:r w:rsidR="00141C87">
              <w:rPr>
                <w:sz w:val="20"/>
                <w:szCs w:val="20"/>
              </w:rPr>
              <w:t xml:space="preserve"> </w:t>
            </w:r>
            <w:r w:rsidR="00141C87" w:rsidRPr="00152780">
              <w:rPr>
                <w:rFonts w:cstheme="minorHAnsi"/>
                <w:sz w:val="20"/>
                <w:szCs w:val="20"/>
              </w:rPr>
              <w:t>For years there has been criticism via reports and reviews of the way the Family Court responds to cases where there is violence and abuse.</w:t>
            </w:r>
            <w:r w:rsidR="00141C87" w:rsidRPr="00152780">
              <w:rPr>
                <w:rStyle w:val="FootnoteReference"/>
                <w:rFonts w:cstheme="minorHAnsi"/>
                <w:sz w:val="20"/>
                <w:szCs w:val="20"/>
              </w:rPr>
              <w:footnoteReference w:id="1"/>
            </w:r>
            <w:r w:rsidR="00141C87" w:rsidRPr="00152780">
              <w:rPr>
                <w:rFonts w:cstheme="minorHAnsi"/>
                <w:sz w:val="20"/>
                <w:szCs w:val="20"/>
              </w:rPr>
              <w:t xml:space="preserve">  </w:t>
            </w:r>
            <w:r w:rsidR="00141C87">
              <w:rPr>
                <w:rFonts w:cstheme="minorHAnsi"/>
                <w:sz w:val="20"/>
                <w:szCs w:val="20"/>
              </w:rPr>
              <w:t>Victims</w:t>
            </w:r>
            <w:r w:rsidR="00B26BAD">
              <w:rPr>
                <w:rFonts w:cstheme="minorHAnsi"/>
                <w:sz w:val="20"/>
                <w:szCs w:val="20"/>
              </w:rPr>
              <w:t>, academics</w:t>
            </w:r>
            <w:r w:rsidR="00141C87">
              <w:rPr>
                <w:rFonts w:cstheme="minorHAnsi"/>
                <w:sz w:val="20"/>
                <w:szCs w:val="20"/>
              </w:rPr>
              <w:t xml:space="preserve"> and</w:t>
            </w:r>
            <w:r w:rsidR="00141C87" w:rsidRPr="00152780">
              <w:rPr>
                <w:rFonts w:cstheme="minorHAnsi"/>
                <w:sz w:val="20"/>
                <w:szCs w:val="20"/>
              </w:rPr>
              <w:t xml:space="preserve"> NGO agencies have repeatedly pleaded with those in authority to investigate what is happening in the Family Court and yet </w:t>
            </w:r>
            <w:r w:rsidR="00141C87">
              <w:rPr>
                <w:rFonts w:cstheme="minorHAnsi"/>
                <w:sz w:val="20"/>
                <w:szCs w:val="20"/>
              </w:rPr>
              <w:t>n</w:t>
            </w:r>
            <w:r w:rsidR="00141C87" w:rsidRPr="00152780">
              <w:rPr>
                <w:rFonts w:cstheme="minorHAnsi"/>
                <w:sz w:val="20"/>
                <w:szCs w:val="20"/>
              </w:rPr>
              <w:t>o one appears to have seen these multiple and ongoing complaints as signs of  systemic</w:t>
            </w:r>
            <w:r w:rsidR="007427EB">
              <w:rPr>
                <w:rFonts w:cstheme="minorHAnsi"/>
                <w:sz w:val="20"/>
                <w:szCs w:val="20"/>
              </w:rPr>
              <w:t xml:space="preserve"> abuse </w:t>
            </w:r>
            <w:r w:rsidR="00262330">
              <w:rPr>
                <w:rFonts w:cstheme="minorHAnsi"/>
                <w:sz w:val="20"/>
                <w:szCs w:val="20"/>
              </w:rPr>
              <w:t>or</w:t>
            </w:r>
            <w:r w:rsidR="00141C87" w:rsidRPr="00152780">
              <w:rPr>
                <w:rFonts w:cstheme="minorHAnsi"/>
                <w:sz w:val="20"/>
                <w:szCs w:val="20"/>
              </w:rPr>
              <w:t xml:space="preserve"> </w:t>
            </w:r>
            <w:r w:rsidR="00141C87">
              <w:rPr>
                <w:rFonts w:cstheme="minorHAnsi"/>
                <w:sz w:val="20"/>
                <w:szCs w:val="20"/>
              </w:rPr>
              <w:t>taken action</w:t>
            </w:r>
            <w:r w:rsidR="00141C87" w:rsidRPr="00152780">
              <w:rPr>
                <w:rFonts w:cstheme="minorHAnsi"/>
                <w:sz w:val="20"/>
                <w:szCs w:val="20"/>
              </w:rPr>
              <w:t>.</w:t>
            </w:r>
          </w:p>
        </w:tc>
      </w:tr>
      <w:tr w:rsidR="000430F7" w:rsidRPr="002C5AA0" w14:paraId="6716C5C8" w14:textId="77777777" w:rsidTr="007B6FAB">
        <w:tc>
          <w:tcPr>
            <w:tcW w:w="10637" w:type="dxa"/>
            <w:gridSpan w:val="4"/>
            <w:shd w:val="clear" w:color="auto" w:fill="86DADE"/>
          </w:tcPr>
          <w:p w14:paraId="3F7E307B" w14:textId="417D5847" w:rsidR="000430F7" w:rsidRPr="00DB3575" w:rsidRDefault="000430F7" w:rsidP="00DB3575">
            <w:pPr>
              <w:jc w:val="center"/>
              <w:rPr>
                <w:b/>
                <w:sz w:val="24"/>
                <w:szCs w:val="24"/>
              </w:rPr>
            </w:pPr>
            <w:r w:rsidRPr="00DB3575">
              <w:rPr>
                <w:b/>
                <w:sz w:val="24"/>
                <w:szCs w:val="24"/>
              </w:rPr>
              <w:t>NATIONAL FRAMEWORK</w:t>
            </w:r>
          </w:p>
        </w:tc>
      </w:tr>
      <w:tr w:rsidR="000430F7" w14:paraId="3FFCFA42" w14:textId="77777777" w:rsidTr="007B6FAB">
        <w:tc>
          <w:tcPr>
            <w:tcW w:w="10637" w:type="dxa"/>
            <w:gridSpan w:val="4"/>
          </w:tcPr>
          <w:p w14:paraId="5E70453F" w14:textId="779F4278" w:rsidR="000430F7" w:rsidRPr="003D1B0A" w:rsidRDefault="000430F7" w:rsidP="003D1B0A">
            <w:pPr>
              <w:spacing w:after="120"/>
              <w:jc w:val="both"/>
              <w:rPr>
                <w:rFonts w:cstheme="minorHAnsi"/>
                <w:sz w:val="20"/>
                <w:szCs w:val="20"/>
              </w:rPr>
            </w:pPr>
            <w:r w:rsidRPr="003D1B0A">
              <w:rPr>
                <w:rFonts w:cstheme="minorHAnsi"/>
                <w:sz w:val="20"/>
                <w:szCs w:val="20"/>
              </w:rPr>
              <w:t>The justice system in New Zealand is based on the Westminster System which holds judiciary independent from the Parliament. Legislation decided by Parliament determines the basis for activity in the Family Court. The judiciary must implem</w:t>
            </w:r>
            <w:r w:rsidR="002C5AA0" w:rsidRPr="003D1B0A">
              <w:rPr>
                <w:rFonts w:cstheme="minorHAnsi"/>
                <w:sz w:val="20"/>
                <w:szCs w:val="20"/>
              </w:rPr>
              <w:t>e</w:t>
            </w:r>
            <w:r w:rsidRPr="003D1B0A">
              <w:rPr>
                <w:rFonts w:cstheme="minorHAnsi"/>
                <w:sz w:val="20"/>
                <w:szCs w:val="20"/>
              </w:rPr>
              <w:t>nt or apply the law in a way that upholds the parties’ rights to natural justice</w:t>
            </w:r>
            <w:r w:rsidR="003D1B0A">
              <w:rPr>
                <w:rFonts w:cstheme="minorHAnsi"/>
                <w:sz w:val="20"/>
                <w:szCs w:val="20"/>
              </w:rPr>
              <w:t xml:space="preserve"> and</w:t>
            </w:r>
            <w:r w:rsidRPr="003D1B0A">
              <w:rPr>
                <w:rFonts w:cstheme="minorHAnsi"/>
                <w:sz w:val="20"/>
                <w:szCs w:val="20"/>
              </w:rPr>
              <w:t xml:space="preserve"> ensure that New Zealand’s obligations under the various international conventions and laws covering the rights of women and children are </w:t>
            </w:r>
            <w:r w:rsidR="006F270B">
              <w:rPr>
                <w:rFonts w:cstheme="minorHAnsi"/>
                <w:sz w:val="20"/>
                <w:szCs w:val="20"/>
              </w:rPr>
              <w:t xml:space="preserve">met </w:t>
            </w:r>
            <w:r w:rsidRPr="003D1B0A">
              <w:rPr>
                <w:rFonts w:cstheme="minorHAnsi"/>
                <w:sz w:val="20"/>
                <w:szCs w:val="20"/>
              </w:rPr>
              <w:t>by the Family Court and must provide effective remedies to the victims of domestic violence.</w:t>
            </w:r>
            <w:r w:rsidR="00944267" w:rsidRPr="003D1B0A">
              <w:rPr>
                <w:rFonts w:cstheme="minorHAnsi"/>
                <w:sz w:val="20"/>
                <w:szCs w:val="20"/>
              </w:rPr>
              <w:t xml:space="preserve"> </w:t>
            </w:r>
          </w:p>
          <w:p w14:paraId="158F92BC" w14:textId="070BDC75" w:rsidR="00847947" w:rsidRPr="00DB3575" w:rsidRDefault="00141C87" w:rsidP="003D1B0A">
            <w:pPr>
              <w:spacing w:after="120"/>
              <w:jc w:val="both"/>
              <w:rPr>
                <w:rFonts w:cstheme="minorHAnsi"/>
                <w:sz w:val="20"/>
                <w:szCs w:val="20"/>
              </w:rPr>
            </w:pPr>
            <w:r w:rsidRPr="003D1B0A">
              <w:rPr>
                <w:rFonts w:cstheme="minorHAnsi"/>
                <w:sz w:val="20"/>
                <w:szCs w:val="20"/>
              </w:rPr>
              <w:t xml:space="preserve">The New Zealand Family Court, </w:t>
            </w:r>
            <w:r w:rsidR="007427EB">
              <w:rPr>
                <w:rFonts w:cstheme="minorHAnsi"/>
                <w:sz w:val="20"/>
                <w:szCs w:val="20"/>
              </w:rPr>
              <w:t xml:space="preserve">established </w:t>
            </w:r>
            <w:r w:rsidRPr="003D1B0A">
              <w:rPr>
                <w:rFonts w:cstheme="minorHAnsi"/>
                <w:sz w:val="20"/>
                <w:szCs w:val="20"/>
              </w:rPr>
              <w:t xml:space="preserve">1980, is a mostly closed court. </w:t>
            </w:r>
            <w:r w:rsidR="00DB3575" w:rsidRPr="003D1B0A">
              <w:rPr>
                <w:rFonts w:cstheme="minorHAnsi"/>
                <w:sz w:val="20"/>
                <w:szCs w:val="20"/>
              </w:rPr>
              <w:t xml:space="preserve">There have been various reviews of the legislation, but most </w:t>
            </w:r>
            <w:r w:rsidR="00364F23">
              <w:rPr>
                <w:rFonts w:cstheme="minorHAnsi"/>
                <w:sz w:val="20"/>
                <w:szCs w:val="20"/>
              </w:rPr>
              <w:t xml:space="preserve">commentators </w:t>
            </w:r>
            <w:r w:rsidR="00DB3575" w:rsidRPr="003D1B0A">
              <w:rPr>
                <w:rFonts w:cstheme="minorHAnsi"/>
                <w:sz w:val="20"/>
                <w:szCs w:val="20"/>
              </w:rPr>
              <w:t>agree that the problems in the Family Court are related to the culture in the Family Court, the interpretation and implementation of the legislation rather than the legislation itself. There have also been various reviews of the court models used for domestic and sexual violence cases</w:t>
            </w:r>
            <w:r w:rsidR="00DB3575">
              <w:rPr>
                <w:rFonts w:cstheme="minorHAnsi"/>
                <w:sz w:val="20"/>
                <w:szCs w:val="20"/>
              </w:rPr>
              <w:t>,</w:t>
            </w:r>
            <w:r w:rsidR="00DB3575">
              <w:rPr>
                <w:rStyle w:val="FootnoteReference"/>
                <w:rFonts w:cstheme="minorHAnsi"/>
                <w:sz w:val="20"/>
                <w:szCs w:val="20"/>
              </w:rPr>
              <w:footnoteReference w:id="2"/>
            </w:r>
            <w:r w:rsidR="00DB3575">
              <w:rPr>
                <w:rFonts w:cstheme="minorHAnsi"/>
                <w:sz w:val="20"/>
                <w:szCs w:val="20"/>
              </w:rPr>
              <w:t xml:space="preserve"> including one done by</w:t>
            </w:r>
            <w:r w:rsidR="00DB3575" w:rsidRPr="003D1B0A">
              <w:rPr>
                <w:rFonts w:cstheme="minorHAnsi"/>
                <w:sz w:val="20"/>
                <w:szCs w:val="20"/>
              </w:rPr>
              <w:t xml:space="preserve"> one of the </w:t>
            </w:r>
            <w:r w:rsidR="006F270B">
              <w:rPr>
                <w:rFonts w:cstheme="minorHAnsi"/>
                <w:sz w:val="20"/>
                <w:szCs w:val="20"/>
              </w:rPr>
              <w:t>biggest</w:t>
            </w:r>
            <w:r w:rsidR="006F270B" w:rsidRPr="003D1B0A">
              <w:rPr>
                <w:rFonts w:cstheme="minorHAnsi"/>
                <w:sz w:val="20"/>
                <w:szCs w:val="20"/>
              </w:rPr>
              <w:t xml:space="preserve"> </w:t>
            </w:r>
            <w:r w:rsidR="00DB3575" w:rsidRPr="003D1B0A">
              <w:rPr>
                <w:rFonts w:cstheme="minorHAnsi"/>
                <w:sz w:val="20"/>
                <w:szCs w:val="20"/>
              </w:rPr>
              <w:t>domestic violence agencies</w:t>
            </w:r>
            <w:r w:rsidR="00DB3575" w:rsidRPr="003D1B0A">
              <w:rPr>
                <w:sz w:val="20"/>
                <w:szCs w:val="20"/>
              </w:rPr>
              <w:t xml:space="preserve"> </w:t>
            </w:r>
            <w:r w:rsidR="00DB3575">
              <w:rPr>
                <w:sz w:val="20"/>
                <w:szCs w:val="20"/>
              </w:rPr>
              <w:t>and another by</w:t>
            </w:r>
            <w:r w:rsidR="00DB3575" w:rsidRPr="003D1B0A">
              <w:rPr>
                <w:rFonts w:cstheme="minorHAnsi"/>
                <w:sz w:val="20"/>
                <w:szCs w:val="20"/>
              </w:rPr>
              <w:t xml:space="preserve"> the Law Commission, working in collaboration with leading academic</w:t>
            </w:r>
            <w:r w:rsidR="00DB3575">
              <w:rPr>
                <w:rFonts w:cstheme="minorHAnsi"/>
                <w:sz w:val="20"/>
                <w:szCs w:val="20"/>
              </w:rPr>
              <w:t>s</w:t>
            </w:r>
            <w:r w:rsidR="00DB3575" w:rsidRPr="003D1B0A">
              <w:rPr>
                <w:sz w:val="20"/>
                <w:szCs w:val="20"/>
              </w:rPr>
              <w:t>.</w:t>
            </w:r>
            <w:r w:rsidR="00DB3575" w:rsidRPr="003D1B0A">
              <w:rPr>
                <w:rStyle w:val="FootnoteReference"/>
                <w:sz w:val="20"/>
                <w:szCs w:val="20"/>
              </w:rPr>
              <w:footnoteReference w:id="3"/>
            </w:r>
          </w:p>
        </w:tc>
      </w:tr>
      <w:tr w:rsidR="000430F7" w14:paraId="086FFF0C" w14:textId="77777777" w:rsidTr="007B6FAB">
        <w:tc>
          <w:tcPr>
            <w:tcW w:w="2552" w:type="dxa"/>
            <w:tcBorders>
              <w:bottom w:val="single" w:sz="4" w:space="0" w:color="auto"/>
            </w:tcBorders>
            <w:shd w:val="clear" w:color="auto" w:fill="86DADE"/>
          </w:tcPr>
          <w:p w14:paraId="2C964F0D" w14:textId="26C2F6DB" w:rsidR="000430F7" w:rsidRPr="00DB3575" w:rsidRDefault="000430F7" w:rsidP="00DB3575">
            <w:pPr>
              <w:jc w:val="center"/>
              <w:rPr>
                <w:b/>
                <w:sz w:val="24"/>
                <w:szCs w:val="24"/>
              </w:rPr>
            </w:pPr>
            <w:r w:rsidRPr="00DB3575">
              <w:rPr>
                <w:b/>
                <w:sz w:val="24"/>
                <w:szCs w:val="24"/>
              </w:rPr>
              <w:t>CHALLENGES</w:t>
            </w:r>
          </w:p>
        </w:tc>
        <w:tc>
          <w:tcPr>
            <w:tcW w:w="8085" w:type="dxa"/>
            <w:gridSpan w:val="3"/>
            <w:tcBorders>
              <w:bottom w:val="single" w:sz="4" w:space="0" w:color="auto"/>
            </w:tcBorders>
            <w:shd w:val="clear" w:color="auto" w:fill="86DADE"/>
          </w:tcPr>
          <w:p w14:paraId="1D63603E" w14:textId="66AA3E38" w:rsidR="000430F7" w:rsidRPr="00DB3575" w:rsidRDefault="000430F7" w:rsidP="00DB3575">
            <w:pPr>
              <w:jc w:val="center"/>
              <w:rPr>
                <w:b/>
                <w:sz w:val="24"/>
                <w:szCs w:val="24"/>
              </w:rPr>
            </w:pPr>
            <w:r w:rsidRPr="00DB3575">
              <w:rPr>
                <w:b/>
                <w:sz w:val="24"/>
                <w:szCs w:val="24"/>
              </w:rPr>
              <w:t>IMPACT</w:t>
            </w:r>
          </w:p>
        </w:tc>
      </w:tr>
      <w:tr w:rsidR="000430F7" w14:paraId="0E42BB06" w14:textId="77777777" w:rsidTr="007B6FAB">
        <w:tc>
          <w:tcPr>
            <w:tcW w:w="2552" w:type="dxa"/>
            <w:tcBorders>
              <w:bottom w:val="nil"/>
            </w:tcBorders>
          </w:tcPr>
          <w:p w14:paraId="4B981EA4" w14:textId="7644EE97" w:rsidR="000430F7" w:rsidRPr="007B6FAB" w:rsidRDefault="00364F23" w:rsidP="00444181">
            <w:pPr>
              <w:spacing w:after="200"/>
              <w:rPr>
                <w:rFonts w:cstheme="minorHAnsi"/>
                <w:sz w:val="20"/>
                <w:szCs w:val="20"/>
              </w:rPr>
            </w:pPr>
            <w:r w:rsidRPr="007B6FAB">
              <w:rPr>
                <w:sz w:val="20"/>
                <w:szCs w:val="20"/>
              </w:rPr>
              <w:t>V</w:t>
            </w:r>
            <w:r w:rsidR="000430F7" w:rsidRPr="007B6FAB">
              <w:rPr>
                <w:sz w:val="20"/>
                <w:szCs w:val="20"/>
              </w:rPr>
              <w:t xml:space="preserve">ictims/survivors </w:t>
            </w:r>
            <w:r w:rsidRPr="007B6FAB">
              <w:rPr>
                <w:sz w:val="20"/>
                <w:szCs w:val="20"/>
              </w:rPr>
              <w:t xml:space="preserve">rights, particularly that to safety </w:t>
            </w:r>
            <w:r w:rsidR="000430F7" w:rsidRPr="007B6FAB">
              <w:rPr>
                <w:sz w:val="20"/>
                <w:szCs w:val="20"/>
              </w:rPr>
              <w:t>are not being upheld by the Family Court</w:t>
            </w:r>
          </w:p>
        </w:tc>
        <w:tc>
          <w:tcPr>
            <w:tcW w:w="8085" w:type="dxa"/>
            <w:gridSpan w:val="3"/>
            <w:tcBorders>
              <w:bottom w:val="nil"/>
            </w:tcBorders>
          </w:tcPr>
          <w:p w14:paraId="260D080B" w14:textId="3B493512" w:rsidR="000430F7" w:rsidRPr="007B6FAB" w:rsidRDefault="000430F7" w:rsidP="000430F7">
            <w:pPr>
              <w:rPr>
                <w:rFonts w:cstheme="minorHAnsi"/>
                <w:sz w:val="20"/>
                <w:szCs w:val="20"/>
              </w:rPr>
            </w:pPr>
            <w:r w:rsidRPr="007B6FAB">
              <w:rPr>
                <w:rFonts w:cstheme="minorHAnsi"/>
                <w:sz w:val="20"/>
                <w:szCs w:val="20"/>
              </w:rPr>
              <w:t>Women feel, controlled, frightened, terrorised, put down, silenced and punished for speaking out about the abuse by the Family Court. They are experiencing bias, are not getting access to a fair hearing and are being made less safe because of their interactions with the Family Court</w:t>
            </w:r>
            <w:r w:rsidR="00944267" w:rsidRPr="007B6FAB">
              <w:rPr>
                <w:rFonts w:cstheme="minorHAnsi"/>
                <w:sz w:val="20"/>
                <w:szCs w:val="20"/>
              </w:rPr>
              <w:t>.</w:t>
            </w:r>
          </w:p>
          <w:p w14:paraId="32119E80" w14:textId="498629D9" w:rsidR="002C5AA0" w:rsidRPr="007B6FAB" w:rsidRDefault="002C5AA0" w:rsidP="002C5AA0">
            <w:pPr>
              <w:pStyle w:val="ListParagraph"/>
              <w:numPr>
                <w:ilvl w:val="0"/>
                <w:numId w:val="7"/>
              </w:numPr>
              <w:ind w:left="181" w:hanging="181"/>
              <w:rPr>
                <w:rFonts w:cstheme="minorHAnsi"/>
                <w:sz w:val="20"/>
                <w:szCs w:val="20"/>
              </w:rPr>
            </w:pPr>
            <w:r w:rsidRPr="007B6FAB">
              <w:rPr>
                <w:sz w:val="20"/>
                <w:szCs w:val="20"/>
              </w:rPr>
              <w:t xml:space="preserve">68% of women are subject to decisions, directions or orders that </w:t>
            </w:r>
            <w:r w:rsidRPr="007B6FAB">
              <w:rPr>
                <w:rFonts w:cstheme="minorHAnsi"/>
                <w:sz w:val="20"/>
                <w:szCs w:val="20"/>
              </w:rPr>
              <w:t>prohibit them from rebuilding their lives after escaping violence and abuse</w:t>
            </w:r>
            <w:r w:rsidRPr="007B6FAB">
              <w:rPr>
                <w:rStyle w:val="FootnoteReference"/>
                <w:rFonts w:cstheme="minorHAnsi"/>
                <w:sz w:val="20"/>
                <w:szCs w:val="20"/>
              </w:rPr>
              <w:footnoteReference w:id="4"/>
            </w:r>
          </w:p>
          <w:p w14:paraId="62C004ED" w14:textId="417CDACF" w:rsidR="002C5AA0" w:rsidRPr="007B6FAB" w:rsidRDefault="002C5AA0" w:rsidP="002C5AA0">
            <w:pPr>
              <w:pStyle w:val="ListParagraph"/>
              <w:numPr>
                <w:ilvl w:val="0"/>
                <w:numId w:val="7"/>
              </w:numPr>
              <w:ind w:left="181" w:hanging="181"/>
              <w:rPr>
                <w:sz w:val="20"/>
                <w:szCs w:val="20"/>
              </w:rPr>
            </w:pPr>
            <w:r w:rsidRPr="007B6FAB">
              <w:rPr>
                <w:sz w:val="20"/>
                <w:szCs w:val="20"/>
              </w:rPr>
              <w:t xml:space="preserve">65% </w:t>
            </w:r>
            <w:r w:rsidR="00DB3575" w:rsidRPr="007B6FAB">
              <w:rPr>
                <w:sz w:val="20"/>
                <w:szCs w:val="20"/>
              </w:rPr>
              <w:t>say</w:t>
            </w:r>
            <w:r w:rsidRPr="007B6FAB">
              <w:rPr>
                <w:sz w:val="20"/>
                <w:szCs w:val="20"/>
              </w:rPr>
              <w:t xml:space="preserve"> their experience of violence and abuse was </w:t>
            </w:r>
            <w:r w:rsidR="006F270B" w:rsidRPr="007B6FAB">
              <w:rPr>
                <w:sz w:val="20"/>
                <w:szCs w:val="20"/>
              </w:rPr>
              <w:t xml:space="preserve">not </w:t>
            </w:r>
            <w:r w:rsidRPr="007B6FAB">
              <w:rPr>
                <w:sz w:val="20"/>
                <w:szCs w:val="20"/>
              </w:rPr>
              <w:t>understood by those working in the Family Court</w:t>
            </w:r>
            <w:r w:rsidRPr="007B6FAB">
              <w:rPr>
                <w:rStyle w:val="FootnoteReference"/>
                <w:sz w:val="20"/>
                <w:szCs w:val="20"/>
              </w:rPr>
              <w:footnoteReference w:id="5"/>
            </w:r>
          </w:p>
          <w:p w14:paraId="65E9F49B" w14:textId="14F8D91B" w:rsidR="002734E2" w:rsidRPr="007B6FAB" w:rsidRDefault="00457F71" w:rsidP="002C5AA0">
            <w:pPr>
              <w:pStyle w:val="ListParagraph"/>
              <w:numPr>
                <w:ilvl w:val="0"/>
                <w:numId w:val="7"/>
              </w:numPr>
              <w:ind w:left="181" w:hanging="181"/>
              <w:rPr>
                <w:sz w:val="20"/>
                <w:szCs w:val="20"/>
              </w:rPr>
            </w:pPr>
            <w:r w:rsidRPr="007B6FAB">
              <w:rPr>
                <w:sz w:val="20"/>
                <w:szCs w:val="20"/>
              </w:rPr>
              <w:t>47</w:t>
            </w:r>
            <w:r w:rsidR="002734E2" w:rsidRPr="007B6FAB">
              <w:rPr>
                <w:sz w:val="20"/>
                <w:szCs w:val="20"/>
              </w:rPr>
              <w:t>% of women have been verbally abused, put down or traumatised by a lawyer, judge, psychologist of other official person in Court</w:t>
            </w:r>
            <w:r w:rsidR="002734E2" w:rsidRPr="007B6FAB">
              <w:rPr>
                <w:rStyle w:val="FootnoteReference"/>
                <w:sz w:val="20"/>
                <w:szCs w:val="20"/>
              </w:rPr>
              <w:footnoteReference w:id="6"/>
            </w:r>
          </w:p>
          <w:p w14:paraId="5DAFD8CF" w14:textId="62014611" w:rsidR="002C5AA0" w:rsidRPr="007B6FAB" w:rsidRDefault="002C5AA0" w:rsidP="002C5AA0">
            <w:pPr>
              <w:pStyle w:val="ListParagraph"/>
              <w:numPr>
                <w:ilvl w:val="0"/>
                <w:numId w:val="7"/>
              </w:numPr>
              <w:ind w:left="181" w:hanging="181"/>
              <w:rPr>
                <w:sz w:val="20"/>
                <w:szCs w:val="20"/>
              </w:rPr>
            </w:pPr>
            <w:r w:rsidRPr="007B6FAB">
              <w:rPr>
                <w:sz w:val="20"/>
                <w:szCs w:val="20"/>
              </w:rPr>
              <w:t>23% had been denied a support person in court or mediation</w:t>
            </w:r>
            <w:r w:rsidR="00DB3575" w:rsidRPr="007B6FAB">
              <w:rPr>
                <w:rStyle w:val="FootnoteReference"/>
                <w:sz w:val="20"/>
                <w:szCs w:val="20"/>
              </w:rPr>
              <w:footnoteReference w:id="7"/>
            </w:r>
          </w:p>
          <w:p w14:paraId="25DC44A8" w14:textId="6F6703B8" w:rsidR="00444181" w:rsidRPr="007B6FAB" w:rsidRDefault="002C5AA0" w:rsidP="002734E2">
            <w:pPr>
              <w:pStyle w:val="ListParagraph"/>
              <w:numPr>
                <w:ilvl w:val="0"/>
                <w:numId w:val="7"/>
              </w:numPr>
              <w:ind w:left="181" w:hanging="181"/>
              <w:rPr>
                <w:rFonts w:cstheme="minorHAnsi"/>
                <w:sz w:val="20"/>
                <w:szCs w:val="20"/>
              </w:rPr>
            </w:pPr>
            <w:r w:rsidRPr="007B6FAB">
              <w:rPr>
                <w:sz w:val="20"/>
                <w:szCs w:val="20"/>
              </w:rPr>
              <w:t>21% of wahine Māori (indigenous women) reported experiencing racism</w:t>
            </w:r>
            <w:r w:rsidR="00DB3575" w:rsidRPr="007B6FAB">
              <w:rPr>
                <w:rStyle w:val="FootnoteReference"/>
                <w:sz w:val="20"/>
                <w:szCs w:val="20"/>
              </w:rPr>
              <w:footnoteReference w:id="8"/>
            </w:r>
          </w:p>
        </w:tc>
      </w:tr>
      <w:tr w:rsidR="00DB3575" w14:paraId="7110825E" w14:textId="77777777" w:rsidTr="007B6FAB">
        <w:tc>
          <w:tcPr>
            <w:tcW w:w="2552" w:type="dxa"/>
          </w:tcPr>
          <w:p w14:paraId="736439C7" w14:textId="4EBB64F7" w:rsidR="00DB3575" w:rsidRDefault="00DB3575" w:rsidP="002C5AA0">
            <w:pPr>
              <w:rPr>
                <w:rFonts w:cstheme="minorHAnsi"/>
                <w:sz w:val="20"/>
                <w:szCs w:val="20"/>
              </w:rPr>
            </w:pPr>
            <w:r>
              <w:rPr>
                <w:sz w:val="20"/>
                <w:szCs w:val="20"/>
              </w:rPr>
              <w:t>A child’s</w:t>
            </w:r>
            <w:r w:rsidRPr="002C5AA0">
              <w:rPr>
                <w:sz w:val="20"/>
                <w:szCs w:val="20"/>
              </w:rPr>
              <w:t xml:space="preserve"> right to stay in contact with both parents</w:t>
            </w:r>
            <w:r w:rsidRPr="002C5AA0">
              <w:rPr>
                <w:rStyle w:val="FootnoteReference"/>
                <w:sz w:val="20"/>
                <w:szCs w:val="20"/>
              </w:rPr>
              <w:footnoteReference w:id="9"/>
            </w:r>
            <w:r w:rsidRPr="002C5AA0">
              <w:rPr>
                <w:sz w:val="20"/>
                <w:szCs w:val="20"/>
              </w:rPr>
              <w:t xml:space="preserve"> </w:t>
            </w:r>
            <w:r w:rsidR="002542DD">
              <w:rPr>
                <w:sz w:val="20"/>
                <w:szCs w:val="20"/>
              </w:rPr>
              <w:t xml:space="preserve">is </w:t>
            </w:r>
            <w:r>
              <w:rPr>
                <w:sz w:val="20"/>
                <w:szCs w:val="20"/>
              </w:rPr>
              <w:t xml:space="preserve">being prioritised </w:t>
            </w:r>
            <w:r w:rsidRPr="002C5AA0">
              <w:rPr>
                <w:sz w:val="20"/>
                <w:szCs w:val="20"/>
              </w:rPr>
              <w:t xml:space="preserve">over their right to </w:t>
            </w:r>
            <w:r w:rsidR="002542DD">
              <w:rPr>
                <w:sz w:val="20"/>
                <w:szCs w:val="20"/>
              </w:rPr>
              <w:t>safety</w:t>
            </w:r>
            <w:r w:rsidRPr="002C5AA0">
              <w:rPr>
                <w:rStyle w:val="FootnoteReference"/>
                <w:sz w:val="20"/>
                <w:szCs w:val="20"/>
              </w:rPr>
              <w:footnoteReference w:id="10"/>
            </w:r>
            <w:r w:rsidRPr="002C5AA0">
              <w:rPr>
                <w:sz w:val="20"/>
                <w:szCs w:val="20"/>
              </w:rPr>
              <w:t xml:space="preserve">  </w:t>
            </w:r>
          </w:p>
        </w:tc>
        <w:tc>
          <w:tcPr>
            <w:tcW w:w="8085" w:type="dxa"/>
            <w:gridSpan w:val="3"/>
          </w:tcPr>
          <w:p w14:paraId="70876B41" w14:textId="72F7B6BB" w:rsidR="00DB3575" w:rsidRPr="002C5AA0" w:rsidRDefault="00DB3575" w:rsidP="00DB3575">
            <w:pPr>
              <w:pStyle w:val="ListParagraph"/>
              <w:numPr>
                <w:ilvl w:val="0"/>
                <w:numId w:val="7"/>
              </w:numPr>
              <w:ind w:left="181" w:hanging="181"/>
              <w:rPr>
                <w:sz w:val="20"/>
                <w:szCs w:val="20"/>
              </w:rPr>
            </w:pPr>
            <w:r>
              <w:rPr>
                <w:sz w:val="20"/>
                <w:szCs w:val="20"/>
              </w:rPr>
              <w:t xml:space="preserve">The </w:t>
            </w:r>
            <w:r w:rsidRPr="002C5AA0">
              <w:rPr>
                <w:sz w:val="20"/>
                <w:szCs w:val="20"/>
              </w:rPr>
              <w:t>Family Court has not responded appropriately to child/ren’s wishes/views/experiences and safety</w:t>
            </w:r>
            <w:r>
              <w:rPr>
                <w:sz w:val="20"/>
                <w:szCs w:val="20"/>
              </w:rPr>
              <w:t xml:space="preserve"> in </w:t>
            </w:r>
            <w:r w:rsidRPr="002C5AA0">
              <w:rPr>
                <w:sz w:val="20"/>
                <w:szCs w:val="20"/>
              </w:rPr>
              <w:t xml:space="preserve">86% of </w:t>
            </w:r>
            <w:r>
              <w:rPr>
                <w:sz w:val="20"/>
                <w:szCs w:val="20"/>
              </w:rPr>
              <w:t>cases</w:t>
            </w:r>
            <w:r>
              <w:rPr>
                <w:rStyle w:val="FootnoteReference"/>
                <w:sz w:val="20"/>
                <w:szCs w:val="20"/>
              </w:rPr>
              <w:footnoteReference w:id="11"/>
            </w:r>
          </w:p>
          <w:p w14:paraId="162A8A89" w14:textId="30654AD5" w:rsidR="00DB3575" w:rsidRPr="002C5AA0" w:rsidRDefault="00DB3575" w:rsidP="00DB3575">
            <w:pPr>
              <w:pStyle w:val="ListParagraph"/>
              <w:numPr>
                <w:ilvl w:val="0"/>
                <w:numId w:val="7"/>
              </w:numPr>
              <w:ind w:left="181" w:hanging="181"/>
              <w:rPr>
                <w:sz w:val="20"/>
                <w:szCs w:val="20"/>
              </w:rPr>
            </w:pPr>
            <w:r w:rsidRPr="002C5AA0">
              <w:rPr>
                <w:sz w:val="20"/>
                <w:szCs w:val="20"/>
              </w:rPr>
              <w:t>54% of the children are being forced into care and contact arrangements they do not want</w:t>
            </w:r>
            <w:r>
              <w:rPr>
                <w:rStyle w:val="FootnoteReference"/>
                <w:sz w:val="20"/>
                <w:szCs w:val="20"/>
              </w:rPr>
              <w:footnoteReference w:id="12"/>
            </w:r>
          </w:p>
          <w:p w14:paraId="67097669" w14:textId="727DCE8F" w:rsidR="00DB3575" w:rsidRPr="002C5AA0" w:rsidRDefault="007427EB" w:rsidP="00DB3575">
            <w:pPr>
              <w:pStyle w:val="ListParagraph"/>
              <w:numPr>
                <w:ilvl w:val="0"/>
                <w:numId w:val="7"/>
              </w:numPr>
              <w:ind w:left="181" w:hanging="181"/>
              <w:rPr>
                <w:sz w:val="20"/>
                <w:szCs w:val="20"/>
              </w:rPr>
            </w:pPr>
            <w:r>
              <w:rPr>
                <w:sz w:val="20"/>
                <w:szCs w:val="20"/>
              </w:rPr>
              <w:t>2</w:t>
            </w:r>
            <w:r w:rsidR="00DB3575" w:rsidRPr="002C5AA0">
              <w:rPr>
                <w:sz w:val="20"/>
                <w:szCs w:val="20"/>
              </w:rPr>
              <w:t xml:space="preserve">8% of </w:t>
            </w:r>
            <w:r>
              <w:rPr>
                <w:sz w:val="20"/>
                <w:szCs w:val="20"/>
              </w:rPr>
              <w:t>children forced into the abuser</w:t>
            </w:r>
            <w:r w:rsidR="004C37E4">
              <w:rPr>
                <w:sz w:val="20"/>
                <w:szCs w:val="20"/>
              </w:rPr>
              <w:t>’</w:t>
            </w:r>
            <w:r>
              <w:rPr>
                <w:sz w:val="20"/>
                <w:szCs w:val="20"/>
              </w:rPr>
              <w:t>s care think or talk about suicide</w:t>
            </w:r>
            <w:r w:rsidR="002734E2">
              <w:rPr>
                <w:sz w:val="20"/>
                <w:szCs w:val="20"/>
              </w:rPr>
              <w:t xml:space="preserve"> </w:t>
            </w:r>
            <w:r w:rsidR="00DB3575" w:rsidRPr="002C5AA0">
              <w:rPr>
                <w:sz w:val="20"/>
                <w:szCs w:val="20"/>
              </w:rPr>
              <w:t>compared to</w:t>
            </w:r>
            <w:r w:rsidR="007B0A33">
              <w:rPr>
                <w:sz w:val="20"/>
                <w:szCs w:val="20"/>
              </w:rPr>
              <w:t xml:space="preserve"> </w:t>
            </w:r>
            <w:r w:rsidR="002734E2">
              <w:rPr>
                <w:sz w:val="20"/>
                <w:szCs w:val="20"/>
              </w:rPr>
              <w:t xml:space="preserve">12% </w:t>
            </w:r>
            <w:r w:rsidR="00DB3575" w:rsidRPr="002C5AA0">
              <w:rPr>
                <w:sz w:val="20"/>
                <w:szCs w:val="20"/>
              </w:rPr>
              <w:t xml:space="preserve">of </w:t>
            </w:r>
            <w:r w:rsidR="002734E2">
              <w:rPr>
                <w:sz w:val="20"/>
                <w:szCs w:val="20"/>
              </w:rPr>
              <w:t>children who are not forced</w:t>
            </w:r>
            <w:r w:rsidR="00DB3575">
              <w:rPr>
                <w:rStyle w:val="FootnoteReference"/>
                <w:sz w:val="20"/>
                <w:szCs w:val="20"/>
              </w:rPr>
              <w:footnoteReference w:id="13"/>
            </w:r>
          </w:p>
        </w:tc>
      </w:tr>
      <w:tr w:rsidR="002C5AA0" w14:paraId="542A8423" w14:textId="77777777" w:rsidTr="007B6FAB">
        <w:tc>
          <w:tcPr>
            <w:tcW w:w="2552" w:type="dxa"/>
          </w:tcPr>
          <w:p w14:paraId="1DEF3447" w14:textId="615551E2" w:rsidR="002C5AA0" w:rsidRPr="002C5AA0" w:rsidRDefault="00944267" w:rsidP="002C5AA0">
            <w:pPr>
              <w:rPr>
                <w:sz w:val="20"/>
                <w:szCs w:val="20"/>
              </w:rPr>
            </w:pPr>
            <w:r>
              <w:rPr>
                <w:rFonts w:cstheme="minorHAnsi"/>
                <w:sz w:val="20"/>
                <w:szCs w:val="20"/>
              </w:rPr>
              <w:lastRenderedPageBreak/>
              <w:t>The Family Court is treating a</w:t>
            </w:r>
            <w:r w:rsidRPr="002C5AA0">
              <w:rPr>
                <w:rFonts w:cstheme="minorHAnsi"/>
                <w:sz w:val="20"/>
                <w:szCs w:val="20"/>
              </w:rPr>
              <w:t>busive</w:t>
            </w:r>
            <w:r w:rsidR="002C5AA0" w:rsidRPr="002C5AA0">
              <w:rPr>
                <w:rFonts w:cstheme="minorHAnsi"/>
                <w:sz w:val="20"/>
                <w:szCs w:val="20"/>
              </w:rPr>
              <w:t xml:space="preserve"> men as ‘safe’</w:t>
            </w:r>
          </w:p>
        </w:tc>
        <w:tc>
          <w:tcPr>
            <w:tcW w:w="8085" w:type="dxa"/>
            <w:gridSpan w:val="3"/>
          </w:tcPr>
          <w:p w14:paraId="4D9261F8" w14:textId="03C556BE" w:rsidR="006F270B" w:rsidRDefault="006F270B" w:rsidP="002C5AA0">
            <w:pPr>
              <w:pStyle w:val="ListParagraph"/>
              <w:numPr>
                <w:ilvl w:val="0"/>
                <w:numId w:val="7"/>
              </w:numPr>
              <w:ind w:left="181" w:hanging="181"/>
              <w:rPr>
                <w:sz w:val="20"/>
                <w:szCs w:val="20"/>
              </w:rPr>
            </w:pPr>
            <w:r w:rsidRPr="0039071B">
              <w:rPr>
                <w:sz w:val="20"/>
                <w:szCs w:val="20"/>
              </w:rPr>
              <w:t>87% of mothers said the Family Court views their abuser as being safe for the children to spend time with</w:t>
            </w:r>
            <w:r w:rsidRPr="0039071B">
              <w:rPr>
                <w:rStyle w:val="FootnoteReference"/>
                <w:sz w:val="20"/>
                <w:szCs w:val="20"/>
              </w:rPr>
              <w:footnoteReference w:id="14"/>
            </w:r>
          </w:p>
          <w:p w14:paraId="4F751424" w14:textId="4DFB4C3B" w:rsidR="0039071B" w:rsidRDefault="0039071B" w:rsidP="002C5AA0">
            <w:pPr>
              <w:pStyle w:val="ListParagraph"/>
              <w:numPr>
                <w:ilvl w:val="0"/>
                <w:numId w:val="7"/>
              </w:numPr>
              <w:ind w:left="181" w:hanging="181"/>
              <w:rPr>
                <w:sz w:val="20"/>
                <w:szCs w:val="20"/>
              </w:rPr>
            </w:pPr>
            <w:r w:rsidRPr="0039071B">
              <w:rPr>
                <w:sz w:val="20"/>
                <w:szCs w:val="20"/>
              </w:rPr>
              <w:t xml:space="preserve">Risk assessment only done in </w:t>
            </w:r>
            <w:r w:rsidR="007427EB">
              <w:rPr>
                <w:sz w:val="20"/>
                <w:szCs w:val="20"/>
              </w:rPr>
              <w:t xml:space="preserve">2% to </w:t>
            </w:r>
            <w:r w:rsidRPr="0039071B">
              <w:rPr>
                <w:sz w:val="20"/>
                <w:szCs w:val="20"/>
              </w:rPr>
              <w:t>10% of cases</w:t>
            </w:r>
            <w:r w:rsidRPr="0039071B">
              <w:rPr>
                <w:rStyle w:val="FootnoteReference"/>
                <w:sz w:val="20"/>
                <w:szCs w:val="20"/>
              </w:rPr>
              <w:footnoteReference w:id="15"/>
            </w:r>
          </w:p>
          <w:p w14:paraId="52BFDFBE" w14:textId="7DCD7E59" w:rsidR="002C5AA0" w:rsidRPr="002C5AA0" w:rsidRDefault="002C5AA0" w:rsidP="002C5AA0">
            <w:pPr>
              <w:pStyle w:val="ListParagraph"/>
              <w:numPr>
                <w:ilvl w:val="0"/>
                <w:numId w:val="7"/>
              </w:numPr>
              <w:ind w:left="181" w:hanging="181"/>
              <w:rPr>
                <w:sz w:val="20"/>
                <w:szCs w:val="20"/>
              </w:rPr>
            </w:pPr>
            <w:r w:rsidRPr="002C5AA0">
              <w:rPr>
                <w:sz w:val="20"/>
                <w:szCs w:val="20"/>
              </w:rPr>
              <w:t>83% of mothers said the Family Court had not made their children safer after they left the violence and abuse</w:t>
            </w:r>
            <w:r w:rsidR="00DB3575">
              <w:rPr>
                <w:rStyle w:val="FootnoteReference"/>
                <w:sz w:val="20"/>
                <w:szCs w:val="20"/>
              </w:rPr>
              <w:footnoteReference w:id="16"/>
            </w:r>
          </w:p>
          <w:p w14:paraId="7CB55929" w14:textId="5448C9D5" w:rsidR="002C5AA0" w:rsidRPr="007427EB" w:rsidRDefault="002C5AA0" w:rsidP="007427EB">
            <w:pPr>
              <w:pStyle w:val="ListParagraph"/>
              <w:numPr>
                <w:ilvl w:val="0"/>
                <w:numId w:val="7"/>
              </w:numPr>
              <w:ind w:left="181" w:hanging="181"/>
              <w:rPr>
                <w:sz w:val="20"/>
                <w:szCs w:val="20"/>
              </w:rPr>
            </w:pPr>
            <w:r w:rsidRPr="002C5AA0">
              <w:rPr>
                <w:sz w:val="20"/>
                <w:szCs w:val="20"/>
              </w:rPr>
              <w:t xml:space="preserve">Most </w:t>
            </w:r>
            <w:r w:rsidRPr="0039071B">
              <w:rPr>
                <w:sz w:val="20"/>
                <w:szCs w:val="20"/>
              </w:rPr>
              <w:t>children are ordered into unsupervised care and contact with the abuser</w:t>
            </w:r>
            <w:r w:rsidR="00DB3575" w:rsidRPr="0039071B">
              <w:rPr>
                <w:rStyle w:val="FootnoteReference"/>
                <w:sz w:val="20"/>
                <w:szCs w:val="20"/>
              </w:rPr>
              <w:footnoteReference w:id="17"/>
            </w:r>
          </w:p>
        </w:tc>
      </w:tr>
      <w:tr w:rsidR="002C5AA0" w14:paraId="26FCFE61" w14:textId="77777777" w:rsidTr="007B6FAB">
        <w:tc>
          <w:tcPr>
            <w:tcW w:w="2552" w:type="dxa"/>
          </w:tcPr>
          <w:p w14:paraId="4C061557" w14:textId="3A519A7D" w:rsidR="002C5AA0" w:rsidRPr="00444181" w:rsidRDefault="002C5AA0" w:rsidP="002C5AA0">
            <w:pPr>
              <w:rPr>
                <w:rFonts w:cstheme="minorHAnsi"/>
                <w:sz w:val="20"/>
                <w:szCs w:val="20"/>
              </w:rPr>
            </w:pPr>
            <w:r w:rsidRPr="00444181">
              <w:rPr>
                <w:rFonts w:cstheme="minorHAnsi"/>
                <w:sz w:val="20"/>
                <w:szCs w:val="20"/>
              </w:rPr>
              <w:t>Family Court pr</w:t>
            </w:r>
            <w:r w:rsidR="00847947">
              <w:rPr>
                <w:rFonts w:cstheme="minorHAnsi"/>
                <w:sz w:val="20"/>
                <w:szCs w:val="20"/>
              </w:rPr>
              <w:t>actice is not</w:t>
            </w:r>
            <w:r w:rsidR="00444181">
              <w:rPr>
                <w:rFonts w:cstheme="minorHAnsi"/>
                <w:sz w:val="20"/>
                <w:szCs w:val="20"/>
              </w:rPr>
              <w:t xml:space="preserve"> </w:t>
            </w:r>
            <w:r w:rsidR="00444181" w:rsidRPr="00444181">
              <w:rPr>
                <w:rFonts w:cstheme="minorHAnsi"/>
                <w:sz w:val="20"/>
                <w:szCs w:val="20"/>
              </w:rPr>
              <w:t>evidence-based</w:t>
            </w:r>
          </w:p>
        </w:tc>
        <w:tc>
          <w:tcPr>
            <w:tcW w:w="8085" w:type="dxa"/>
            <w:gridSpan w:val="3"/>
          </w:tcPr>
          <w:p w14:paraId="45818A92" w14:textId="1EF21DBE" w:rsidR="00444181" w:rsidRPr="000D6CAA" w:rsidRDefault="00444181" w:rsidP="00444181">
            <w:pPr>
              <w:pStyle w:val="ListParagraph"/>
              <w:numPr>
                <w:ilvl w:val="0"/>
                <w:numId w:val="10"/>
              </w:numPr>
              <w:ind w:left="181" w:hanging="181"/>
              <w:rPr>
                <w:sz w:val="20"/>
                <w:szCs w:val="20"/>
              </w:rPr>
            </w:pPr>
            <w:r w:rsidRPr="000D6CAA">
              <w:rPr>
                <w:sz w:val="20"/>
                <w:szCs w:val="20"/>
              </w:rPr>
              <w:t>55% of women wrongly accused of parental alienation despite this theory having been debunked internationally</w:t>
            </w:r>
            <w:r w:rsidRPr="000D6CAA">
              <w:rPr>
                <w:rStyle w:val="FootnoteReference"/>
                <w:sz w:val="20"/>
                <w:szCs w:val="20"/>
              </w:rPr>
              <w:footnoteReference w:id="18"/>
            </w:r>
          </w:p>
          <w:p w14:paraId="2BEDEBEC" w14:textId="6EEA1244" w:rsidR="002C5AA0" w:rsidRPr="000D6CAA" w:rsidRDefault="00DB3575" w:rsidP="00DB3575">
            <w:pPr>
              <w:pStyle w:val="ListParagraph"/>
              <w:numPr>
                <w:ilvl w:val="0"/>
                <w:numId w:val="10"/>
              </w:numPr>
              <w:ind w:left="181" w:hanging="181"/>
              <w:rPr>
                <w:sz w:val="20"/>
                <w:szCs w:val="20"/>
              </w:rPr>
            </w:pPr>
            <w:r w:rsidRPr="000D6CAA">
              <w:rPr>
                <w:sz w:val="20"/>
                <w:szCs w:val="20"/>
              </w:rPr>
              <w:t xml:space="preserve">As a </w:t>
            </w:r>
            <w:r w:rsidR="0039071B" w:rsidRPr="000D6CAA">
              <w:rPr>
                <w:sz w:val="20"/>
                <w:szCs w:val="20"/>
              </w:rPr>
              <w:t>result,</w:t>
            </w:r>
            <w:r w:rsidRPr="000D6CAA">
              <w:rPr>
                <w:sz w:val="20"/>
                <w:szCs w:val="20"/>
              </w:rPr>
              <w:t xml:space="preserve"> w</w:t>
            </w:r>
            <w:r w:rsidR="002C5AA0" w:rsidRPr="000D6CAA">
              <w:rPr>
                <w:sz w:val="20"/>
                <w:szCs w:val="20"/>
              </w:rPr>
              <w:t>hen the mothers try and protect their children from ongoing harm, trauma and abuse they are accused of trying to alienate their children from their father</w:t>
            </w:r>
            <w:r w:rsidRPr="000D6CAA">
              <w:rPr>
                <w:sz w:val="20"/>
                <w:szCs w:val="20"/>
              </w:rPr>
              <w:t xml:space="preserve"> and</w:t>
            </w:r>
            <w:r w:rsidR="00944267" w:rsidRPr="000D6CAA">
              <w:rPr>
                <w:sz w:val="20"/>
                <w:szCs w:val="20"/>
              </w:rPr>
              <w:t xml:space="preserve"> deemed</w:t>
            </w:r>
            <w:r w:rsidR="002C5AA0" w:rsidRPr="000D6CAA">
              <w:rPr>
                <w:sz w:val="20"/>
                <w:szCs w:val="20"/>
              </w:rPr>
              <w:t xml:space="preserve"> to be psychologically abusing the children</w:t>
            </w:r>
            <w:r w:rsidR="00944267" w:rsidRPr="000D6CAA">
              <w:rPr>
                <w:sz w:val="20"/>
                <w:szCs w:val="20"/>
              </w:rPr>
              <w:t>. The court then overrides</w:t>
            </w:r>
            <w:r w:rsidR="002C5AA0" w:rsidRPr="000D6CAA">
              <w:rPr>
                <w:sz w:val="20"/>
                <w:szCs w:val="20"/>
              </w:rPr>
              <w:t xml:space="preserve"> </w:t>
            </w:r>
            <w:r w:rsidRPr="000D6CAA">
              <w:rPr>
                <w:sz w:val="20"/>
                <w:szCs w:val="20"/>
              </w:rPr>
              <w:t xml:space="preserve">their fears and any reports </w:t>
            </w:r>
            <w:r w:rsidR="0039071B" w:rsidRPr="000D6CAA">
              <w:rPr>
                <w:sz w:val="20"/>
                <w:szCs w:val="20"/>
              </w:rPr>
              <w:t>of physical</w:t>
            </w:r>
            <w:r w:rsidR="002C5AA0" w:rsidRPr="000D6CAA">
              <w:rPr>
                <w:sz w:val="20"/>
                <w:szCs w:val="20"/>
              </w:rPr>
              <w:t xml:space="preserve">, sexual </w:t>
            </w:r>
            <w:r w:rsidRPr="000D6CAA">
              <w:rPr>
                <w:sz w:val="20"/>
                <w:szCs w:val="20"/>
              </w:rPr>
              <w:t>or</w:t>
            </w:r>
            <w:r w:rsidR="002C5AA0" w:rsidRPr="000D6CAA">
              <w:rPr>
                <w:sz w:val="20"/>
                <w:szCs w:val="20"/>
              </w:rPr>
              <w:t xml:space="preserve"> psychological </w:t>
            </w:r>
            <w:r w:rsidRPr="000D6CAA">
              <w:rPr>
                <w:sz w:val="20"/>
                <w:szCs w:val="20"/>
              </w:rPr>
              <w:t>abuse by the father and impose</w:t>
            </w:r>
            <w:r w:rsidR="00CA7B0A">
              <w:rPr>
                <w:sz w:val="20"/>
                <w:szCs w:val="20"/>
              </w:rPr>
              <w:t>s</w:t>
            </w:r>
            <w:r w:rsidR="002C5AA0" w:rsidRPr="000D6CAA">
              <w:rPr>
                <w:sz w:val="20"/>
                <w:szCs w:val="20"/>
              </w:rPr>
              <w:t xml:space="preserve"> orders which force the child/ren into care and contact </w:t>
            </w:r>
            <w:r w:rsidR="00444181" w:rsidRPr="000D6CAA">
              <w:rPr>
                <w:sz w:val="20"/>
                <w:szCs w:val="20"/>
              </w:rPr>
              <w:t>with the abuser</w:t>
            </w:r>
          </w:p>
          <w:p w14:paraId="206D9515" w14:textId="0BF93F18" w:rsidR="000D6CAA" w:rsidRPr="000D6CAA" w:rsidRDefault="000D6CAA" w:rsidP="000D6CAA">
            <w:pPr>
              <w:pStyle w:val="ListParagraph"/>
              <w:numPr>
                <w:ilvl w:val="0"/>
                <w:numId w:val="10"/>
              </w:numPr>
              <w:ind w:left="181" w:hanging="181"/>
              <w:rPr>
                <w:sz w:val="20"/>
                <w:szCs w:val="20"/>
              </w:rPr>
            </w:pPr>
            <w:r w:rsidRPr="000D6CAA">
              <w:rPr>
                <w:sz w:val="20"/>
                <w:szCs w:val="20"/>
              </w:rPr>
              <w:t>If the child tries</w:t>
            </w:r>
            <w:r w:rsidR="00CA7B0A">
              <w:rPr>
                <w:sz w:val="20"/>
                <w:szCs w:val="20"/>
              </w:rPr>
              <w:t xml:space="preserve"> to</w:t>
            </w:r>
            <w:r w:rsidRPr="000D6CAA">
              <w:rPr>
                <w:sz w:val="20"/>
                <w:szCs w:val="20"/>
              </w:rPr>
              <w:t xml:space="preserve"> resist that contact and the mother refuses to force their children to go the Family Court orders that the Police uplift the child – using force if necessary,</w:t>
            </w:r>
            <w:r w:rsidRPr="000D6CAA">
              <w:rPr>
                <w:rStyle w:val="FootnoteReference"/>
                <w:sz w:val="20"/>
                <w:szCs w:val="20"/>
              </w:rPr>
              <w:footnoteReference w:id="19"/>
            </w:r>
            <w:r w:rsidRPr="000D6CAA">
              <w:rPr>
                <w:sz w:val="20"/>
                <w:szCs w:val="20"/>
              </w:rPr>
              <w:t xml:space="preserve"> or removes the mother as a legal guardian of her child/ren. </w:t>
            </w:r>
          </w:p>
        </w:tc>
      </w:tr>
      <w:tr w:rsidR="00444181" w14:paraId="76F1C9F0" w14:textId="77777777" w:rsidTr="007B6FAB">
        <w:tc>
          <w:tcPr>
            <w:tcW w:w="2552" w:type="dxa"/>
          </w:tcPr>
          <w:p w14:paraId="1273D284" w14:textId="507C7457" w:rsidR="00444181" w:rsidRPr="00944267" w:rsidRDefault="00444181" w:rsidP="00944267">
            <w:pPr>
              <w:spacing w:after="120"/>
              <w:rPr>
                <w:sz w:val="20"/>
                <w:szCs w:val="20"/>
              </w:rPr>
            </w:pPr>
            <w:r w:rsidRPr="00944267">
              <w:rPr>
                <w:rFonts w:cstheme="minorHAnsi"/>
                <w:sz w:val="20"/>
                <w:szCs w:val="20"/>
              </w:rPr>
              <w:t>The Family Court operates without the usual checks and balances to ensure it acts fairly, safely, and lawfully</w:t>
            </w:r>
          </w:p>
        </w:tc>
        <w:tc>
          <w:tcPr>
            <w:tcW w:w="8085" w:type="dxa"/>
            <w:gridSpan w:val="3"/>
          </w:tcPr>
          <w:p w14:paraId="28B7BCE4" w14:textId="6AC5F654" w:rsidR="00152780" w:rsidRPr="00152780" w:rsidRDefault="00152780" w:rsidP="00444181">
            <w:pPr>
              <w:pStyle w:val="ListParagraph"/>
              <w:numPr>
                <w:ilvl w:val="0"/>
                <w:numId w:val="10"/>
              </w:numPr>
              <w:ind w:left="181" w:hanging="181"/>
              <w:rPr>
                <w:sz w:val="20"/>
                <w:szCs w:val="20"/>
              </w:rPr>
            </w:pPr>
            <w:r w:rsidRPr="00152780">
              <w:rPr>
                <w:sz w:val="20"/>
                <w:szCs w:val="20"/>
              </w:rPr>
              <w:t>89% of children received no follow up interviews or reviews from anyone working in the Family Court after orders were made placing them into care and contact with the abuser</w:t>
            </w:r>
            <w:r w:rsidR="00DB3575">
              <w:rPr>
                <w:rStyle w:val="FootnoteReference"/>
                <w:sz w:val="20"/>
                <w:szCs w:val="20"/>
              </w:rPr>
              <w:footnoteReference w:id="20"/>
            </w:r>
            <w:r w:rsidRPr="00152780">
              <w:rPr>
                <w:sz w:val="20"/>
                <w:szCs w:val="20"/>
              </w:rPr>
              <w:t xml:space="preserve"> </w:t>
            </w:r>
          </w:p>
          <w:p w14:paraId="5FFED455" w14:textId="7110B334" w:rsidR="00444181" w:rsidRPr="00152780" w:rsidRDefault="00444181" w:rsidP="00444181">
            <w:pPr>
              <w:pStyle w:val="ListParagraph"/>
              <w:numPr>
                <w:ilvl w:val="0"/>
                <w:numId w:val="10"/>
              </w:numPr>
              <w:ind w:left="181" w:hanging="181"/>
              <w:rPr>
                <w:sz w:val="20"/>
                <w:szCs w:val="20"/>
              </w:rPr>
            </w:pPr>
            <w:r w:rsidRPr="00152780">
              <w:rPr>
                <w:sz w:val="20"/>
                <w:szCs w:val="20"/>
              </w:rPr>
              <w:t>There is no independent authority monitoring and overseeing the Family Court and reviewing or regulating its outcomes</w:t>
            </w:r>
          </w:p>
          <w:p w14:paraId="33CF211D" w14:textId="2C362ABB" w:rsidR="007427EB" w:rsidRPr="007427EB" w:rsidRDefault="00444181" w:rsidP="00444181">
            <w:pPr>
              <w:pStyle w:val="ListParagraph"/>
              <w:numPr>
                <w:ilvl w:val="0"/>
                <w:numId w:val="10"/>
              </w:numPr>
              <w:ind w:left="181" w:hanging="181"/>
              <w:rPr>
                <w:sz w:val="20"/>
                <w:szCs w:val="20"/>
              </w:rPr>
            </w:pPr>
            <w:r w:rsidRPr="00152780">
              <w:rPr>
                <w:sz w:val="20"/>
                <w:szCs w:val="20"/>
              </w:rPr>
              <w:t>The legal appeals process is not available to all women and has significant barriers as it is costly</w:t>
            </w:r>
            <w:r w:rsidR="00CA7B0A">
              <w:rPr>
                <w:sz w:val="20"/>
                <w:szCs w:val="20"/>
              </w:rPr>
              <w:t xml:space="preserve"> </w:t>
            </w:r>
            <w:r w:rsidR="00CA7B0A" w:rsidRPr="007427EB">
              <w:rPr>
                <w:sz w:val="20"/>
                <w:szCs w:val="20"/>
              </w:rPr>
              <w:t>and time dependent</w:t>
            </w:r>
          </w:p>
          <w:p w14:paraId="0F914740" w14:textId="06AC7333" w:rsidR="007427EB" w:rsidRPr="007427EB" w:rsidRDefault="00444181" w:rsidP="007427EB">
            <w:pPr>
              <w:pStyle w:val="ListParagraph"/>
              <w:numPr>
                <w:ilvl w:val="0"/>
                <w:numId w:val="10"/>
              </w:numPr>
              <w:ind w:left="181" w:hanging="181"/>
              <w:rPr>
                <w:sz w:val="20"/>
                <w:szCs w:val="20"/>
              </w:rPr>
            </w:pPr>
            <w:r w:rsidRPr="007427EB">
              <w:rPr>
                <w:sz w:val="20"/>
                <w:szCs w:val="20"/>
              </w:rPr>
              <w:t xml:space="preserve">Many women do not complain </w:t>
            </w:r>
            <w:r w:rsidR="007427EB" w:rsidRPr="007427EB">
              <w:rPr>
                <w:sz w:val="20"/>
                <w:szCs w:val="20"/>
              </w:rPr>
              <w:t>because all complaints are sent back to the presiding judge to investigate and this results in women being further punished in court</w:t>
            </w:r>
          </w:p>
          <w:p w14:paraId="005FD16C" w14:textId="557E9393" w:rsidR="00DB3575" w:rsidRPr="0039071B" w:rsidRDefault="0039071B" w:rsidP="0039071B">
            <w:pPr>
              <w:pStyle w:val="ListParagraph"/>
              <w:numPr>
                <w:ilvl w:val="0"/>
                <w:numId w:val="10"/>
              </w:numPr>
              <w:ind w:left="181" w:hanging="181"/>
              <w:rPr>
                <w:sz w:val="20"/>
                <w:szCs w:val="20"/>
              </w:rPr>
            </w:pPr>
            <w:r w:rsidRPr="007427EB">
              <w:rPr>
                <w:rFonts w:cstheme="minorHAnsi"/>
                <w:sz w:val="20"/>
                <w:szCs w:val="20"/>
              </w:rPr>
              <w:t>There is</w:t>
            </w:r>
            <w:r w:rsidRPr="003D1B0A">
              <w:rPr>
                <w:rFonts w:cstheme="minorHAnsi"/>
                <w:sz w:val="20"/>
                <w:szCs w:val="20"/>
              </w:rPr>
              <w:t xml:space="preserve"> no authority responsible for overseeing the safety and rights of children who are subject to Family Court proceedings</w:t>
            </w:r>
            <w:r>
              <w:rPr>
                <w:rFonts w:cstheme="minorHAnsi"/>
                <w:sz w:val="20"/>
                <w:szCs w:val="20"/>
              </w:rPr>
              <w:t xml:space="preserve"> and </w:t>
            </w:r>
            <w:r w:rsidR="00444181" w:rsidRPr="00152780">
              <w:rPr>
                <w:sz w:val="20"/>
                <w:szCs w:val="20"/>
              </w:rPr>
              <w:t>no independent and safe mechanism for children to complain</w:t>
            </w:r>
          </w:p>
        </w:tc>
      </w:tr>
      <w:tr w:rsidR="00944267" w14:paraId="399F122D" w14:textId="77777777" w:rsidTr="007B6FAB">
        <w:tc>
          <w:tcPr>
            <w:tcW w:w="10637" w:type="dxa"/>
            <w:gridSpan w:val="4"/>
            <w:shd w:val="clear" w:color="auto" w:fill="86DADE"/>
          </w:tcPr>
          <w:p w14:paraId="081F7383" w14:textId="6B3E1B4F" w:rsidR="00944267" w:rsidRPr="00DB3575" w:rsidRDefault="00944267" w:rsidP="00944267">
            <w:pPr>
              <w:jc w:val="center"/>
              <w:rPr>
                <w:rFonts w:cstheme="minorHAnsi"/>
                <w:sz w:val="24"/>
                <w:szCs w:val="24"/>
              </w:rPr>
            </w:pPr>
            <w:r w:rsidRPr="00DB3575">
              <w:rPr>
                <w:b/>
                <w:sz w:val="24"/>
                <w:szCs w:val="24"/>
              </w:rPr>
              <w:t>RECOMMENDATIONS</w:t>
            </w:r>
          </w:p>
        </w:tc>
      </w:tr>
      <w:tr w:rsidR="00944267" w14:paraId="74DA89A7" w14:textId="77777777" w:rsidTr="007B6FAB">
        <w:tc>
          <w:tcPr>
            <w:tcW w:w="10637" w:type="dxa"/>
            <w:gridSpan w:val="4"/>
            <w:shd w:val="clear" w:color="auto" w:fill="D2F0F0"/>
          </w:tcPr>
          <w:p w14:paraId="08E79FC9" w14:textId="77777777" w:rsidR="004842A5" w:rsidRPr="002542DD" w:rsidRDefault="00FD3296" w:rsidP="002542DD">
            <w:pPr>
              <w:pStyle w:val="ListParagraph"/>
              <w:numPr>
                <w:ilvl w:val="0"/>
                <w:numId w:val="14"/>
              </w:numPr>
              <w:spacing w:after="60"/>
              <w:ind w:left="318" w:hanging="318"/>
              <w:contextualSpacing w:val="0"/>
              <w:jc w:val="both"/>
            </w:pPr>
            <w:r w:rsidRPr="002542DD">
              <w:t>Urgently invite the Special Rapporteurs on Violence Against Women and Child Protection to urgently conduct a country visit to New Zealand to investigate the way the New Zealand Family Court is treating victims of violence and abuse.</w:t>
            </w:r>
          </w:p>
          <w:p w14:paraId="2CB895E1" w14:textId="77777777" w:rsidR="004842A5" w:rsidRPr="002542DD" w:rsidRDefault="004842A5" w:rsidP="002542DD">
            <w:pPr>
              <w:pStyle w:val="ListParagraph"/>
              <w:numPr>
                <w:ilvl w:val="0"/>
                <w:numId w:val="14"/>
              </w:numPr>
              <w:spacing w:after="60"/>
              <w:ind w:left="318" w:hanging="318"/>
              <w:contextualSpacing w:val="0"/>
              <w:jc w:val="both"/>
            </w:pPr>
            <w:r w:rsidRPr="002542DD">
              <w:t>Conduct a Royal Commission of Inquiry into the Family Court to investigate the serious and widespread systemic abuse that hundreds of women and children have been reporting.</w:t>
            </w:r>
          </w:p>
          <w:p w14:paraId="1628FD6F" w14:textId="5B27BB86" w:rsidR="004842A5" w:rsidRPr="002542DD" w:rsidRDefault="004842A5" w:rsidP="002542DD">
            <w:pPr>
              <w:pStyle w:val="ListParagraph"/>
              <w:numPr>
                <w:ilvl w:val="0"/>
                <w:numId w:val="14"/>
              </w:numPr>
              <w:spacing w:after="60"/>
              <w:ind w:left="318" w:hanging="318"/>
              <w:contextualSpacing w:val="0"/>
              <w:jc w:val="both"/>
            </w:pPr>
            <w:r w:rsidRPr="002542DD">
              <w:t xml:space="preserve">Develop a new </w:t>
            </w:r>
            <w:r w:rsidR="00403E84" w:rsidRPr="002542DD">
              <w:t xml:space="preserve">inquisitorial </w:t>
            </w:r>
            <w:r w:rsidRPr="002542DD">
              <w:t xml:space="preserve">justice response for domestic, sexual violence and child protection </w:t>
            </w:r>
            <w:r w:rsidR="00EF28D1">
              <w:t xml:space="preserve">civil and criminal </w:t>
            </w:r>
            <w:r w:rsidRPr="002542DD">
              <w:t>cases that treats victim safety as paramount, staffed with specialist and culturally appropriate personnel who understand the immediate and intergenerational impact of violence and abuse and who can ensure women and children’s rights are upheld.</w:t>
            </w:r>
          </w:p>
          <w:p w14:paraId="02AE25E4" w14:textId="3298F114" w:rsidR="004842A5" w:rsidRPr="002542DD" w:rsidRDefault="004842A5" w:rsidP="002542DD">
            <w:pPr>
              <w:pStyle w:val="ListParagraph"/>
              <w:numPr>
                <w:ilvl w:val="0"/>
                <w:numId w:val="14"/>
              </w:numPr>
              <w:spacing w:after="60"/>
              <w:ind w:left="318" w:hanging="318"/>
              <w:contextualSpacing w:val="0"/>
              <w:jc w:val="both"/>
            </w:pPr>
            <w:r w:rsidRPr="002542DD">
              <w:t>In order to keep women and children who have disclosed violence and abuse</w:t>
            </w:r>
            <w:r w:rsidR="00CA7B0A">
              <w:t xml:space="preserve"> </w:t>
            </w:r>
            <w:r w:rsidRPr="002542DD">
              <w:t>safe in the Family Court until a new system is operational, immediately establish: a national network of independent children’s advocates and domestic violence and child abuse expert advisors, comprehensive specialist training for judges, quality assurance processes, formal risk assessment in all cases, trauma counselling for children, legal aid</w:t>
            </w:r>
            <w:r w:rsidR="0039071B" w:rsidRPr="002542DD">
              <w:t xml:space="preserve"> and specialist legal services</w:t>
            </w:r>
            <w:r w:rsidRPr="002542DD">
              <w:t xml:space="preserve">. </w:t>
            </w:r>
          </w:p>
          <w:p w14:paraId="076A95F3" w14:textId="4DEA8645" w:rsidR="00403E84" w:rsidRPr="002542DD" w:rsidRDefault="00403E84" w:rsidP="002542DD">
            <w:pPr>
              <w:pStyle w:val="ListParagraph"/>
              <w:numPr>
                <w:ilvl w:val="0"/>
                <w:numId w:val="14"/>
              </w:numPr>
              <w:spacing w:after="60"/>
              <w:ind w:left="318" w:hanging="318"/>
              <w:contextualSpacing w:val="0"/>
              <w:jc w:val="both"/>
            </w:pPr>
            <w:r w:rsidRPr="002542DD">
              <w:t>Amend</w:t>
            </w:r>
            <w:r w:rsidR="004842A5" w:rsidRPr="002542DD">
              <w:t xml:space="preserve"> legislation, policies and practice standards </w:t>
            </w:r>
            <w:r w:rsidRPr="002542DD">
              <w:t>to ensure</w:t>
            </w:r>
            <w:r w:rsidR="004842A5" w:rsidRPr="002542DD">
              <w:t xml:space="preserve"> </w:t>
            </w:r>
            <w:r w:rsidR="0021659D" w:rsidRPr="002542DD">
              <w:t>non-evidence</w:t>
            </w:r>
            <w:r w:rsidR="004842A5" w:rsidRPr="002542DD">
              <w:t xml:space="preserve">-based concepts such as parental alienation </w:t>
            </w:r>
            <w:proofErr w:type="gramStart"/>
            <w:r w:rsidR="0021659D" w:rsidRPr="002542DD">
              <w:t>are</w:t>
            </w:r>
            <w:proofErr w:type="gramEnd"/>
            <w:r w:rsidR="0039071B" w:rsidRPr="002542DD">
              <w:t xml:space="preserve"> not</w:t>
            </w:r>
            <w:r w:rsidR="004842A5" w:rsidRPr="002542DD">
              <w:t xml:space="preserve"> be applied by the Family Court in cases of violence and abuse.</w:t>
            </w:r>
          </w:p>
          <w:p w14:paraId="26891AEC" w14:textId="627F70CB" w:rsidR="004842A5" w:rsidRPr="000D6CAA" w:rsidRDefault="00403E84" w:rsidP="002542DD">
            <w:pPr>
              <w:pStyle w:val="ListParagraph"/>
              <w:numPr>
                <w:ilvl w:val="0"/>
                <w:numId w:val="14"/>
              </w:numPr>
              <w:spacing w:after="60"/>
              <w:ind w:left="318" w:hanging="318"/>
              <w:contextualSpacing w:val="0"/>
              <w:jc w:val="both"/>
            </w:pPr>
            <w:r w:rsidRPr="002542DD">
              <w:t>Establish an independent quality assurance, monitoring and complaints body be established for violence against women and their children to ensure all parts of the system, including the Family Court are operating to best practice levels.</w:t>
            </w:r>
          </w:p>
        </w:tc>
      </w:tr>
    </w:tbl>
    <w:p w14:paraId="08BACCDE" w14:textId="7B27CA34" w:rsidR="002542DD" w:rsidRDefault="002542DD" w:rsidP="000D6CAA"/>
    <w:sectPr w:rsidR="002542DD" w:rsidSect="00357A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481E" w14:textId="77777777" w:rsidR="00B9784E" w:rsidRDefault="00B9784E" w:rsidP="00E60E78">
      <w:pPr>
        <w:spacing w:after="0" w:line="240" w:lineRule="auto"/>
      </w:pPr>
      <w:r>
        <w:separator/>
      </w:r>
    </w:p>
  </w:endnote>
  <w:endnote w:type="continuationSeparator" w:id="0">
    <w:p w14:paraId="090B8867" w14:textId="77777777" w:rsidR="00B9784E" w:rsidRDefault="00B9784E" w:rsidP="00E6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B192" w14:textId="77777777" w:rsidR="00B9784E" w:rsidRDefault="00B9784E" w:rsidP="00E60E78">
      <w:pPr>
        <w:spacing w:after="0" w:line="240" w:lineRule="auto"/>
      </w:pPr>
      <w:r>
        <w:separator/>
      </w:r>
    </w:p>
  </w:footnote>
  <w:footnote w:type="continuationSeparator" w:id="0">
    <w:p w14:paraId="2E12AAA8" w14:textId="77777777" w:rsidR="00B9784E" w:rsidRDefault="00B9784E" w:rsidP="00E60E78">
      <w:pPr>
        <w:spacing w:after="0" w:line="240" w:lineRule="auto"/>
      </w:pPr>
      <w:r>
        <w:continuationSeparator/>
      </w:r>
    </w:p>
  </w:footnote>
  <w:footnote w:id="1">
    <w:p w14:paraId="425501CD" w14:textId="77777777" w:rsidR="00141C87" w:rsidRPr="00DB3575" w:rsidRDefault="00141C87" w:rsidP="00141C87">
      <w:pPr>
        <w:pStyle w:val="FootnoteText"/>
        <w:rPr>
          <w:sz w:val="16"/>
          <w:szCs w:val="16"/>
        </w:rPr>
      </w:pPr>
      <w:r w:rsidRPr="00DB3575">
        <w:rPr>
          <w:rStyle w:val="FootnoteReference"/>
          <w:sz w:val="16"/>
          <w:szCs w:val="16"/>
        </w:rPr>
        <w:footnoteRef/>
      </w:r>
      <w:hyperlink r:id="rId1" w:history="1">
        <w:r w:rsidRPr="00DB3575">
          <w:rPr>
            <w:rStyle w:val="Hyperlink"/>
            <w:sz w:val="16"/>
            <w:szCs w:val="16"/>
          </w:rPr>
          <w:t>https://static1.squarespace.com/static/57d898ef8419c2ef50f63405/t/5a94cc1a9140b78a0a3a5061/1519701025135/Submission+to+Justice+Select+Committee+January+2018.pdf</w:t>
        </w:r>
      </w:hyperlink>
      <w:r w:rsidRPr="00DB3575">
        <w:rPr>
          <w:sz w:val="16"/>
          <w:szCs w:val="16"/>
        </w:rPr>
        <w:t xml:space="preserve">  (</w:t>
      </w:r>
      <w:proofErr w:type="spellStart"/>
      <w:r w:rsidRPr="00DB3575">
        <w:rPr>
          <w:sz w:val="16"/>
          <w:szCs w:val="16"/>
        </w:rPr>
        <w:t>pg</w:t>
      </w:r>
      <w:proofErr w:type="spellEnd"/>
      <w:r w:rsidRPr="00DB3575">
        <w:rPr>
          <w:sz w:val="16"/>
          <w:szCs w:val="16"/>
        </w:rPr>
        <w:t xml:space="preserve"> 9-11)</w:t>
      </w:r>
    </w:p>
  </w:footnote>
  <w:footnote w:id="2">
    <w:p w14:paraId="53675EAD" w14:textId="77777777" w:rsidR="00DB3575" w:rsidRPr="00DB3575" w:rsidRDefault="00DB3575" w:rsidP="00DB3575">
      <w:pPr>
        <w:pStyle w:val="FootnoteText"/>
        <w:rPr>
          <w:sz w:val="16"/>
          <w:szCs w:val="16"/>
        </w:rPr>
      </w:pPr>
      <w:r w:rsidRPr="00DB3575">
        <w:rPr>
          <w:rStyle w:val="FootnoteReference"/>
          <w:sz w:val="16"/>
          <w:szCs w:val="16"/>
        </w:rPr>
        <w:footnoteRef/>
      </w:r>
      <w:r w:rsidRPr="00DB3575">
        <w:rPr>
          <w:sz w:val="16"/>
          <w:szCs w:val="16"/>
        </w:rPr>
        <w:t xml:space="preserve"> </w:t>
      </w:r>
      <w:hyperlink r:id="rId2" w:history="1">
        <w:r w:rsidRPr="00DB3575">
          <w:rPr>
            <w:rStyle w:val="Hyperlink"/>
            <w:sz w:val="16"/>
            <w:szCs w:val="16"/>
          </w:rPr>
          <w:t>file:///C:/Users/rthh1/Downloads/SDVC+in+Auckland+PVH+Report%20(2).pdf</w:t>
        </w:r>
      </w:hyperlink>
      <w:r w:rsidRPr="00DB3575">
        <w:rPr>
          <w:sz w:val="16"/>
          <w:szCs w:val="16"/>
        </w:rPr>
        <w:t xml:space="preserve"> </w:t>
      </w:r>
    </w:p>
  </w:footnote>
  <w:footnote w:id="3">
    <w:p w14:paraId="3FA7F813" w14:textId="77777777" w:rsidR="00DB3575" w:rsidRPr="00DB3575" w:rsidRDefault="00DB3575" w:rsidP="00DB3575">
      <w:pPr>
        <w:pStyle w:val="FootnoteText"/>
        <w:rPr>
          <w:sz w:val="16"/>
          <w:szCs w:val="16"/>
        </w:rPr>
      </w:pPr>
      <w:r w:rsidRPr="00DB3575">
        <w:rPr>
          <w:rStyle w:val="FootnoteReference"/>
          <w:sz w:val="16"/>
          <w:szCs w:val="16"/>
        </w:rPr>
        <w:footnoteRef/>
      </w:r>
      <w:r w:rsidRPr="00DB3575">
        <w:rPr>
          <w:sz w:val="16"/>
          <w:szCs w:val="16"/>
        </w:rPr>
        <w:t xml:space="preserve"> </w:t>
      </w:r>
      <w:hyperlink r:id="rId3" w:history="1">
        <w:r w:rsidRPr="00DB3575">
          <w:rPr>
            <w:rStyle w:val="Hyperlink"/>
            <w:sz w:val="16"/>
            <w:szCs w:val="16"/>
          </w:rPr>
          <w:t>https://www.lawcom.govt.nz/sites/default/files/projectAvailableFormats/NZLC%20IP30.pdf</w:t>
        </w:r>
      </w:hyperlink>
      <w:r w:rsidRPr="00DB3575">
        <w:rPr>
          <w:sz w:val="16"/>
          <w:szCs w:val="16"/>
        </w:rPr>
        <w:t xml:space="preserve"> </w:t>
      </w:r>
    </w:p>
  </w:footnote>
  <w:footnote w:id="4">
    <w:p w14:paraId="2870CD72" w14:textId="7DBFBEEE" w:rsidR="002C5AA0" w:rsidRPr="004C37E4" w:rsidRDefault="002C5AA0">
      <w:pPr>
        <w:pStyle w:val="FootnoteText"/>
        <w:rPr>
          <w:sz w:val="16"/>
          <w:szCs w:val="16"/>
        </w:rPr>
      </w:pPr>
      <w:r w:rsidRPr="00DB3575">
        <w:rPr>
          <w:rStyle w:val="FootnoteReference"/>
          <w:sz w:val="16"/>
          <w:szCs w:val="16"/>
        </w:rPr>
        <w:footnoteRef/>
      </w:r>
      <w:hyperlink r:id="rId4" w:history="1">
        <w:r w:rsidR="00DB3575" w:rsidRPr="004C37E4">
          <w:rPr>
            <w:rStyle w:val="Hyperlink"/>
            <w:sz w:val="16"/>
            <w:szCs w:val="16"/>
          </w:rPr>
          <w:t>https://static1.squarespace.com/static/57d898ef8419c2ef50f63405/t/5949a425a5790a3989f7e74e/1497998414103/Family+Court+Survey+report+final+080617.pdf</w:t>
        </w:r>
      </w:hyperlink>
      <w:r w:rsidR="00DB3575" w:rsidRPr="004C37E4">
        <w:rPr>
          <w:sz w:val="16"/>
          <w:szCs w:val="16"/>
        </w:rPr>
        <w:t xml:space="preserve"> </w:t>
      </w:r>
      <w:proofErr w:type="spellStart"/>
      <w:r w:rsidR="00DB3575" w:rsidRPr="004C37E4">
        <w:rPr>
          <w:sz w:val="16"/>
          <w:szCs w:val="16"/>
        </w:rPr>
        <w:t>pg</w:t>
      </w:r>
      <w:proofErr w:type="spellEnd"/>
      <w:r w:rsidR="00DB3575" w:rsidRPr="004C37E4">
        <w:rPr>
          <w:sz w:val="16"/>
          <w:szCs w:val="16"/>
        </w:rPr>
        <w:t xml:space="preserve"> 30</w:t>
      </w:r>
    </w:p>
  </w:footnote>
  <w:footnote w:id="5">
    <w:p w14:paraId="33565464" w14:textId="75F71A69" w:rsidR="002C5AA0" w:rsidRPr="004C37E4" w:rsidRDefault="002C5AA0">
      <w:pPr>
        <w:pStyle w:val="FootnoteText"/>
        <w:rPr>
          <w:sz w:val="16"/>
          <w:szCs w:val="16"/>
        </w:rPr>
      </w:pPr>
      <w:r w:rsidRPr="004C37E4">
        <w:rPr>
          <w:rStyle w:val="FootnoteReference"/>
          <w:sz w:val="16"/>
          <w:szCs w:val="16"/>
        </w:rPr>
        <w:footnoteRef/>
      </w:r>
      <w:r w:rsidRPr="004C37E4">
        <w:rPr>
          <w:sz w:val="16"/>
          <w:szCs w:val="16"/>
        </w:rPr>
        <w:t xml:space="preserve"> </w:t>
      </w:r>
      <w:r w:rsidR="00DB3575" w:rsidRPr="004C37E4">
        <w:rPr>
          <w:sz w:val="16"/>
          <w:szCs w:val="16"/>
        </w:rPr>
        <w:t xml:space="preserve">Ibid. </w:t>
      </w:r>
      <w:proofErr w:type="spellStart"/>
      <w:r w:rsidR="00DB3575" w:rsidRPr="004C37E4">
        <w:rPr>
          <w:sz w:val="16"/>
          <w:szCs w:val="16"/>
        </w:rPr>
        <w:t>pg</w:t>
      </w:r>
      <w:proofErr w:type="spellEnd"/>
      <w:r w:rsidR="00DB3575" w:rsidRPr="004C37E4">
        <w:rPr>
          <w:sz w:val="16"/>
          <w:szCs w:val="16"/>
        </w:rPr>
        <w:t xml:space="preserve"> 19</w:t>
      </w:r>
    </w:p>
  </w:footnote>
  <w:footnote w:id="6">
    <w:p w14:paraId="0B59C7E3" w14:textId="7902C15A" w:rsidR="002734E2" w:rsidRPr="002734E2" w:rsidRDefault="002734E2">
      <w:pPr>
        <w:pStyle w:val="FootnoteText"/>
        <w:rPr>
          <w:sz w:val="16"/>
          <w:szCs w:val="16"/>
        </w:rPr>
      </w:pPr>
      <w:r w:rsidRPr="004C37E4">
        <w:rPr>
          <w:rStyle w:val="FootnoteReference"/>
          <w:sz w:val="16"/>
          <w:szCs w:val="16"/>
        </w:rPr>
        <w:footnoteRef/>
      </w:r>
      <w:r w:rsidRPr="004C37E4">
        <w:rPr>
          <w:sz w:val="16"/>
          <w:szCs w:val="16"/>
        </w:rPr>
        <w:t xml:space="preserve"> </w:t>
      </w:r>
      <w:r w:rsidR="00457F71" w:rsidRPr="004C37E4">
        <w:rPr>
          <w:sz w:val="16"/>
          <w:szCs w:val="16"/>
        </w:rPr>
        <w:t xml:space="preserve">Ibid. </w:t>
      </w:r>
      <w:r w:rsidR="004C37E4" w:rsidRPr="004C37E4">
        <w:rPr>
          <w:sz w:val="16"/>
          <w:szCs w:val="16"/>
        </w:rPr>
        <w:t xml:space="preserve">Figure 10 </w:t>
      </w:r>
      <w:proofErr w:type="spellStart"/>
      <w:r w:rsidR="004C37E4" w:rsidRPr="004C37E4">
        <w:rPr>
          <w:sz w:val="16"/>
          <w:szCs w:val="16"/>
        </w:rPr>
        <w:t>Pg</w:t>
      </w:r>
      <w:proofErr w:type="spellEnd"/>
      <w:r w:rsidR="004C37E4" w:rsidRPr="004C37E4">
        <w:rPr>
          <w:sz w:val="16"/>
          <w:szCs w:val="16"/>
        </w:rPr>
        <w:t xml:space="preserve"> 21 New analysis of raw data do</w:t>
      </w:r>
      <w:r w:rsidR="00457F71" w:rsidRPr="004C37E4">
        <w:rPr>
          <w:sz w:val="16"/>
          <w:szCs w:val="16"/>
        </w:rPr>
        <w:t xml:space="preserve">ne specifically for this </w:t>
      </w:r>
      <w:proofErr w:type="gramStart"/>
      <w:r w:rsidR="00457F71" w:rsidRPr="004C37E4">
        <w:rPr>
          <w:sz w:val="16"/>
          <w:szCs w:val="16"/>
        </w:rPr>
        <w:t xml:space="preserve">paper </w:t>
      </w:r>
      <w:r w:rsidR="004C37E4" w:rsidRPr="004C37E4">
        <w:rPr>
          <w:sz w:val="16"/>
          <w:szCs w:val="16"/>
        </w:rPr>
        <w:t xml:space="preserve"> to</w:t>
      </w:r>
      <w:proofErr w:type="gramEnd"/>
      <w:r w:rsidR="004C37E4" w:rsidRPr="004C37E4">
        <w:rPr>
          <w:sz w:val="16"/>
          <w:szCs w:val="16"/>
        </w:rPr>
        <w:t xml:space="preserve"> calculate the percentage of women who answered yes to one or more of the of the four questions regarding being abused of put down or traumatised in cross examination by the abuser's lawyer</w:t>
      </w:r>
    </w:p>
  </w:footnote>
  <w:footnote w:id="7">
    <w:p w14:paraId="0994036D" w14:textId="4CF004D1" w:rsidR="00DB3575" w:rsidRPr="00DB3575" w:rsidRDefault="00DB3575">
      <w:pPr>
        <w:pStyle w:val="FootnoteText"/>
        <w:rPr>
          <w:sz w:val="16"/>
          <w:szCs w:val="16"/>
        </w:rPr>
      </w:pPr>
      <w:r w:rsidRPr="002734E2">
        <w:rPr>
          <w:rStyle w:val="FootnoteReference"/>
          <w:sz w:val="16"/>
          <w:szCs w:val="16"/>
        </w:rPr>
        <w:footnoteRef/>
      </w:r>
      <w:r w:rsidRPr="002734E2">
        <w:rPr>
          <w:sz w:val="16"/>
          <w:szCs w:val="16"/>
        </w:rPr>
        <w:t xml:space="preserve"> Ibid. </w:t>
      </w:r>
      <w:proofErr w:type="spellStart"/>
      <w:r w:rsidRPr="002734E2">
        <w:rPr>
          <w:sz w:val="16"/>
          <w:szCs w:val="16"/>
        </w:rPr>
        <w:t>pg</w:t>
      </w:r>
      <w:proofErr w:type="spellEnd"/>
      <w:r w:rsidRPr="002734E2">
        <w:rPr>
          <w:sz w:val="16"/>
          <w:szCs w:val="16"/>
        </w:rPr>
        <w:t xml:space="preserve"> 22</w:t>
      </w:r>
    </w:p>
  </w:footnote>
  <w:footnote w:id="8">
    <w:p w14:paraId="1FCB3635" w14:textId="007DF597" w:rsidR="00DB3575" w:rsidRPr="00DB3575" w:rsidRDefault="00DB3575">
      <w:pPr>
        <w:pStyle w:val="FootnoteText"/>
        <w:rPr>
          <w:sz w:val="16"/>
          <w:szCs w:val="16"/>
        </w:rPr>
      </w:pPr>
      <w:r w:rsidRPr="00DB3575">
        <w:rPr>
          <w:rStyle w:val="FootnoteReference"/>
          <w:sz w:val="16"/>
          <w:szCs w:val="16"/>
        </w:rPr>
        <w:footnoteRef/>
      </w:r>
      <w:r w:rsidRPr="00DB3575">
        <w:rPr>
          <w:sz w:val="16"/>
          <w:szCs w:val="16"/>
        </w:rPr>
        <w:t xml:space="preserve"> Ibid. </w:t>
      </w:r>
      <w:proofErr w:type="spellStart"/>
      <w:r w:rsidRPr="00DB3575">
        <w:rPr>
          <w:sz w:val="16"/>
          <w:szCs w:val="16"/>
        </w:rPr>
        <w:t>pg</w:t>
      </w:r>
      <w:proofErr w:type="spellEnd"/>
      <w:r w:rsidRPr="00DB3575">
        <w:rPr>
          <w:sz w:val="16"/>
          <w:szCs w:val="16"/>
        </w:rPr>
        <w:t xml:space="preserve"> 13</w:t>
      </w:r>
    </w:p>
  </w:footnote>
  <w:footnote w:id="9">
    <w:p w14:paraId="5E071EEB" w14:textId="77777777" w:rsidR="00DB3575" w:rsidRPr="00DB3575" w:rsidRDefault="00DB3575" w:rsidP="00DB3575">
      <w:pPr>
        <w:spacing w:after="0" w:line="240" w:lineRule="auto"/>
        <w:jc w:val="both"/>
        <w:rPr>
          <w:sz w:val="16"/>
          <w:szCs w:val="16"/>
        </w:rPr>
      </w:pPr>
      <w:r w:rsidRPr="00DB3575">
        <w:rPr>
          <w:rStyle w:val="FootnoteReference"/>
          <w:sz w:val="16"/>
          <w:szCs w:val="16"/>
        </w:rPr>
        <w:footnoteRef/>
      </w:r>
      <w:r w:rsidRPr="00DB3575">
        <w:rPr>
          <w:sz w:val="16"/>
          <w:szCs w:val="16"/>
        </w:rPr>
        <w:t xml:space="preserve"> Article 9 of UNCROC which states ‘Children have the right to live with their parent(s), unless it is bad for them. Children whose parents do not live together have the right to stay in contact with both parents, unless this might hurt the child’ and s5(e) of the Care of Children Act 2004 which says ‘a child should continue to have a relationship with both of his or her parents…’</w:t>
      </w:r>
    </w:p>
  </w:footnote>
  <w:footnote w:id="10">
    <w:p w14:paraId="523A061F" w14:textId="77777777" w:rsidR="00DB3575" w:rsidRPr="00DB3575" w:rsidRDefault="00DB3575" w:rsidP="00DB3575">
      <w:pPr>
        <w:spacing w:after="0" w:line="240" w:lineRule="auto"/>
        <w:jc w:val="both"/>
        <w:rPr>
          <w:sz w:val="16"/>
          <w:szCs w:val="16"/>
        </w:rPr>
      </w:pPr>
      <w:r w:rsidRPr="00DB3575">
        <w:rPr>
          <w:rStyle w:val="FootnoteReference"/>
          <w:sz w:val="16"/>
          <w:szCs w:val="16"/>
        </w:rPr>
        <w:footnoteRef/>
      </w:r>
      <w:r w:rsidRPr="00DB3575">
        <w:rPr>
          <w:sz w:val="16"/>
          <w:szCs w:val="16"/>
        </w:rPr>
        <w:t xml:space="preserve"> Articles 19.1 and 19.2 of UNCROC which state ‘children have the right to be protected from being hurt and physical, sexual or mental mistreatment or violence‘ and s5(a) of the Care of Children Act 2004 which states a child’s safety must be protected and, in particular, a child must be protected from all forms of violence (as defined in section 3(2) to (5) of the Domestic Violence Act 1995.</w:t>
      </w:r>
    </w:p>
  </w:footnote>
  <w:footnote w:id="11">
    <w:p w14:paraId="242A1454" w14:textId="702C484E" w:rsidR="00DB3575" w:rsidRPr="00DB3575" w:rsidRDefault="00DB3575">
      <w:pPr>
        <w:pStyle w:val="FootnoteText"/>
        <w:rPr>
          <w:sz w:val="16"/>
          <w:szCs w:val="16"/>
        </w:rPr>
      </w:pPr>
      <w:r w:rsidRPr="00DB3575">
        <w:rPr>
          <w:rStyle w:val="FootnoteReference"/>
          <w:sz w:val="16"/>
          <w:szCs w:val="16"/>
        </w:rPr>
        <w:footnoteRef/>
      </w:r>
      <w:hyperlink r:id="rId5" w:history="1">
        <w:r w:rsidRPr="00DB3575">
          <w:rPr>
            <w:rStyle w:val="Hyperlink"/>
            <w:sz w:val="16"/>
            <w:szCs w:val="16"/>
          </w:rPr>
          <w:t>https://static1.squarespace.com/static/57d898ef8419c2ef50f63405/t/5a3171c59140b743f5abbe36/1513189837189/Seen+and+not+Heard+Children+in+the+Family+Court+%281%29.pdf</w:t>
        </w:r>
      </w:hyperlink>
      <w:r w:rsidRPr="00DB3575">
        <w:rPr>
          <w:sz w:val="16"/>
          <w:szCs w:val="16"/>
        </w:rPr>
        <w:t xml:space="preserve"> </w:t>
      </w:r>
      <w:proofErr w:type="spellStart"/>
      <w:r w:rsidRPr="00DB3575">
        <w:rPr>
          <w:sz w:val="16"/>
          <w:szCs w:val="16"/>
        </w:rPr>
        <w:t>Pg</w:t>
      </w:r>
      <w:proofErr w:type="spellEnd"/>
      <w:r w:rsidRPr="00DB3575">
        <w:rPr>
          <w:sz w:val="16"/>
          <w:szCs w:val="16"/>
        </w:rPr>
        <w:t xml:space="preserve"> 53</w:t>
      </w:r>
    </w:p>
  </w:footnote>
  <w:footnote w:id="12">
    <w:p w14:paraId="47D58047" w14:textId="7D9DACED" w:rsidR="00DB3575" w:rsidRPr="00DB3575" w:rsidRDefault="00DB3575">
      <w:pPr>
        <w:pStyle w:val="FootnoteText"/>
        <w:rPr>
          <w:sz w:val="16"/>
          <w:szCs w:val="16"/>
        </w:rPr>
      </w:pPr>
      <w:r w:rsidRPr="00DB3575">
        <w:rPr>
          <w:rStyle w:val="FootnoteReference"/>
          <w:sz w:val="16"/>
          <w:szCs w:val="16"/>
        </w:rPr>
        <w:footnoteRef/>
      </w:r>
      <w:r w:rsidRPr="00DB3575">
        <w:rPr>
          <w:sz w:val="16"/>
          <w:szCs w:val="16"/>
        </w:rPr>
        <w:t xml:space="preserve"> Ibid. </w:t>
      </w:r>
      <w:proofErr w:type="spellStart"/>
      <w:r w:rsidRPr="00DB3575">
        <w:rPr>
          <w:sz w:val="16"/>
          <w:szCs w:val="16"/>
        </w:rPr>
        <w:t>Pg</w:t>
      </w:r>
      <w:proofErr w:type="spellEnd"/>
      <w:r w:rsidRPr="00DB3575">
        <w:rPr>
          <w:sz w:val="16"/>
          <w:szCs w:val="16"/>
        </w:rPr>
        <w:t xml:space="preserve"> 7</w:t>
      </w:r>
    </w:p>
  </w:footnote>
  <w:footnote w:id="13">
    <w:p w14:paraId="5E7FD5A1" w14:textId="122B779E" w:rsidR="00DB3575" w:rsidRPr="00DB3575" w:rsidRDefault="00DB3575">
      <w:pPr>
        <w:pStyle w:val="FootnoteText"/>
        <w:rPr>
          <w:sz w:val="16"/>
          <w:szCs w:val="16"/>
        </w:rPr>
      </w:pPr>
      <w:r w:rsidRPr="00DB3575">
        <w:rPr>
          <w:rStyle w:val="FootnoteReference"/>
          <w:sz w:val="16"/>
          <w:szCs w:val="16"/>
        </w:rPr>
        <w:footnoteRef/>
      </w:r>
      <w:r w:rsidRPr="00DB3575">
        <w:rPr>
          <w:sz w:val="16"/>
          <w:szCs w:val="16"/>
        </w:rPr>
        <w:t xml:space="preserve"> Ibid. </w:t>
      </w:r>
      <w:r w:rsidR="002734E2">
        <w:rPr>
          <w:sz w:val="16"/>
          <w:szCs w:val="16"/>
        </w:rPr>
        <w:t xml:space="preserve">Figure 30 </w:t>
      </w:r>
      <w:proofErr w:type="spellStart"/>
      <w:r w:rsidR="002734E2">
        <w:rPr>
          <w:sz w:val="16"/>
          <w:szCs w:val="16"/>
        </w:rPr>
        <w:t>Pg</w:t>
      </w:r>
      <w:proofErr w:type="spellEnd"/>
      <w:r w:rsidR="002734E2">
        <w:rPr>
          <w:sz w:val="16"/>
          <w:szCs w:val="16"/>
        </w:rPr>
        <w:t xml:space="preserve"> 48</w:t>
      </w:r>
    </w:p>
  </w:footnote>
  <w:footnote w:id="14">
    <w:p w14:paraId="449D5CDD" w14:textId="77777777" w:rsidR="006F270B" w:rsidRPr="0039071B" w:rsidRDefault="006F270B" w:rsidP="006F270B">
      <w:pPr>
        <w:pStyle w:val="FootnoteText"/>
        <w:rPr>
          <w:sz w:val="16"/>
          <w:szCs w:val="16"/>
        </w:rPr>
      </w:pPr>
      <w:r w:rsidRPr="0039071B">
        <w:rPr>
          <w:rStyle w:val="FootnoteReference"/>
          <w:sz w:val="16"/>
          <w:szCs w:val="16"/>
        </w:rPr>
        <w:footnoteRef/>
      </w:r>
      <w:r w:rsidRPr="0039071B">
        <w:rPr>
          <w:sz w:val="16"/>
          <w:szCs w:val="16"/>
        </w:rPr>
        <w:t xml:space="preserve"> Ibid. </w:t>
      </w:r>
      <w:proofErr w:type="spellStart"/>
      <w:r w:rsidRPr="0039071B">
        <w:rPr>
          <w:sz w:val="16"/>
          <w:szCs w:val="16"/>
        </w:rPr>
        <w:t>Pg</w:t>
      </w:r>
      <w:proofErr w:type="spellEnd"/>
      <w:r w:rsidRPr="0039071B">
        <w:rPr>
          <w:sz w:val="16"/>
          <w:szCs w:val="16"/>
        </w:rPr>
        <w:t xml:space="preserve"> 27</w:t>
      </w:r>
    </w:p>
  </w:footnote>
  <w:footnote w:id="15">
    <w:p w14:paraId="7707B591" w14:textId="77777777" w:rsidR="0039071B" w:rsidRPr="0039071B" w:rsidRDefault="0039071B" w:rsidP="0039071B">
      <w:pPr>
        <w:pStyle w:val="FootnoteText"/>
        <w:rPr>
          <w:sz w:val="16"/>
          <w:szCs w:val="16"/>
        </w:rPr>
      </w:pPr>
      <w:r w:rsidRPr="0039071B">
        <w:rPr>
          <w:rStyle w:val="FootnoteReference"/>
          <w:sz w:val="16"/>
          <w:szCs w:val="16"/>
        </w:rPr>
        <w:footnoteRef/>
      </w:r>
      <w:hyperlink r:id="rId6" w:history="1">
        <w:r w:rsidRPr="0039071B">
          <w:rPr>
            <w:rStyle w:val="Hyperlink"/>
            <w:sz w:val="16"/>
            <w:szCs w:val="16"/>
          </w:rPr>
          <w:t>https://static1.squarespace.com/static/57d898ef8419c2ef50f63405/t/5949a425a5790a3989f7e74e/1497998414103/Family+Court+Survey+report+final+080617.pdf</w:t>
        </w:r>
      </w:hyperlink>
      <w:r w:rsidRPr="0039071B">
        <w:rPr>
          <w:sz w:val="16"/>
          <w:szCs w:val="16"/>
        </w:rPr>
        <w:t xml:space="preserve"> </w:t>
      </w:r>
      <w:proofErr w:type="spellStart"/>
      <w:r w:rsidRPr="0039071B">
        <w:rPr>
          <w:sz w:val="16"/>
          <w:szCs w:val="16"/>
        </w:rPr>
        <w:t>Pg</w:t>
      </w:r>
      <w:proofErr w:type="spellEnd"/>
      <w:r w:rsidRPr="0039071B">
        <w:rPr>
          <w:sz w:val="16"/>
          <w:szCs w:val="16"/>
        </w:rPr>
        <w:t xml:space="preserve"> 18</w:t>
      </w:r>
    </w:p>
  </w:footnote>
  <w:footnote w:id="16">
    <w:p w14:paraId="67151D79" w14:textId="07879E35" w:rsidR="00DB3575" w:rsidRPr="0039071B" w:rsidRDefault="00DB3575">
      <w:pPr>
        <w:pStyle w:val="FootnoteText"/>
        <w:rPr>
          <w:sz w:val="16"/>
          <w:szCs w:val="16"/>
        </w:rPr>
      </w:pPr>
      <w:r w:rsidRPr="0039071B">
        <w:rPr>
          <w:rStyle w:val="FootnoteReference"/>
          <w:sz w:val="16"/>
          <w:szCs w:val="16"/>
        </w:rPr>
        <w:footnoteRef/>
      </w:r>
      <w:hyperlink r:id="rId7" w:history="1">
        <w:r w:rsidRPr="0039071B">
          <w:rPr>
            <w:rStyle w:val="Hyperlink"/>
            <w:sz w:val="16"/>
            <w:szCs w:val="16"/>
          </w:rPr>
          <w:t>https://static1.squarespace.com/static/57d898ef8419c2ef50f63405/t/5a3171c59140b743f5abbe36/1513189837189/Seen+and+not+Heard+Children+in+the+Family+Court+%281%29.pdf</w:t>
        </w:r>
      </w:hyperlink>
      <w:r w:rsidRPr="0039071B">
        <w:rPr>
          <w:sz w:val="16"/>
          <w:szCs w:val="16"/>
        </w:rPr>
        <w:t xml:space="preserve"> </w:t>
      </w:r>
      <w:proofErr w:type="spellStart"/>
      <w:r w:rsidRPr="0039071B">
        <w:rPr>
          <w:sz w:val="16"/>
          <w:szCs w:val="16"/>
        </w:rPr>
        <w:t>Pg</w:t>
      </w:r>
      <w:proofErr w:type="spellEnd"/>
      <w:r w:rsidRPr="0039071B">
        <w:rPr>
          <w:sz w:val="16"/>
          <w:szCs w:val="16"/>
        </w:rPr>
        <w:t xml:space="preserve"> 53</w:t>
      </w:r>
    </w:p>
  </w:footnote>
  <w:footnote w:id="17">
    <w:p w14:paraId="516F72B8" w14:textId="0D004D35" w:rsidR="00DB3575" w:rsidRPr="0039071B" w:rsidRDefault="00DB3575">
      <w:pPr>
        <w:pStyle w:val="FootnoteText"/>
        <w:rPr>
          <w:sz w:val="16"/>
          <w:szCs w:val="16"/>
        </w:rPr>
      </w:pPr>
      <w:r w:rsidRPr="0039071B">
        <w:rPr>
          <w:rStyle w:val="FootnoteReference"/>
          <w:sz w:val="16"/>
          <w:szCs w:val="16"/>
        </w:rPr>
        <w:footnoteRef/>
      </w:r>
      <w:r w:rsidRPr="0039071B">
        <w:rPr>
          <w:sz w:val="16"/>
          <w:szCs w:val="16"/>
        </w:rPr>
        <w:t xml:space="preserve"> Ibid. </w:t>
      </w:r>
      <w:proofErr w:type="spellStart"/>
      <w:r w:rsidRPr="0039071B">
        <w:rPr>
          <w:sz w:val="16"/>
          <w:szCs w:val="16"/>
        </w:rPr>
        <w:t>Pg</w:t>
      </w:r>
      <w:proofErr w:type="spellEnd"/>
      <w:r w:rsidRPr="0039071B">
        <w:rPr>
          <w:sz w:val="16"/>
          <w:szCs w:val="16"/>
        </w:rPr>
        <w:t xml:space="preserve"> 6</w:t>
      </w:r>
    </w:p>
  </w:footnote>
  <w:footnote w:id="18">
    <w:p w14:paraId="496BD51E" w14:textId="016C5AED" w:rsidR="00444181" w:rsidRPr="0039071B" w:rsidRDefault="00444181" w:rsidP="00444181">
      <w:pPr>
        <w:pStyle w:val="FootnoteText"/>
        <w:rPr>
          <w:sz w:val="16"/>
          <w:szCs w:val="16"/>
        </w:rPr>
      </w:pPr>
      <w:r w:rsidRPr="0039071B">
        <w:rPr>
          <w:rStyle w:val="FootnoteReference"/>
          <w:sz w:val="16"/>
          <w:szCs w:val="16"/>
        </w:rPr>
        <w:footnoteRef/>
      </w:r>
      <w:hyperlink r:id="rId8" w:history="1">
        <w:r w:rsidR="0039071B" w:rsidRPr="000D4499">
          <w:rPr>
            <w:rStyle w:val="Hyperlink"/>
            <w:sz w:val="16"/>
            <w:szCs w:val="16"/>
          </w:rPr>
          <w:t>https://static1.squarespace.com/static/57d898ef8419c2ef50f63405/t/5949a425a5790a3989f7e74e/1497998414103/Family+Court+Survey+report+final+080617.pdf</w:t>
        </w:r>
      </w:hyperlink>
      <w:r w:rsidR="0039071B" w:rsidRPr="0039071B">
        <w:rPr>
          <w:sz w:val="16"/>
          <w:szCs w:val="16"/>
        </w:rPr>
        <w:t xml:space="preserve"> Figure 12 </w:t>
      </w:r>
      <w:proofErr w:type="spellStart"/>
      <w:r w:rsidR="0039071B" w:rsidRPr="0039071B">
        <w:rPr>
          <w:sz w:val="16"/>
          <w:szCs w:val="16"/>
        </w:rPr>
        <w:t>Pg</w:t>
      </w:r>
      <w:proofErr w:type="spellEnd"/>
      <w:r w:rsidR="0039071B" w:rsidRPr="0039071B">
        <w:rPr>
          <w:sz w:val="16"/>
          <w:szCs w:val="16"/>
        </w:rPr>
        <w:t xml:space="preserve"> 23</w:t>
      </w:r>
    </w:p>
  </w:footnote>
  <w:footnote w:id="19">
    <w:p w14:paraId="25E594B9" w14:textId="1C12C95C" w:rsidR="000D6CAA" w:rsidRPr="000D6CAA" w:rsidRDefault="000D6CAA">
      <w:pPr>
        <w:pStyle w:val="FootnoteText"/>
        <w:rPr>
          <w:sz w:val="16"/>
          <w:szCs w:val="16"/>
        </w:rPr>
      </w:pPr>
      <w:r w:rsidRPr="000D6CAA">
        <w:rPr>
          <w:rStyle w:val="FootnoteReference"/>
          <w:sz w:val="16"/>
          <w:szCs w:val="16"/>
        </w:rPr>
        <w:footnoteRef/>
      </w:r>
      <w:r w:rsidRPr="000D6CAA">
        <w:rPr>
          <w:sz w:val="16"/>
          <w:szCs w:val="16"/>
        </w:rPr>
        <w:t xml:space="preserve"> The video at this link shows the manner in which many of these Police uplifts are conducted </w:t>
      </w:r>
      <w:hyperlink r:id="rId9" w:history="1">
        <w:r w:rsidRPr="000D6CAA">
          <w:rPr>
            <w:rStyle w:val="Hyperlink"/>
            <w:sz w:val="16"/>
            <w:szCs w:val="16"/>
          </w:rPr>
          <w:t>https://www.newsroom.co.nz/2017/08/07/41459/taken-by-the-state</w:t>
        </w:r>
      </w:hyperlink>
      <w:r w:rsidRPr="000D6CAA">
        <w:rPr>
          <w:sz w:val="16"/>
          <w:szCs w:val="16"/>
        </w:rPr>
        <w:t xml:space="preserve"> </w:t>
      </w:r>
      <w:r w:rsidR="00C16513">
        <w:rPr>
          <w:sz w:val="16"/>
          <w:szCs w:val="16"/>
        </w:rPr>
        <w:t xml:space="preserve"> and the context is found at </w:t>
      </w:r>
      <w:hyperlink r:id="rId10" w:history="1">
        <w:r w:rsidR="00C16513" w:rsidRPr="000D4499">
          <w:rPr>
            <w:rStyle w:val="Hyperlink"/>
            <w:sz w:val="16"/>
            <w:szCs w:val="16"/>
          </w:rPr>
          <w:t>https://www.newsroom.co.nz/2017/08/07/41512/the-legislation-behind-uplifting-children</w:t>
        </w:r>
      </w:hyperlink>
      <w:r w:rsidR="00C16513">
        <w:rPr>
          <w:sz w:val="16"/>
          <w:szCs w:val="16"/>
        </w:rPr>
        <w:t xml:space="preserve"> </w:t>
      </w:r>
    </w:p>
  </w:footnote>
  <w:footnote w:id="20">
    <w:p w14:paraId="4787E01D" w14:textId="5C1C817E" w:rsidR="00DB3575" w:rsidRDefault="00DB3575">
      <w:pPr>
        <w:pStyle w:val="FootnoteText"/>
      </w:pPr>
      <w:r w:rsidRPr="0039071B">
        <w:rPr>
          <w:rStyle w:val="FootnoteReference"/>
          <w:sz w:val="16"/>
          <w:szCs w:val="16"/>
        </w:rPr>
        <w:footnoteRef/>
      </w:r>
      <w:hyperlink r:id="rId11" w:history="1">
        <w:r w:rsidR="0039071B" w:rsidRPr="0039071B">
          <w:rPr>
            <w:rStyle w:val="Hyperlink"/>
            <w:sz w:val="16"/>
            <w:szCs w:val="16"/>
          </w:rPr>
          <w:t>https://static1.squarespace.com/static/57d898ef8419c2ef50f63405/t/5a3171c59140b743f5abbe36/1513189837189/Seen+and+not+Heard+Children+in+the+Family+Court+%281%29.pdf</w:t>
        </w:r>
      </w:hyperlink>
      <w:r w:rsidRPr="0039071B">
        <w:rPr>
          <w:sz w:val="16"/>
          <w:szCs w:val="16"/>
        </w:rPr>
        <w:t xml:space="preserve"> </w:t>
      </w:r>
      <w:proofErr w:type="spellStart"/>
      <w:r w:rsidRPr="0039071B">
        <w:rPr>
          <w:sz w:val="16"/>
          <w:szCs w:val="16"/>
        </w:rPr>
        <w:t>Pg</w:t>
      </w:r>
      <w:proofErr w:type="spellEnd"/>
      <w:r w:rsidRPr="0039071B">
        <w:rPr>
          <w:sz w:val="16"/>
          <w:szCs w:val="16"/>
        </w:rPr>
        <w:t xml:space="preserve">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335"/>
    <w:multiLevelType w:val="hybridMultilevel"/>
    <w:tmpl w:val="91B40E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34978D3"/>
    <w:multiLevelType w:val="hybridMultilevel"/>
    <w:tmpl w:val="F59E7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D83564"/>
    <w:multiLevelType w:val="hybridMultilevel"/>
    <w:tmpl w:val="DB246F9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C3433FA"/>
    <w:multiLevelType w:val="hybridMultilevel"/>
    <w:tmpl w:val="7EC24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7385887"/>
    <w:multiLevelType w:val="hybridMultilevel"/>
    <w:tmpl w:val="9EDCEE1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B005EA3"/>
    <w:multiLevelType w:val="hybridMultilevel"/>
    <w:tmpl w:val="B82AB9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C43618"/>
    <w:multiLevelType w:val="hybridMultilevel"/>
    <w:tmpl w:val="F0F207D8"/>
    <w:lvl w:ilvl="0" w:tplc="49B06D02">
      <w:start w:val="1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75F5578"/>
    <w:multiLevelType w:val="hybridMultilevel"/>
    <w:tmpl w:val="A5C041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8C26261"/>
    <w:multiLevelType w:val="hybridMultilevel"/>
    <w:tmpl w:val="E64EE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C725587"/>
    <w:multiLevelType w:val="hybridMultilevel"/>
    <w:tmpl w:val="14B6104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6ED835BC"/>
    <w:multiLevelType w:val="hybridMultilevel"/>
    <w:tmpl w:val="66EE50E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125F83"/>
    <w:multiLevelType w:val="hybridMultilevel"/>
    <w:tmpl w:val="14B6104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6BD0AA3"/>
    <w:multiLevelType w:val="hybridMultilevel"/>
    <w:tmpl w:val="76F866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F4C506A"/>
    <w:multiLevelType w:val="hybridMultilevel"/>
    <w:tmpl w:val="379CDE5C"/>
    <w:lvl w:ilvl="0" w:tplc="59963A04">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3"/>
  </w:num>
  <w:num w:numId="5">
    <w:abstractNumId w:val="0"/>
  </w:num>
  <w:num w:numId="6">
    <w:abstractNumId w:val="10"/>
  </w:num>
  <w:num w:numId="7">
    <w:abstractNumId w:val="1"/>
  </w:num>
  <w:num w:numId="8">
    <w:abstractNumId w:val="8"/>
  </w:num>
  <w:num w:numId="9">
    <w:abstractNumId w:val="12"/>
  </w:num>
  <w:num w:numId="10">
    <w:abstractNumId w:val="7"/>
  </w:num>
  <w:num w:numId="11">
    <w:abstractNumId w:val="9"/>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1F"/>
    <w:rsid w:val="000430F7"/>
    <w:rsid w:val="000D62C0"/>
    <w:rsid w:val="000D6CAA"/>
    <w:rsid w:val="00106E87"/>
    <w:rsid w:val="001370E6"/>
    <w:rsid w:val="00141C87"/>
    <w:rsid w:val="00152780"/>
    <w:rsid w:val="00180AAD"/>
    <w:rsid w:val="00215249"/>
    <w:rsid w:val="0021659D"/>
    <w:rsid w:val="002542DD"/>
    <w:rsid w:val="00262330"/>
    <w:rsid w:val="002734E2"/>
    <w:rsid w:val="002C5AA0"/>
    <w:rsid w:val="00357AF5"/>
    <w:rsid w:val="00364F23"/>
    <w:rsid w:val="00386C5D"/>
    <w:rsid w:val="0039071B"/>
    <w:rsid w:val="003D1B0A"/>
    <w:rsid w:val="00403E84"/>
    <w:rsid w:val="0042481F"/>
    <w:rsid w:val="00444181"/>
    <w:rsid w:val="00457F71"/>
    <w:rsid w:val="004842A5"/>
    <w:rsid w:val="004B3A0C"/>
    <w:rsid w:val="004C37E4"/>
    <w:rsid w:val="004E690C"/>
    <w:rsid w:val="005C5379"/>
    <w:rsid w:val="00635D24"/>
    <w:rsid w:val="00656793"/>
    <w:rsid w:val="0067709A"/>
    <w:rsid w:val="006838CC"/>
    <w:rsid w:val="006B7FC8"/>
    <w:rsid w:val="006F270B"/>
    <w:rsid w:val="00725DC2"/>
    <w:rsid w:val="007427EB"/>
    <w:rsid w:val="00781CFD"/>
    <w:rsid w:val="007951CF"/>
    <w:rsid w:val="007B0A33"/>
    <w:rsid w:val="007B6FAB"/>
    <w:rsid w:val="00847947"/>
    <w:rsid w:val="008A3EDC"/>
    <w:rsid w:val="00944267"/>
    <w:rsid w:val="009A2803"/>
    <w:rsid w:val="00A26DD8"/>
    <w:rsid w:val="00AF1388"/>
    <w:rsid w:val="00B26BAD"/>
    <w:rsid w:val="00B9784E"/>
    <w:rsid w:val="00BE726F"/>
    <w:rsid w:val="00C16513"/>
    <w:rsid w:val="00C45702"/>
    <w:rsid w:val="00CA7B0A"/>
    <w:rsid w:val="00CC1233"/>
    <w:rsid w:val="00DB3575"/>
    <w:rsid w:val="00E0711C"/>
    <w:rsid w:val="00E60E78"/>
    <w:rsid w:val="00EF28D1"/>
    <w:rsid w:val="00F23915"/>
    <w:rsid w:val="00FD32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268D"/>
  <w15:chartTrackingRefBased/>
  <w15:docId w15:val="{CE55A408-BAAE-49D4-8CEC-2E4742A7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370E6"/>
    <w:pPr>
      <w:ind w:left="720"/>
      <w:contextualSpacing/>
    </w:pPr>
  </w:style>
  <w:style w:type="character" w:customStyle="1" w:styleId="ListParagraphChar">
    <w:name w:val="List Paragraph Char"/>
    <w:link w:val="ListParagraph"/>
    <w:uiPriority w:val="34"/>
    <w:locked/>
    <w:rsid w:val="001370E6"/>
  </w:style>
  <w:style w:type="character" w:styleId="FootnoteReference">
    <w:name w:val="footnote reference"/>
    <w:aliases w:val="4_G"/>
    <w:basedOn w:val="DefaultParagraphFont"/>
    <w:uiPriority w:val="99"/>
    <w:unhideWhenUsed/>
    <w:rsid w:val="00E60E78"/>
    <w:rPr>
      <w:vertAlign w:val="superscript"/>
    </w:rPr>
  </w:style>
  <w:style w:type="paragraph" w:styleId="FootnoteText">
    <w:name w:val="footnote text"/>
    <w:aliases w:val="5_G"/>
    <w:basedOn w:val="Normal"/>
    <w:link w:val="FootnoteTextChar"/>
    <w:uiPriority w:val="99"/>
    <w:unhideWhenUsed/>
    <w:qFormat/>
    <w:rsid w:val="002C5AA0"/>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C5AA0"/>
    <w:rPr>
      <w:sz w:val="20"/>
      <w:szCs w:val="20"/>
    </w:rPr>
  </w:style>
  <w:style w:type="character" w:styleId="Hyperlink">
    <w:name w:val="Hyperlink"/>
    <w:basedOn w:val="DefaultParagraphFont"/>
    <w:uiPriority w:val="99"/>
    <w:unhideWhenUsed/>
    <w:rsid w:val="00152780"/>
    <w:rPr>
      <w:color w:val="0563C1" w:themeColor="hyperlink"/>
      <w:u w:val="single"/>
    </w:rPr>
  </w:style>
  <w:style w:type="character" w:styleId="UnresolvedMention">
    <w:name w:val="Unresolved Mention"/>
    <w:basedOn w:val="DefaultParagraphFont"/>
    <w:uiPriority w:val="99"/>
    <w:semiHidden/>
    <w:unhideWhenUsed/>
    <w:rsid w:val="000D62C0"/>
    <w:rPr>
      <w:color w:val="605E5C"/>
      <w:shd w:val="clear" w:color="auto" w:fill="E1DFDD"/>
    </w:rPr>
  </w:style>
  <w:style w:type="character" w:styleId="CommentReference">
    <w:name w:val="annotation reference"/>
    <w:basedOn w:val="DefaultParagraphFont"/>
    <w:uiPriority w:val="99"/>
    <w:semiHidden/>
    <w:unhideWhenUsed/>
    <w:rsid w:val="006F270B"/>
    <w:rPr>
      <w:sz w:val="16"/>
      <w:szCs w:val="16"/>
    </w:rPr>
  </w:style>
  <w:style w:type="paragraph" w:styleId="CommentText">
    <w:name w:val="annotation text"/>
    <w:basedOn w:val="Normal"/>
    <w:link w:val="CommentTextChar"/>
    <w:uiPriority w:val="99"/>
    <w:semiHidden/>
    <w:unhideWhenUsed/>
    <w:rsid w:val="006F270B"/>
    <w:pPr>
      <w:spacing w:line="240" w:lineRule="auto"/>
    </w:pPr>
    <w:rPr>
      <w:sz w:val="20"/>
      <w:szCs w:val="20"/>
    </w:rPr>
  </w:style>
  <w:style w:type="character" w:customStyle="1" w:styleId="CommentTextChar">
    <w:name w:val="Comment Text Char"/>
    <w:basedOn w:val="DefaultParagraphFont"/>
    <w:link w:val="CommentText"/>
    <w:uiPriority w:val="99"/>
    <w:semiHidden/>
    <w:rsid w:val="006F270B"/>
    <w:rPr>
      <w:sz w:val="20"/>
      <w:szCs w:val="20"/>
    </w:rPr>
  </w:style>
  <w:style w:type="paragraph" w:styleId="CommentSubject">
    <w:name w:val="annotation subject"/>
    <w:basedOn w:val="CommentText"/>
    <w:next w:val="CommentText"/>
    <w:link w:val="CommentSubjectChar"/>
    <w:uiPriority w:val="99"/>
    <w:semiHidden/>
    <w:unhideWhenUsed/>
    <w:rsid w:val="006F270B"/>
    <w:rPr>
      <w:b/>
      <w:bCs/>
    </w:rPr>
  </w:style>
  <w:style w:type="character" w:customStyle="1" w:styleId="CommentSubjectChar">
    <w:name w:val="Comment Subject Char"/>
    <w:basedOn w:val="CommentTextChar"/>
    <w:link w:val="CommentSubject"/>
    <w:uiPriority w:val="99"/>
    <w:semiHidden/>
    <w:rsid w:val="006F270B"/>
    <w:rPr>
      <w:b/>
      <w:bCs/>
      <w:sz w:val="20"/>
      <w:szCs w:val="20"/>
    </w:rPr>
  </w:style>
  <w:style w:type="paragraph" w:styleId="BalloonText">
    <w:name w:val="Balloon Text"/>
    <w:basedOn w:val="Normal"/>
    <w:link w:val="BalloonTextChar"/>
    <w:uiPriority w:val="99"/>
    <w:semiHidden/>
    <w:unhideWhenUsed/>
    <w:rsid w:val="006F2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th@backbone.org.nz" TargetMode="External"/><Relationship Id="rId4" Type="http://schemas.openxmlformats.org/officeDocument/2006/relationships/settings" Target="settings.xml"/><Relationship Id="rId9" Type="http://schemas.openxmlformats.org/officeDocument/2006/relationships/hyperlink" Target="http://www.backbone.org.n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tatic1.squarespace.com/static/57d898ef8419c2ef50f63405/t/5949a425a5790a3989f7e74e/1497998414103/Family+Court+Survey+report+final+080617.pdf" TargetMode="External"/><Relationship Id="rId3" Type="http://schemas.openxmlformats.org/officeDocument/2006/relationships/hyperlink" Target="https://www.lawcom.govt.nz/sites/default/files/projectAvailableFormats/NZLC%20IP30.pdf" TargetMode="External"/><Relationship Id="rId7" Type="http://schemas.openxmlformats.org/officeDocument/2006/relationships/hyperlink" Target="https://static1.squarespace.com/static/57d898ef8419c2ef50f63405/t/5a3171c59140b743f5abbe36/1513189837189/Seen+and+not+Heard+Children+in+the+Family+Court+%281%29.pdf" TargetMode="External"/><Relationship Id="rId2" Type="http://schemas.openxmlformats.org/officeDocument/2006/relationships/hyperlink" Target="file:///C:/Users/rthh1/Downloads/SDVC+in+Auckland+PVH+Report%20(2).pdf" TargetMode="External"/><Relationship Id="rId1" Type="http://schemas.openxmlformats.org/officeDocument/2006/relationships/hyperlink" Target="https://static1.squarespace.com/static/57d898ef8419c2ef50f63405/t/5a94cc1a9140b78a0a3a5061/1519701025135/Submission+to+Justice+Select+Committee+January+2018.pdf" TargetMode="External"/><Relationship Id="rId6" Type="http://schemas.openxmlformats.org/officeDocument/2006/relationships/hyperlink" Target="https://static1.squarespace.com/static/57d898ef8419c2ef50f63405/t/5949a425a5790a3989f7e74e/1497998414103/Family+Court+Survey+report+final+080617.pdf" TargetMode="External"/><Relationship Id="rId11" Type="http://schemas.openxmlformats.org/officeDocument/2006/relationships/hyperlink" Target="https://static1.squarespace.com/static/57d898ef8419c2ef50f63405/t/5a3171c59140b743f5abbe36/1513189837189/Seen+and+not+Heard+Children+in+the+Family+Court+%281%29.pdf" TargetMode="External"/><Relationship Id="rId5" Type="http://schemas.openxmlformats.org/officeDocument/2006/relationships/hyperlink" Target="https://static1.squarespace.com/static/57d898ef8419c2ef50f63405/t/5a3171c59140b743f5abbe36/1513189837189/Seen+and+not+Heard+Children+in+the+Family+Court+%281%29.pdf" TargetMode="External"/><Relationship Id="rId10" Type="http://schemas.openxmlformats.org/officeDocument/2006/relationships/hyperlink" Target="https://www.newsroom.co.nz/2017/08/07/41512/the-legislation-behind-uplifting-children" TargetMode="External"/><Relationship Id="rId4" Type="http://schemas.openxmlformats.org/officeDocument/2006/relationships/hyperlink" Target="https://static1.squarespace.com/static/57d898ef8419c2ef50f63405/t/5949a425a5790a3989f7e74e/1497998414103/Family+Court+Survey+report+final+080617.pdf" TargetMode="External"/><Relationship Id="rId9" Type="http://schemas.openxmlformats.org/officeDocument/2006/relationships/hyperlink" Target="https://www.newsroom.co.nz/2017/08/07/41459/taken-by-th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2B50-0419-48D0-B334-F5B3D9C3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Herbert</dc:creator>
  <cp:keywords/>
  <dc:description/>
  <cp:lastModifiedBy>Eleanor Vermunt</cp:lastModifiedBy>
  <cp:revision>2</cp:revision>
  <cp:lastPrinted>2018-10-24T23:05:00Z</cp:lastPrinted>
  <dcterms:created xsi:type="dcterms:W3CDTF">2018-10-31T00:51:00Z</dcterms:created>
  <dcterms:modified xsi:type="dcterms:W3CDTF">2018-10-31T00:51:00Z</dcterms:modified>
</cp:coreProperties>
</file>