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4641559"/>
    <w:p w:rsidR="00382C6E" w:rsidRDefault="00844005" w:rsidP="006D7379">
      <w:pPr>
        <w:jc w:val="right"/>
        <w:rPr>
          <w:rFonts w:cs="Arial"/>
          <w:b/>
          <w:bCs/>
          <w:szCs w:val="36"/>
        </w:rPr>
      </w:pPr>
      <w:r>
        <w:rPr>
          <w:rFonts w:cs="Arial"/>
          <w:b/>
          <w:noProof/>
          <w:sz w:val="32"/>
          <w:szCs w:val="32"/>
          <w:lang w:val="en-US" w:eastAsia="en-US"/>
        </w:rPr>
        <mc:AlternateContent>
          <mc:Choice Requires="wps">
            <w:drawing>
              <wp:anchor distT="0" distB="0" distL="114300" distR="114300" simplePos="0" relativeHeight="251661312" behindDoc="0" locked="0" layoutInCell="1" allowOverlap="1" wp14:anchorId="54A0BD95" wp14:editId="3595D445">
                <wp:simplePos x="0" y="0"/>
                <wp:positionH relativeFrom="column">
                  <wp:posOffset>3636645</wp:posOffset>
                </wp:positionH>
                <wp:positionV relativeFrom="paragraph">
                  <wp:posOffset>-241300</wp:posOffset>
                </wp:positionV>
                <wp:extent cx="2839085" cy="196850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839085" cy="196850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B9D68"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286.35pt;margin-top:-19pt;width:223.55pt;height:1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" stroked="f"/>
            </w:pict>
          </mc:Fallback>
        </mc:AlternateContent>
      </w:r>
      <w:bookmarkEnd w:id="0"/>
    </w:p>
    <w:p w:rsidR="00382C6E" w:rsidRDefault="00890E18" w:rsidP="00890E18">
      <w:pPr>
        <w:spacing w:after="200" w:line="276" w:lineRule="auto"/>
        <w:ind w:left="2880"/>
        <w:rPr>
          <w:rFonts w:cs="Arial"/>
          <w:b/>
          <w:bCs/>
          <w:szCs w:val="36"/>
        </w:rPr>
      </w:pPr>
      <w:r>
        <w:rPr>
          <w:noProof/>
          <w:color w:val="0000FF"/>
          <w:lang w:val="en-US" w:eastAsia="en-US"/>
        </w:rPr>
        <w:drawing>
          <wp:inline distT="0" distB="0" distL="0" distR="0" wp14:anchorId="4FFD3E6C" wp14:editId="41508987">
            <wp:extent cx="3674110" cy="1876425"/>
            <wp:effectExtent l="0" t="0" r="2540" b="9525"/>
            <wp:docPr id="4" name="irc_mi" descr="http://static1.squarespace.com/static/55f4c744e4b09ca3c5809339/565194e2e4b0328b44ca74ee/56b0715c42f552d2b806c4cf/1454404031162/NZ+HRC+New+Logo+Fin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squarespace.com/static/55f4c744e4b09ca3c5809339/565194e2e4b0328b44ca74ee/56b0715c42f552d2b806c4cf/1454404031162/NZ+HRC+New+Logo+Final.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4110" cy="1876425"/>
                    </a:xfrm>
                    <a:prstGeom prst="rect">
                      <a:avLst/>
                    </a:prstGeom>
                    <a:noFill/>
                    <a:ln>
                      <a:noFill/>
                    </a:ln>
                  </pic:spPr>
                </pic:pic>
              </a:graphicData>
            </a:graphic>
          </wp:inline>
        </w:drawing>
      </w:r>
    </w:p>
    <w:p w:rsidR="003B7E4C" w:rsidRDefault="003B7E4C" w:rsidP="00382C6E">
      <w:pPr>
        <w:spacing w:after="200" w:line="276" w:lineRule="auto"/>
        <w:rPr>
          <w:rFonts w:cs="Arial"/>
          <w:b/>
          <w:bCs/>
          <w:sz w:val="32"/>
          <w:szCs w:val="32"/>
        </w:rPr>
      </w:pPr>
    </w:p>
    <w:p w:rsidR="00456E7D" w:rsidRDefault="00456E7D" w:rsidP="00382C6E">
      <w:pPr>
        <w:spacing w:after="200" w:line="276" w:lineRule="auto"/>
        <w:rPr>
          <w:rFonts w:cs="Arial"/>
          <w:b/>
          <w:bCs/>
          <w:sz w:val="32"/>
          <w:szCs w:val="32"/>
        </w:rPr>
      </w:pPr>
    </w:p>
    <w:p w:rsidR="00382C6E" w:rsidRPr="00382C6E" w:rsidRDefault="00382C6E" w:rsidP="00382C6E">
      <w:pPr>
        <w:spacing w:after="200" w:line="276" w:lineRule="auto"/>
        <w:rPr>
          <w:rFonts w:cs="Arial"/>
          <w:b/>
          <w:bCs/>
          <w:sz w:val="32"/>
          <w:szCs w:val="32"/>
        </w:rPr>
      </w:pPr>
      <w:r w:rsidRPr="00382C6E">
        <w:rPr>
          <w:rFonts w:cs="Arial"/>
          <w:b/>
          <w:bCs/>
          <w:sz w:val="32"/>
          <w:szCs w:val="32"/>
        </w:rPr>
        <w:t xml:space="preserve">Human Rights Commission </w:t>
      </w:r>
    </w:p>
    <w:p w:rsidR="00382C6E" w:rsidRPr="00382C6E" w:rsidRDefault="00382C6E" w:rsidP="00382C6E">
      <w:pPr>
        <w:spacing w:after="200" w:line="276" w:lineRule="auto"/>
        <w:rPr>
          <w:rFonts w:cs="Arial"/>
          <w:b/>
          <w:sz w:val="32"/>
          <w:szCs w:val="32"/>
          <w:lang w:val="en-NZ"/>
        </w:rPr>
      </w:pPr>
      <w:r w:rsidRPr="00382C6E">
        <w:rPr>
          <w:rFonts w:cs="Arial"/>
          <w:b/>
          <w:bCs/>
          <w:sz w:val="32"/>
          <w:szCs w:val="32"/>
        </w:rPr>
        <w:t>Te Kāhui Tika Tangata</w:t>
      </w:r>
    </w:p>
    <w:p w:rsidR="00382C6E" w:rsidRPr="00382C6E" w:rsidRDefault="00382C6E" w:rsidP="00382C6E">
      <w:pPr>
        <w:spacing w:after="200" w:line="276" w:lineRule="auto"/>
        <w:rPr>
          <w:rFonts w:cs="Arial"/>
          <w:b/>
          <w:sz w:val="32"/>
          <w:szCs w:val="32"/>
          <w:lang w:val="en-NZ"/>
        </w:rPr>
      </w:pPr>
      <w:r w:rsidRPr="00382C6E">
        <w:rPr>
          <w:rFonts w:cs="Arial"/>
          <w:b/>
          <w:sz w:val="32"/>
          <w:szCs w:val="32"/>
          <w:lang w:val="en-NZ"/>
        </w:rPr>
        <w:t>Statement of Performance Expectations</w:t>
      </w:r>
      <w:r w:rsidR="004E585C">
        <w:rPr>
          <w:rFonts w:cs="Arial"/>
          <w:b/>
          <w:sz w:val="32"/>
          <w:szCs w:val="32"/>
          <w:lang w:val="en-NZ"/>
        </w:rPr>
        <w:t xml:space="preserve"> (SPE)</w:t>
      </w:r>
      <w:bookmarkStart w:id="1" w:name="_GoBack"/>
      <w:bookmarkEnd w:id="1"/>
    </w:p>
    <w:p w:rsidR="004F0774" w:rsidRDefault="00382C6E" w:rsidP="00382C6E">
      <w:pPr>
        <w:spacing w:after="200" w:line="276" w:lineRule="auto"/>
        <w:rPr>
          <w:rFonts w:cs="Arial"/>
          <w:b/>
          <w:sz w:val="32"/>
          <w:szCs w:val="32"/>
        </w:rPr>
      </w:pPr>
      <w:r w:rsidRPr="00382C6E">
        <w:rPr>
          <w:rFonts w:cs="Arial"/>
          <w:b/>
          <w:sz w:val="32"/>
          <w:szCs w:val="32"/>
          <w:lang w:val="en-NZ"/>
        </w:rPr>
        <w:t>2016/17</w:t>
      </w:r>
      <w:r w:rsidR="00554170">
        <w:rPr>
          <w:rFonts w:cs="Arial"/>
          <w:b/>
          <w:sz w:val="32"/>
          <w:szCs w:val="32"/>
          <w:lang w:val="en-NZ"/>
        </w:rPr>
        <w:t xml:space="preserve"> - </w:t>
      </w:r>
      <w:r w:rsidRPr="00382C6E">
        <w:rPr>
          <w:rFonts w:cs="Arial"/>
          <w:b/>
          <w:sz w:val="32"/>
          <w:szCs w:val="32"/>
          <w:lang w:val="en-NZ"/>
        </w:rPr>
        <w:t>2019/20</w:t>
      </w:r>
      <w:r w:rsidRPr="00382C6E">
        <w:rPr>
          <w:rFonts w:cs="Arial"/>
          <w:b/>
          <w:sz w:val="32"/>
          <w:szCs w:val="32"/>
        </w:rPr>
        <w:tab/>
      </w:r>
    </w:p>
    <w:p w:rsidR="00382C6E" w:rsidRPr="006D1485" w:rsidRDefault="00382C6E" w:rsidP="00382C6E">
      <w:pPr>
        <w:spacing w:after="200" w:line="276" w:lineRule="auto"/>
        <w:rPr>
          <w:rFonts w:eastAsiaTheme="majorEastAsia" w:cs="Arial"/>
          <w:bCs/>
          <w:sz w:val="28"/>
          <w:szCs w:val="28"/>
          <w:lang w:val="en-NZ"/>
        </w:rPr>
      </w:pPr>
      <w:r w:rsidRPr="006D1485">
        <w:rPr>
          <w:rFonts w:cs="Arial"/>
          <w:sz w:val="28"/>
          <w:szCs w:val="28"/>
          <w:lang w:val="en-NZ"/>
        </w:rPr>
        <w:tab/>
      </w:r>
      <w:r w:rsidRPr="006D1485">
        <w:rPr>
          <w:rFonts w:cs="Arial"/>
          <w:sz w:val="28"/>
          <w:szCs w:val="28"/>
          <w:lang w:val="en-NZ"/>
        </w:rPr>
        <w:br w:type="page"/>
      </w:r>
    </w:p>
    <w:p w:rsidR="00B546E2" w:rsidRPr="00F01879" w:rsidRDefault="00B546E2" w:rsidP="00B546E2">
      <w:pPr>
        <w:pStyle w:val="Heading1"/>
        <w:rPr>
          <w:rFonts w:cs="Arial"/>
          <w:color w:val="auto"/>
          <w:szCs w:val="36"/>
          <w:lang w:val="en-NZ"/>
        </w:rPr>
      </w:pPr>
      <w:r w:rsidRPr="00C5621C">
        <w:rPr>
          <w:rFonts w:cs="Arial"/>
          <w:color w:val="auto"/>
          <w:szCs w:val="36"/>
          <w:lang w:val="en-NZ"/>
        </w:rPr>
        <w:lastRenderedPageBreak/>
        <w:t>Contents</w:t>
      </w:r>
    </w:p>
    <w:p w:rsidR="001602FB" w:rsidRDefault="00B546E2" w:rsidP="00B546E2">
      <w:pPr>
        <w:rPr>
          <w:lang w:val="en-NZ"/>
        </w:rPr>
      </w:pPr>
      <w:r>
        <w:rPr>
          <w:lang w:val="en-NZ"/>
        </w:rPr>
        <w:t>Introduction</w:t>
      </w:r>
      <w:r w:rsidR="002718A0">
        <w:rPr>
          <w:lang w:val="en-NZ"/>
        </w:rPr>
        <w:tab/>
      </w:r>
      <w:r w:rsidR="002718A0">
        <w:rPr>
          <w:lang w:val="en-NZ"/>
        </w:rPr>
        <w:tab/>
      </w:r>
      <w:r w:rsidR="002718A0">
        <w:rPr>
          <w:lang w:val="en-NZ"/>
        </w:rPr>
        <w:tab/>
      </w:r>
      <w:r w:rsidR="002718A0">
        <w:rPr>
          <w:lang w:val="en-NZ"/>
        </w:rPr>
        <w:tab/>
      </w:r>
      <w:r w:rsidR="002718A0">
        <w:rPr>
          <w:lang w:val="en-NZ"/>
        </w:rPr>
        <w:tab/>
      </w:r>
      <w:r w:rsidR="002718A0">
        <w:rPr>
          <w:lang w:val="en-NZ"/>
        </w:rPr>
        <w:tab/>
      </w:r>
      <w:r w:rsidR="002718A0">
        <w:rPr>
          <w:lang w:val="en-NZ"/>
        </w:rPr>
        <w:tab/>
      </w:r>
      <w:r w:rsidR="002718A0">
        <w:rPr>
          <w:lang w:val="en-NZ"/>
        </w:rPr>
        <w:tab/>
      </w:r>
      <w:r w:rsidR="002718A0">
        <w:rPr>
          <w:lang w:val="en-NZ"/>
        </w:rPr>
        <w:tab/>
      </w:r>
      <w:r w:rsidR="002718A0">
        <w:rPr>
          <w:lang w:val="en-NZ"/>
        </w:rPr>
        <w:tab/>
      </w:r>
      <w:r w:rsidR="002718A0">
        <w:rPr>
          <w:lang w:val="en-NZ"/>
        </w:rPr>
        <w:tab/>
        <w:t>3</w:t>
      </w:r>
    </w:p>
    <w:p w:rsidR="001602FB" w:rsidRDefault="00B546E2" w:rsidP="00B546E2">
      <w:pPr>
        <w:rPr>
          <w:rFonts w:cs="Arial"/>
          <w:szCs w:val="36"/>
          <w:lang w:val="en-NZ"/>
        </w:rPr>
      </w:pPr>
      <w:r>
        <w:rPr>
          <w:rFonts w:cs="Arial"/>
          <w:szCs w:val="36"/>
          <w:lang w:val="en-NZ"/>
        </w:rPr>
        <w:t>Output activities for 201</w:t>
      </w:r>
      <w:r w:rsidR="00B052FF">
        <w:rPr>
          <w:rFonts w:cs="Arial"/>
          <w:szCs w:val="36"/>
          <w:lang w:val="en-NZ"/>
        </w:rPr>
        <w:t>6</w:t>
      </w:r>
      <w:r>
        <w:rPr>
          <w:rFonts w:cs="Arial"/>
          <w:szCs w:val="36"/>
          <w:lang w:val="en-NZ"/>
        </w:rPr>
        <w:t>/1</w:t>
      </w:r>
      <w:r w:rsidR="00B052FF">
        <w:rPr>
          <w:rFonts w:cs="Arial"/>
          <w:szCs w:val="36"/>
          <w:lang w:val="en-NZ"/>
        </w:rPr>
        <w:t>7</w:t>
      </w:r>
      <w:r>
        <w:rPr>
          <w:rFonts w:cs="Arial"/>
          <w:szCs w:val="36"/>
          <w:lang w:val="en-NZ"/>
        </w:rPr>
        <w:t xml:space="preserve"> and Out</w:t>
      </w:r>
      <w:r w:rsidR="00EC75DD">
        <w:rPr>
          <w:rFonts w:cs="Arial"/>
          <w:szCs w:val="36"/>
          <w:lang w:val="en-NZ"/>
        </w:rPr>
        <w:t>-</w:t>
      </w:r>
      <w:r>
        <w:rPr>
          <w:rFonts w:cs="Arial"/>
          <w:szCs w:val="36"/>
          <w:lang w:val="en-NZ"/>
        </w:rPr>
        <w:t>years</w:t>
      </w:r>
      <w:r w:rsidR="001602FB">
        <w:rPr>
          <w:rFonts w:cs="Arial"/>
          <w:szCs w:val="36"/>
          <w:lang w:val="en-NZ"/>
        </w:rPr>
        <w:tab/>
      </w:r>
      <w:r w:rsidR="001602FB">
        <w:rPr>
          <w:rFonts w:cs="Arial"/>
          <w:szCs w:val="36"/>
          <w:lang w:val="en-NZ"/>
        </w:rPr>
        <w:tab/>
      </w:r>
      <w:r w:rsidR="001602FB">
        <w:rPr>
          <w:rFonts w:cs="Arial"/>
          <w:szCs w:val="36"/>
          <w:lang w:val="en-NZ"/>
        </w:rPr>
        <w:tab/>
      </w:r>
      <w:r w:rsidR="001602FB">
        <w:rPr>
          <w:rFonts w:cs="Arial"/>
          <w:szCs w:val="36"/>
          <w:lang w:val="en-NZ"/>
        </w:rPr>
        <w:tab/>
      </w:r>
      <w:r w:rsidR="001602FB">
        <w:rPr>
          <w:rFonts w:cs="Arial"/>
          <w:szCs w:val="36"/>
          <w:lang w:val="en-NZ"/>
        </w:rPr>
        <w:tab/>
      </w:r>
      <w:r w:rsidR="001602FB">
        <w:rPr>
          <w:rFonts w:cs="Arial"/>
          <w:szCs w:val="36"/>
          <w:lang w:val="en-NZ"/>
        </w:rPr>
        <w:tab/>
      </w:r>
      <w:r w:rsidR="002718A0">
        <w:rPr>
          <w:rFonts w:cs="Arial"/>
          <w:szCs w:val="36"/>
          <w:lang w:val="en-NZ"/>
        </w:rPr>
        <w:t>4</w:t>
      </w:r>
    </w:p>
    <w:p w:rsidR="00B546E2" w:rsidRDefault="00B546E2" w:rsidP="00B546E2">
      <w:pPr>
        <w:rPr>
          <w:rFonts w:cs="Arial"/>
          <w:szCs w:val="36"/>
          <w:lang w:val="en-NZ"/>
        </w:rPr>
      </w:pPr>
      <w:r>
        <w:rPr>
          <w:rFonts w:cs="Arial"/>
          <w:szCs w:val="36"/>
          <w:lang w:val="en-NZ"/>
        </w:rPr>
        <w:t>Summary of Output and Output Expenses for 201</w:t>
      </w:r>
      <w:r w:rsidR="00B052FF">
        <w:rPr>
          <w:rFonts w:cs="Arial"/>
          <w:szCs w:val="36"/>
          <w:lang w:val="en-NZ"/>
        </w:rPr>
        <w:t>6/17</w:t>
      </w:r>
      <w:r w:rsidR="001602FB">
        <w:rPr>
          <w:rFonts w:cs="Arial"/>
          <w:szCs w:val="36"/>
          <w:lang w:val="en-NZ"/>
        </w:rPr>
        <w:tab/>
      </w:r>
      <w:r w:rsidR="001602FB">
        <w:rPr>
          <w:rFonts w:cs="Arial"/>
          <w:szCs w:val="36"/>
          <w:lang w:val="en-NZ"/>
        </w:rPr>
        <w:tab/>
      </w:r>
      <w:r w:rsidR="001602FB">
        <w:rPr>
          <w:rFonts w:cs="Arial"/>
          <w:szCs w:val="36"/>
          <w:lang w:val="en-NZ"/>
        </w:rPr>
        <w:tab/>
      </w:r>
      <w:r w:rsidR="001602FB">
        <w:rPr>
          <w:rFonts w:cs="Arial"/>
          <w:szCs w:val="36"/>
          <w:lang w:val="en-NZ"/>
        </w:rPr>
        <w:tab/>
      </w:r>
      <w:r w:rsidR="001602FB">
        <w:rPr>
          <w:rFonts w:cs="Arial"/>
          <w:szCs w:val="36"/>
          <w:lang w:val="en-NZ"/>
        </w:rPr>
        <w:tab/>
      </w:r>
      <w:r w:rsidR="00BF04EA">
        <w:rPr>
          <w:rFonts w:cs="Arial"/>
          <w:szCs w:val="36"/>
          <w:lang w:val="en-NZ"/>
        </w:rPr>
        <w:t>7</w:t>
      </w:r>
    </w:p>
    <w:p w:rsidR="00B546E2" w:rsidRDefault="00B546E2" w:rsidP="00B546E2">
      <w:pPr>
        <w:rPr>
          <w:rFonts w:cs="Arial"/>
          <w:szCs w:val="36"/>
          <w:lang w:val="en-NZ"/>
        </w:rPr>
      </w:pPr>
      <w:r>
        <w:rPr>
          <w:rFonts w:cs="Arial"/>
          <w:szCs w:val="36"/>
          <w:lang w:val="en-NZ"/>
        </w:rPr>
        <w:t>Forecast Service Performance 2016</w:t>
      </w:r>
      <w:r w:rsidR="00B052FF">
        <w:rPr>
          <w:rFonts w:cs="Arial"/>
          <w:szCs w:val="36"/>
          <w:lang w:val="en-NZ"/>
        </w:rPr>
        <w:t>/17</w:t>
      </w:r>
      <w:r w:rsidR="001602FB">
        <w:rPr>
          <w:rFonts w:cs="Arial"/>
          <w:szCs w:val="36"/>
          <w:lang w:val="en-NZ"/>
        </w:rPr>
        <w:tab/>
      </w:r>
      <w:r w:rsidR="001602FB">
        <w:rPr>
          <w:rFonts w:cs="Arial"/>
          <w:szCs w:val="36"/>
          <w:lang w:val="en-NZ"/>
        </w:rPr>
        <w:tab/>
      </w:r>
      <w:r w:rsidR="001602FB">
        <w:rPr>
          <w:rFonts w:cs="Arial"/>
          <w:szCs w:val="36"/>
          <w:lang w:val="en-NZ"/>
        </w:rPr>
        <w:tab/>
      </w:r>
      <w:r w:rsidR="001602FB">
        <w:rPr>
          <w:rFonts w:cs="Arial"/>
          <w:szCs w:val="36"/>
          <w:lang w:val="en-NZ"/>
        </w:rPr>
        <w:tab/>
      </w:r>
      <w:r w:rsidR="001602FB">
        <w:rPr>
          <w:rFonts w:cs="Arial"/>
          <w:szCs w:val="36"/>
          <w:lang w:val="en-NZ"/>
        </w:rPr>
        <w:tab/>
      </w:r>
      <w:r w:rsidR="001602FB">
        <w:rPr>
          <w:rFonts w:cs="Arial"/>
          <w:szCs w:val="36"/>
          <w:lang w:val="en-NZ"/>
        </w:rPr>
        <w:tab/>
      </w:r>
      <w:r w:rsidR="001602FB">
        <w:rPr>
          <w:rFonts w:cs="Arial"/>
          <w:szCs w:val="36"/>
          <w:lang w:val="en-NZ"/>
        </w:rPr>
        <w:tab/>
      </w:r>
      <w:r w:rsidR="00BF04EA">
        <w:rPr>
          <w:rFonts w:cs="Arial"/>
          <w:szCs w:val="36"/>
          <w:lang w:val="en-NZ"/>
        </w:rPr>
        <w:t>8</w:t>
      </w:r>
    </w:p>
    <w:p w:rsidR="00B546E2" w:rsidRPr="00EA2B41" w:rsidRDefault="00B546E2" w:rsidP="00B546E2">
      <w:r w:rsidRPr="00EA2B41">
        <w:t>Forecast Financial Statements</w:t>
      </w:r>
      <w:r w:rsidR="00B052FF" w:rsidRPr="00EA2B41">
        <w:t xml:space="preserve"> 20</w:t>
      </w:r>
      <w:r w:rsidRPr="00EA2B41">
        <w:t>16</w:t>
      </w:r>
      <w:r w:rsidR="00B052FF" w:rsidRPr="00EA2B41">
        <w:t xml:space="preserve">/17 – </w:t>
      </w:r>
      <w:r w:rsidRPr="00EA2B41">
        <w:t>2019</w:t>
      </w:r>
      <w:r w:rsidR="00B052FF" w:rsidRPr="00EA2B41">
        <w:t>/20</w:t>
      </w:r>
      <w:r w:rsidR="001602FB" w:rsidRPr="00EA2B41">
        <w:tab/>
      </w:r>
      <w:r w:rsidR="001602FB" w:rsidRPr="00EA2B41">
        <w:tab/>
      </w:r>
      <w:r w:rsidR="001602FB" w:rsidRPr="00EA2B41">
        <w:tab/>
      </w:r>
      <w:r w:rsidR="001602FB" w:rsidRPr="00EA2B41">
        <w:tab/>
      </w:r>
      <w:r w:rsidR="001602FB" w:rsidRPr="00EA2B41">
        <w:tab/>
        <w:t>1</w:t>
      </w:r>
      <w:r w:rsidR="004C5B67">
        <w:t>4</w:t>
      </w:r>
    </w:p>
    <w:p w:rsidR="00B546E2" w:rsidRPr="00EA2B41" w:rsidRDefault="00B546E2" w:rsidP="00B546E2">
      <w:pPr>
        <w:pStyle w:val="ListParagraph"/>
        <w:numPr>
          <w:ilvl w:val="0"/>
          <w:numId w:val="19"/>
        </w:numPr>
        <w:rPr>
          <w:rFonts w:cs="Arial"/>
        </w:rPr>
      </w:pPr>
      <w:r w:rsidRPr="00EA2B41">
        <w:rPr>
          <w:rFonts w:cs="Arial"/>
        </w:rPr>
        <w:t>Forecast Statement of Comprehensive Revenue and Expense</w:t>
      </w:r>
      <w:r w:rsidR="001602FB" w:rsidRPr="00EA2B41">
        <w:rPr>
          <w:rFonts w:cs="Arial"/>
        </w:rPr>
        <w:tab/>
      </w:r>
      <w:r w:rsidR="001602FB" w:rsidRPr="00EA2B41">
        <w:rPr>
          <w:rFonts w:cs="Arial"/>
        </w:rPr>
        <w:tab/>
        <w:t>1</w:t>
      </w:r>
      <w:r w:rsidR="004C5B67">
        <w:rPr>
          <w:rFonts w:cs="Arial"/>
        </w:rPr>
        <w:t>4</w:t>
      </w:r>
    </w:p>
    <w:p w:rsidR="00B546E2" w:rsidRPr="00EA2B41" w:rsidRDefault="00B546E2" w:rsidP="00B546E2">
      <w:pPr>
        <w:pStyle w:val="ListParagraph"/>
        <w:numPr>
          <w:ilvl w:val="0"/>
          <w:numId w:val="19"/>
        </w:numPr>
      </w:pPr>
      <w:r w:rsidRPr="00EA2B41">
        <w:rPr>
          <w:rFonts w:cs="Arial"/>
        </w:rPr>
        <w:t>Forecast Statement of Financial Position</w:t>
      </w:r>
      <w:r w:rsidR="001602FB" w:rsidRPr="00EA2B41">
        <w:rPr>
          <w:rFonts w:cs="Arial"/>
        </w:rPr>
        <w:tab/>
      </w:r>
      <w:r w:rsidR="001602FB" w:rsidRPr="00EA2B41">
        <w:rPr>
          <w:rFonts w:cs="Arial"/>
        </w:rPr>
        <w:tab/>
      </w:r>
      <w:r w:rsidR="001602FB" w:rsidRPr="00EA2B41">
        <w:rPr>
          <w:rFonts w:cs="Arial"/>
        </w:rPr>
        <w:tab/>
      </w:r>
      <w:r w:rsidR="001602FB" w:rsidRPr="00EA2B41">
        <w:rPr>
          <w:rFonts w:cs="Arial"/>
        </w:rPr>
        <w:tab/>
      </w:r>
      <w:r w:rsidR="001602FB" w:rsidRPr="00EA2B41">
        <w:rPr>
          <w:rFonts w:cs="Arial"/>
        </w:rPr>
        <w:tab/>
      </w:r>
      <w:r w:rsidR="001602FB" w:rsidRPr="00EA2B41">
        <w:rPr>
          <w:rFonts w:cs="Arial"/>
        </w:rPr>
        <w:tab/>
        <w:t>1</w:t>
      </w:r>
      <w:r w:rsidR="004C5B67">
        <w:rPr>
          <w:rFonts w:cs="Arial"/>
        </w:rPr>
        <w:t>5</w:t>
      </w:r>
    </w:p>
    <w:p w:rsidR="00B546E2" w:rsidRPr="00EA2B41" w:rsidRDefault="00B546E2" w:rsidP="00B546E2">
      <w:pPr>
        <w:pStyle w:val="ListParagraph"/>
        <w:numPr>
          <w:ilvl w:val="0"/>
          <w:numId w:val="19"/>
        </w:numPr>
      </w:pPr>
      <w:r w:rsidRPr="00EA2B41">
        <w:t>Forecast Statement of Changes in Equity</w:t>
      </w:r>
      <w:r w:rsidR="001602FB" w:rsidRPr="00EA2B41">
        <w:tab/>
      </w:r>
      <w:r w:rsidR="001602FB" w:rsidRPr="00EA2B41">
        <w:tab/>
      </w:r>
      <w:r w:rsidR="001602FB" w:rsidRPr="00EA2B41">
        <w:tab/>
      </w:r>
      <w:r w:rsidR="001602FB" w:rsidRPr="00EA2B41">
        <w:tab/>
      </w:r>
      <w:r w:rsidR="001602FB" w:rsidRPr="00EA2B41">
        <w:tab/>
        <w:t>1</w:t>
      </w:r>
      <w:r w:rsidR="004C5B67">
        <w:t>6</w:t>
      </w:r>
    </w:p>
    <w:p w:rsidR="00B546E2" w:rsidRPr="00EA2B41" w:rsidRDefault="00B546E2" w:rsidP="00B546E2">
      <w:pPr>
        <w:pStyle w:val="ListParagraph"/>
        <w:numPr>
          <w:ilvl w:val="0"/>
          <w:numId w:val="19"/>
        </w:numPr>
      </w:pPr>
      <w:r w:rsidRPr="00EA2B41">
        <w:rPr>
          <w:rFonts w:cs="Arial"/>
        </w:rPr>
        <w:t>Forecast Statement of Cash Flows</w:t>
      </w:r>
      <w:r w:rsidR="001602FB" w:rsidRPr="00EA2B41">
        <w:rPr>
          <w:rFonts w:cs="Arial"/>
        </w:rPr>
        <w:tab/>
      </w:r>
      <w:r w:rsidR="001602FB" w:rsidRPr="00EA2B41">
        <w:rPr>
          <w:rFonts w:cs="Arial"/>
        </w:rPr>
        <w:tab/>
      </w:r>
      <w:r w:rsidR="001602FB" w:rsidRPr="00EA2B41">
        <w:rPr>
          <w:rFonts w:cs="Arial"/>
        </w:rPr>
        <w:tab/>
      </w:r>
      <w:r w:rsidR="001602FB" w:rsidRPr="00EA2B41">
        <w:rPr>
          <w:rFonts w:cs="Arial"/>
        </w:rPr>
        <w:tab/>
      </w:r>
      <w:r w:rsidR="001602FB" w:rsidRPr="00EA2B41">
        <w:rPr>
          <w:rFonts w:cs="Arial"/>
        </w:rPr>
        <w:tab/>
      </w:r>
      <w:r w:rsidR="001602FB" w:rsidRPr="00EA2B41">
        <w:rPr>
          <w:rFonts w:cs="Arial"/>
        </w:rPr>
        <w:tab/>
        <w:t>1</w:t>
      </w:r>
      <w:r w:rsidR="004C5B67">
        <w:rPr>
          <w:rFonts w:cs="Arial"/>
        </w:rPr>
        <w:t>7</w:t>
      </w:r>
    </w:p>
    <w:p w:rsidR="00B546E2" w:rsidRPr="00EA2B41" w:rsidRDefault="00B546E2" w:rsidP="00B546E2">
      <w:pPr>
        <w:pStyle w:val="ListParagraph"/>
        <w:numPr>
          <w:ilvl w:val="0"/>
          <w:numId w:val="19"/>
        </w:numPr>
        <w:rPr>
          <w:rFonts w:cs="Arial"/>
          <w:szCs w:val="36"/>
          <w:lang w:val="en-NZ"/>
        </w:rPr>
      </w:pPr>
      <w:r w:rsidRPr="00EA2B41">
        <w:t>Notes to and forming part of the Forecast Financial Statements</w:t>
      </w:r>
      <w:r w:rsidR="001602FB" w:rsidRPr="00EA2B41">
        <w:tab/>
      </w:r>
      <w:r w:rsidR="001602FB" w:rsidRPr="00EA2B41">
        <w:tab/>
        <w:t>1</w:t>
      </w:r>
      <w:r w:rsidR="004C5B67">
        <w:t>8</w:t>
      </w:r>
    </w:p>
    <w:p w:rsidR="00E91610" w:rsidRDefault="00E91610" w:rsidP="00E91610">
      <w:pPr>
        <w:spacing w:after="0" w:line="240" w:lineRule="auto"/>
        <w:jc w:val="both"/>
        <w:rPr>
          <w:lang w:val="en-NZ"/>
        </w:rPr>
      </w:pPr>
      <w:bookmarkStart w:id="2" w:name="_Toc390680414"/>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Default="00E91610" w:rsidP="00E91610">
      <w:pPr>
        <w:spacing w:after="0" w:line="240" w:lineRule="auto"/>
        <w:jc w:val="both"/>
        <w:rPr>
          <w:lang w:val="en-NZ"/>
        </w:rPr>
      </w:pPr>
    </w:p>
    <w:p w:rsidR="00E91610" w:rsidRPr="00B71C55" w:rsidRDefault="00E91610" w:rsidP="00E91610">
      <w:pPr>
        <w:spacing w:after="0" w:line="240" w:lineRule="auto"/>
        <w:jc w:val="both"/>
        <w:rPr>
          <w:lang w:val="en-NZ"/>
        </w:rPr>
      </w:pPr>
      <w:r w:rsidRPr="00B71C55">
        <w:rPr>
          <w:lang w:val="en-NZ"/>
        </w:rPr>
        <w:t>COPYRIGHT ©</w:t>
      </w:r>
    </w:p>
    <w:p w:rsidR="00E26FC7" w:rsidRDefault="00E91610" w:rsidP="00E91610">
      <w:pPr>
        <w:spacing w:after="0" w:line="240" w:lineRule="auto"/>
        <w:jc w:val="both"/>
        <w:rPr>
          <w:lang w:val="en-NZ"/>
        </w:rPr>
      </w:pPr>
      <w:r w:rsidRPr="00B71C55">
        <w:rPr>
          <w:lang w:val="en-NZ"/>
        </w:rPr>
        <w:t xml:space="preserve">Unless otherwise stated, the information in this Statement of </w:t>
      </w:r>
      <w:r w:rsidR="0051391C">
        <w:rPr>
          <w:lang w:val="en-NZ"/>
        </w:rPr>
        <w:t>Performance Expectations</w:t>
      </w:r>
      <w:r w:rsidRPr="00B71C55">
        <w:rPr>
          <w:lang w:val="en-NZ"/>
        </w:rPr>
        <w:t xml:space="preserve"> is protected by copyright and is subject to the copyright laws</w:t>
      </w:r>
      <w:r>
        <w:rPr>
          <w:lang w:val="en-NZ"/>
        </w:rPr>
        <w:t xml:space="preserve"> </w:t>
      </w:r>
      <w:r w:rsidRPr="00B71C55">
        <w:rPr>
          <w:lang w:val="en-NZ"/>
        </w:rPr>
        <w:t xml:space="preserve">of New Zealand. The information may </w:t>
      </w:r>
      <w:r>
        <w:rPr>
          <w:lang w:val="en-NZ"/>
        </w:rPr>
        <w:t xml:space="preserve">not </w:t>
      </w:r>
      <w:r w:rsidRPr="00B71C55">
        <w:rPr>
          <w:lang w:val="en-NZ"/>
        </w:rPr>
        <w:t>be reproduced without permission</w:t>
      </w:r>
      <w:r>
        <w:rPr>
          <w:lang w:val="en-NZ"/>
        </w:rPr>
        <w:t xml:space="preserve"> from the Human Rights Commission.</w:t>
      </w:r>
    </w:p>
    <w:p w:rsidR="00E91610" w:rsidRPr="00E26FC7" w:rsidRDefault="00E91610" w:rsidP="00E26FC7">
      <w:pPr>
        <w:jc w:val="right"/>
        <w:rPr>
          <w:lang w:val="en-NZ"/>
        </w:rPr>
      </w:pPr>
    </w:p>
    <w:p w:rsidR="00B546E2" w:rsidRPr="008707B7" w:rsidRDefault="00B546E2" w:rsidP="00B546E2">
      <w:pPr>
        <w:pStyle w:val="Heading1"/>
        <w:rPr>
          <w:color w:val="auto"/>
        </w:rPr>
      </w:pPr>
      <w:r w:rsidRPr="00E26FC7">
        <w:br w:type="column"/>
      </w:r>
      <w:r w:rsidRPr="008707B7">
        <w:rPr>
          <w:color w:val="auto"/>
        </w:rPr>
        <w:lastRenderedPageBreak/>
        <w:t>Introduction</w:t>
      </w:r>
      <w:bookmarkEnd w:id="2"/>
    </w:p>
    <w:p w:rsidR="00B546E2" w:rsidRPr="00456E7D" w:rsidRDefault="00B546E2" w:rsidP="00420BD8">
      <w:pPr>
        <w:spacing w:after="120"/>
        <w:jc w:val="both"/>
        <w:rPr>
          <w:rFonts w:cs="Arial"/>
          <w:lang w:val="en-NZ"/>
        </w:rPr>
      </w:pPr>
      <w:r w:rsidRPr="00456E7D">
        <w:rPr>
          <w:rFonts w:cs="Arial"/>
          <w:lang w:val="en-NZ"/>
        </w:rPr>
        <w:t xml:space="preserve">The Human Rights Commission (the Commission) is an Independent Crown Entity pursuant to the Crown Entities Act 2004. It is responsible for advocating and promoting respect for, and an understanding and appreciation of, human rights in New Zealand and encouraging harmonious relations pursuant to the Human Rights Act 1993. </w:t>
      </w:r>
      <w:r w:rsidR="003F1504" w:rsidRPr="003F1504">
        <w:rPr>
          <w:rFonts w:cs="Arial"/>
          <w:lang w:val="en-NZ"/>
        </w:rPr>
        <w:t xml:space="preserve">Selected provisions of the Crown Entities Act 2014 also apply to the Commission’s operations and the Commission is designated as the Central National Preventive Mechanism under the Crimes of Torture Act 1989.   </w:t>
      </w:r>
      <w:r w:rsidRPr="00456E7D">
        <w:rPr>
          <w:rFonts w:cs="Arial"/>
          <w:lang w:val="en-NZ"/>
        </w:rPr>
        <w:t xml:space="preserve">The Commission is governed by a Board of Directors, made up of the Commissioners.  The Board sets the strategic direction and general activities of the Commission. </w:t>
      </w:r>
    </w:p>
    <w:p w:rsidR="00B546E2" w:rsidRPr="000B4210" w:rsidRDefault="00B546E2" w:rsidP="00420BD8">
      <w:pPr>
        <w:spacing w:before="120" w:after="120"/>
        <w:jc w:val="both"/>
        <w:rPr>
          <w:rFonts w:cs="Arial"/>
          <w:lang w:val="en-NZ"/>
        </w:rPr>
      </w:pPr>
      <w:r w:rsidRPr="00456E7D">
        <w:rPr>
          <w:rFonts w:cs="Arial"/>
          <w:lang w:val="en-NZ"/>
        </w:rPr>
        <w:t xml:space="preserve">The Office of Human Rights Proceedings (OHRP) is </w:t>
      </w:r>
      <w:r w:rsidR="0051391C">
        <w:rPr>
          <w:rFonts w:cs="Arial"/>
          <w:lang w:val="en-NZ"/>
        </w:rPr>
        <w:t>an independent office within</w:t>
      </w:r>
      <w:r w:rsidRPr="00456E7D">
        <w:rPr>
          <w:rFonts w:cs="Arial"/>
          <w:lang w:val="en-NZ"/>
        </w:rPr>
        <w:t xml:space="preserve"> the Commission and provides legal representation under the Human Rights Act 1993 and brings proceedings under the Privacy Act 1993</w:t>
      </w:r>
      <w:r w:rsidRPr="000B4210">
        <w:rPr>
          <w:rFonts w:cs="Arial"/>
          <w:lang w:val="en-NZ"/>
        </w:rPr>
        <w:t xml:space="preserve">. </w:t>
      </w:r>
      <w:r w:rsidR="00697AD2" w:rsidRPr="000B4210">
        <w:t>The Director of Human Rights Proceedings provides representation and brings proceedings independently of the Commission.</w:t>
      </w:r>
    </w:p>
    <w:p w:rsidR="00B546E2" w:rsidRPr="00456E7D" w:rsidRDefault="00B546E2" w:rsidP="00420BD8">
      <w:pPr>
        <w:jc w:val="both"/>
        <w:rPr>
          <w:rFonts w:cs="Arial"/>
          <w:lang w:val="en-NZ"/>
        </w:rPr>
      </w:pPr>
      <w:r w:rsidRPr="000B4210">
        <w:rPr>
          <w:rFonts w:cs="Arial"/>
          <w:lang w:val="en-NZ"/>
        </w:rPr>
        <w:t xml:space="preserve">This </w:t>
      </w:r>
      <w:r w:rsidRPr="000B4210">
        <w:rPr>
          <w:rFonts w:cs="Arial"/>
          <w:i/>
          <w:lang w:val="en-NZ"/>
        </w:rPr>
        <w:t>Statement of Performance Expectations</w:t>
      </w:r>
      <w:r w:rsidRPr="000B4210">
        <w:rPr>
          <w:rFonts w:cs="Arial"/>
          <w:lang w:val="en-NZ"/>
        </w:rPr>
        <w:t xml:space="preserve"> has been prepared in accordance with</w:t>
      </w:r>
      <w:r w:rsidRPr="00456E7D">
        <w:rPr>
          <w:rFonts w:cs="Arial"/>
          <w:lang w:val="en-NZ"/>
        </w:rPr>
        <w:t xml:space="preserve"> the requirements of section 149C of the Crown Entities Act 2004.  It outlines how we will contribute over the next year and beyond to preserving and protecting human rights and promoting harmonious relations for all people in New Zealand.</w:t>
      </w:r>
    </w:p>
    <w:p w:rsidR="001602FB" w:rsidRPr="00456E7D" w:rsidRDefault="00B546E2" w:rsidP="00420BD8">
      <w:pPr>
        <w:spacing w:line="240" w:lineRule="auto"/>
        <w:jc w:val="both"/>
        <w:rPr>
          <w:rFonts w:cs="Arial"/>
          <w:lang w:val="en-NZ"/>
        </w:rPr>
      </w:pPr>
      <w:r w:rsidRPr="00456E7D">
        <w:rPr>
          <w:rFonts w:cs="Arial"/>
          <w:lang w:val="en-NZ"/>
        </w:rPr>
        <w:t xml:space="preserve">This </w:t>
      </w:r>
      <w:r w:rsidRPr="00456E7D">
        <w:rPr>
          <w:rFonts w:cs="Arial"/>
          <w:i/>
          <w:lang w:val="en-NZ"/>
        </w:rPr>
        <w:t>Statement of Performance Expectations</w:t>
      </w:r>
      <w:r w:rsidRPr="00456E7D">
        <w:rPr>
          <w:rFonts w:cs="Arial"/>
          <w:lang w:val="en-NZ"/>
        </w:rPr>
        <w:t xml:space="preserve"> reflects, and is intended to be read with, the Commission’s 201</w:t>
      </w:r>
      <w:r w:rsidR="00EC75DD" w:rsidRPr="00456E7D">
        <w:rPr>
          <w:rFonts w:cs="Arial"/>
          <w:lang w:val="en-NZ"/>
        </w:rPr>
        <w:t>6/17</w:t>
      </w:r>
      <w:r w:rsidRPr="00456E7D">
        <w:rPr>
          <w:rFonts w:cs="Arial"/>
          <w:lang w:val="en-NZ"/>
        </w:rPr>
        <w:t>−201</w:t>
      </w:r>
      <w:r w:rsidR="00EC75DD" w:rsidRPr="00456E7D">
        <w:rPr>
          <w:rFonts w:cs="Arial"/>
          <w:lang w:val="en-NZ"/>
        </w:rPr>
        <w:t>9</w:t>
      </w:r>
      <w:r w:rsidRPr="00456E7D">
        <w:rPr>
          <w:rFonts w:cs="Arial"/>
          <w:lang w:val="en-NZ"/>
        </w:rPr>
        <w:t>/</w:t>
      </w:r>
      <w:r w:rsidR="00EC75DD" w:rsidRPr="00456E7D">
        <w:rPr>
          <w:rFonts w:cs="Arial"/>
          <w:lang w:val="en-NZ"/>
        </w:rPr>
        <w:t>20</w:t>
      </w:r>
      <w:r w:rsidRPr="00456E7D">
        <w:rPr>
          <w:rFonts w:cs="Arial"/>
          <w:lang w:val="en-NZ"/>
        </w:rPr>
        <w:t xml:space="preserve"> </w:t>
      </w:r>
      <w:r w:rsidRPr="00456E7D">
        <w:rPr>
          <w:rFonts w:cs="Arial"/>
          <w:i/>
          <w:lang w:val="en-NZ"/>
        </w:rPr>
        <w:t>Statement of Intent</w:t>
      </w:r>
      <w:r w:rsidRPr="00456E7D">
        <w:rPr>
          <w:rFonts w:cs="Arial"/>
          <w:lang w:val="en-NZ"/>
        </w:rPr>
        <w:t>.</w:t>
      </w:r>
    </w:p>
    <w:p w:rsidR="00B052FF" w:rsidRDefault="00B052FF" w:rsidP="00420BD8">
      <w:pPr>
        <w:spacing w:after="200" w:line="276" w:lineRule="auto"/>
        <w:jc w:val="both"/>
        <w:rPr>
          <w:rFonts w:eastAsiaTheme="majorEastAsia" w:cs="Arial"/>
          <w:bCs/>
          <w:sz w:val="36"/>
          <w:szCs w:val="36"/>
          <w:lang w:val="en-NZ"/>
        </w:rPr>
      </w:pPr>
      <w:bookmarkStart w:id="3" w:name="_Toc390680415"/>
      <w:r>
        <w:rPr>
          <w:rFonts w:cs="Arial"/>
          <w:szCs w:val="36"/>
          <w:lang w:val="en-NZ"/>
        </w:rPr>
        <w:br w:type="page"/>
      </w:r>
    </w:p>
    <w:p w:rsidR="00B546E2" w:rsidRDefault="00B546E2" w:rsidP="00420BD8">
      <w:pPr>
        <w:pStyle w:val="Heading1"/>
        <w:jc w:val="both"/>
        <w:rPr>
          <w:rFonts w:cs="Arial"/>
          <w:color w:val="auto"/>
          <w:szCs w:val="36"/>
          <w:lang w:val="en-NZ"/>
        </w:rPr>
      </w:pPr>
      <w:r>
        <w:rPr>
          <w:rFonts w:cs="Arial"/>
          <w:color w:val="auto"/>
          <w:szCs w:val="36"/>
          <w:lang w:val="en-NZ"/>
        </w:rPr>
        <w:lastRenderedPageBreak/>
        <w:t>Output activities for 2016</w:t>
      </w:r>
      <w:r w:rsidR="00B052FF">
        <w:rPr>
          <w:rFonts w:cs="Arial"/>
          <w:color w:val="auto"/>
          <w:szCs w:val="36"/>
          <w:lang w:val="en-NZ"/>
        </w:rPr>
        <w:t>/17</w:t>
      </w:r>
      <w:r>
        <w:rPr>
          <w:rFonts w:cs="Arial"/>
          <w:color w:val="auto"/>
          <w:szCs w:val="36"/>
          <w:lang w:val="en-NZ"/>
        </w:rPr>
        <w:t xml:space="preserve"> and Out</w:t>
      </w:r>
      <w:r w:rsidR="00B052FF">
        <w:rPr>
          <w:rFonts w:cs="Arial"/>
          <w:color w:val="auto"/>
          <w:szCs w:val="36"/>
          <w:lang w:val="en-NZ"/>
        </w:rPr>
        <w:t>-</w:t>
      </w:r>
      <w:r>
        <w:rPr>
          <w:rFonts w:cs="Arial"/>
          <w:color w:val="auto"/>
          <w:szCs w:val="36"/>
          <w:lang w:val="en-NZ"/>
        </w:rPr>
        <w:t>years</w:t>
      </w:r>
    </w:p>
    <w:p w:rsidR="00B546E2" w:rsidRDefault="00B546E2" w:rsidP="00420BD8">
      <w:pPr>
        <w:jc w:val="both"/>
        <w:rPr>
          <w:lang w:val="en-NZ"/>
        </w:rPr>
      </w:pPr>
      <w:r w:rsidRPr="00BF7939">
        <w:rPr>
          <w:lang w:val="en-NZ"/>
        </w:rPr>
        <w:t xml:space="preserve">The Commission is funded under the </w:t>
      </w:r>
      <w:r>
        <w:rPr>
          <w:lang w:val="en-NZ"/>
        </w:rPr>
        <w:t xml:space="preserve">Output Expense: </w:t>
      </w:r>
      <w:r w:rsidRPr="00BF7939">
        <w:rPr>
          <w:lang w:val="en-NZ"/>
        </w:rPr>
        <w:t xml:space="preserve">Justice Advocacy, Advice and Promotion Services.  Our advocacy, advice and promotion is in relation to our legislated role to </w:t>
      </w:r>
      <w:r w:rsidRPr="00BF7939">
        <w:rPr>
          <w:rFonts w:cs="Arial"/>
          <w:lang w:val="en-NZ"/>
        </w:rPr>
        <w:t>advocat</w:t>
      </w:r>
      <w:r>
        <w:rPr>
          <w:rFonts w:cs="Arial"/>
          <w:lang w:val="en-NZ"/>
        </w:rPr>
        <w:t>e</w:t>
      </w:r>
      <w:r w:rsidRPr="00BF7939">
        <w:rPr>
          <w:rFonts w:cs="Arial"/>
          <w:lang w:val="en-NZ"/>
        </w:rPr>
        <w:t xml:space="preserve"> and promot</w:t>
      </w:r>
      <w:r>
        <w:rPr>
          <w:rFonts w:cs="Arial"/>
          <w:lang w:val="en-NZ"/>
        </w:rPr>
        <w:t>e</w:t>
      </w:r>
      <w:r w:rsidRPr="00BF7939">
        <w:rPr>
          <w:rFonts w:cs="Arial"/>
          <w:lang w:val="en-NZ"/>
        </w:rPr>
        <w:t xml:space="preserve"> respect for, and an understanding and appreciation of, human rights in New Zealand and </w:t>
      </w:r>
      <w:r>
        <w:rPr>
          <w:rFonts w:cs="Arial"/>
          <w:lang w:val="en-NZ"/>
        </w:rPr>
        <w:t xml:space="preserve">to </w:t>
      </w:r>
      <w:r w:rsidRPr="00BF7939">
        <w:rPr>
          <w:rFonts w:cs="Arial"/>
          <w:lang w:val="en-NZ"/>
        </w:rPr>
        <w:t>encourag</w:t>
      </w:r>
      <w:r>
        <w:rPr>
          <w:rFonts w:cs="Arial"/>
          <w:lang w:val="en-NZ"/>
        </w:rPr>
        <w:t xml:space="preserve">e </w:t>
      </w:r>
      <w:r w:rsidRPr="00BF7939">
        <w:rPr>
          <w:rFonts w:cs="Arial"/>
          <w:lang w:val="en-NZ"/>
        </w:rPr>
        <w:t>harmonious relations</w:t>
      </w:r>
      <w:r w:rsidRPr="00BF7939">
        <w:rPr>
          <w:lang w:val="en-NZ"/>
        </w:rPr>
        <w:t>.</w:t>
      </w:r>
      <w:r>
        <w:rPr>
          <w:lang w:val="en-NZ"/>
        </w:rPr>
        <w:t xml:space="preserve">  </w:t>
      </w:r>
    </w:p>
    <w:p w:rsidR="00B546E2" w:rsidRDefault="00B546E2" w:rsidP="00420BD8">
      <w:pPr>
        <w:jc w:val="both"/>
      </w:pPr>
      <w:r w:rsidRPr="000C69D5">
        <w:t xml:space="preserve">Our Statement of Intent </w:t>
      </w:r>
      <w:r>
        <w:t>201</w:t>
      </w:r>
      <w:r w:rsidR="00B052FF">
        <w:t>6</w:t>
      </w:r>
      <w:r>
        <w:t xml:space="preserve"> – 20</w:t>
      </w:r>
      <w:r w:rsidR="00B052FF">
        <w:t>20</w:t>
      </w:r>
      <w:r>
        <w:t xml:space="preserve"> </w:t>
      </w:r>
      <w:r w:rsidRPr="000C69D5">
        <w:t>outlines the strategic impact</w:t>
      </w:r>
      <w:r>
        <w:t>s</w:t>
      </w:r>
      <w:r w:rsidRPr="000C69D5">
        <w:t xml:space="preserve"> that we intend to have.</w:t>
      </w:r>
      <w:r>
        <w:t xml:space="preserve"> These are:</w:t>
      </w:r>
    </w:p>
    <w:p w:rsidR="00FF3128" w:rsidRPr="00FF3128" w:rsidRDefault="00FF3128" w:rsidP="00FF3128">
      <w:pPr>
        <w:numPr>
          <w:ilvl w:val="0"/>
          <w:numId w:val="24"/>
        </w:numPr>
        <w:jc w:val="both"/>
      </w:pPr>
      <w:r w:rsidRPr="00FF3128">
        <w:t xml:space="preserve">Increased adoption of policies and practices to achieve equality of opportunity and non-discrimination </w:t>
      </w:r>
    </w:p>
    <w:p w:rsidR="00FF3128" w:rsidRPr="00FF3128" w:rsidRDefault="00FF3128" w:rsidP="00FF3128">
      <w:pPr>
        <w:numPr>
          <w:ilvl w:val="0"/>
          <w:numId w:val="24"/>
        </w:numPr>
        <w:jc w:val="both"/>
      </w:pPr>
      <w:r w:rsidRPr="00FF3128">
        <w:t xml:space="preserve">Advancing human rights, including the reduction of barriers to inclusion to facilitate peaceful and inclusive societies </w:t>
      </w:r>
    </w:p>
    <w:p w:rsidR="00FF3128" w:rsidRPr="00FF3128" w:rsidRDefault="00FF3128" w:rsidP="00FF3128">
      <w:pPr>
        <w:numPr>
          <w:ilvl w:val="0"/>
          <w:numId w:val="24"/>
        </w:numPr>
        <w:spacing w:after="360"/>
        <w:jc w:val="both"/>
      </w:pPr>
      <w:r w:rsidRPr="00FF3128">
        <w:t>Protecting human dignity and rights through effective mechanisms of redress and increased observance of human rights obligations by decision makers</w:t>
      </w:r>
      <w:r>
        <w:t>.</w:t>
      </w:r>
    </w:p>
    <w:p w:rsidR="00B546E2" w:rsidRDefault="00B052FF" w:rsidP="00FF3128">
      <w:pPr>
        <w:spacing w:after="360"/>
        <w:rPr>
          <w:lang w:val="en-NZ"/>
        </w:rPr>
      </w:pPr>
      <w:r>
        <w:rPr>
          <w:lang w:val="en-NZ"/>
        </w:rPr>
        <w:t>T</w:t>
      </w:r>
      <w:r w:rsidR="00B546E2" w:rsidRPr="001A30E1">
        <w:rPr>
          <w:lang w:val="en-NZ"/>
        </w:rPr>
        <w:t xml:space="preserve">he Commission </w:t>
      </w:r>
      <w:r>
        <w:rPr>
          <w:lang w:val="en-NZ"/>
        </w:rPr>
        <w:t xml:space="preserve">has </w:t>
      </w:r>
      <w:r w:rsidR="00B546E2" w:rsidRPr="001A30E1">
        <w:rPr>
          <w:lang w:val="en-NZ"/>
        </w:rPr>
        <w:t xml:space="preserve">reviewed and refreshed its Outcomes framework to ensure it </w:t>
      </w:r>
      <w:r w:rsidR="004B090B">
        <w:rPr>
          <w:lang w:val="en-NZ"/>
        </w:rPr>
        <w:t xml:space="preserve">is </w:t>
      </w:r>
      <w:r w:rsidR="00B546E2" w:rsidRPr="001A30E1">
        <w:rPr>
          <w:lang w:val="en-NZ"/>
        </w:rPr>
        <w:t>meaningful and aligned with our strategic objectives. The resulting structure provides a clear reportable framework that forms the basis for the Commission’s ongoing work programme in both the short- and long-term</w:t>
      </w:r>
      <w:r w:rsidR="00B546E2">
        <w:rPr>
          <w:lang w:val="en-NZ"/>
        </w:rPr>
        <w:t>.</w:t>
      </w:r>
      <w:r w:rsidR="00B546E2" w:rsidRPr="001A30E1">
        <w:rPr>
          <w:lang w:val="en-NZ"/>
        </w:rPr>
        <w:t xml:space="preserve"> </w:t>
      </w:r>
    </w:p>
    <w:p w:rsidR="004B090B" w:rsidRPr="004B090B" w:rsidRDefault="004B090B" w:rsidP="00EC75DD">
      <w:pPr>
        <w:jc w:val="both"/>
        <w:rPr>
          <w:lang w:val="en-NZ"/>
        </w:rPr>
      </w:pPr>
      <w:r>
        <w:rPr>
          <w:lang w:val="en-NZ"/>
        </w:rPr>
        <w:t xml:space="preserve">Of particular focus for the Commission </w:t>
      </w:r>
      <w:r w:rsidR="00EC75DD">
        <w:rPr>
          <w:lang w:val="en-NZ"/>
        </w:rPr>
        <w:t xml:space="preserve">over the next few years </w:t>
      </w:r>
      <w:r>
        <w:rPr>
          <w:lang w:val="en-NZ"/>
        </w:rPr>
        <w:t>will be</w:t>
      </w:r>
      <w:r w:rsidRPr="004B090B">
        <w:t xml:space="preserve"> </w:t>
      </w:r>
      <w:r w:rsidRPr="004B090B">
        <w:rPr>
          <w:lang w:val="en-NZ"/>
        </w:rPr>
        <w:t xml:space="preserve">business and human rights, as increasingly </w:t>
      </w:r>
      <w:r w:rsidR="00EC75DD">
        <w:rPr>
          <w:lang w:val="en-NZ"/>
        </w:rPr>
        <w:t>g</w:t>
      </w:r>
      <w:r w:rsidRPr="004B090B">
        <w:rPr>
          <w:lang w:val="en-NZ"/>
        </w:rPr>
        <w:t>overnments, investors, consumers and market regulators expect companies’ to be reporting on their salient human rights issues. National human rights institutions such as the Commission that comply with the Paris Principles</w:t>
      </w:r>
      <w:r w:rsidR="005C52DB">
        <w:rPr>
          <w:rStyle w:val="FootnoteReference"/>
          <w:lang w:val="en-NZ"/>
        </w:rPr>
        <w:footnoteReference w:id="1"/>
      </w:r>
      <w:r w:rsidRPr="004B090B">
        <w:rPr>
          <w:lang w:val="en-NZ"/>
        </w:rPr>
        <w:t xml:space="preserve"> have an important role to play in helping States identify whether relevant </w:t>
      </w:r>
      <w:r w:rsidRPr="004B090B">
        <w:rPr>
          <w:lang w:val="en-NZ"/>
        </w:rPr>
        <w:lastRenderedPageBreak/>
        <w:t>laws are aligned with their human rights obligations and are being effectively enforced and in providing guidance on human rights also to business enterprises and other non-State actors.</w:t>
      </w:r>
    </w:p>
    <w:p w:rsidR="004B090B" w:rsidRPr="004B090B" w:rsidRDefault="004B090B" w:rsidP="00EC75DD">
      <w:pPr>
        <w:jc w:val="both"/>
        <w:rPr>
          <w:lang w:val="en-NZ"/>
        </w:rPr>
      </w:pPr>
      <w:r w:rsidRPr="004B090B">
        <w:rPr>
          <w:lang w:val="en-NZ"/>
        </w:rPr>
        <w:t xml:space="preserve">The UN Guiding Principles </w:t>
      </w:r>
      <w:r w:rsidR="00E56B6C">
        <w:rPr>
          <w:lang w:val="en-NZ"/>
        </w:rPr>
        <w:t>(UNGPs)</w:t>
      </w:r>
      <w:r w:rsidR="00E56B6C">
        <w:rPr>
          <w:rStyle w:val="FootnoteReference"/>
          <w:lang w:val="en-NZ"/>
        </w:rPr>
        <w:footnoteReference w:id="2"/>
      </w:r>
      <w:r w:rsidR="00E56B6C">
        <w:rPr>
          <w:lang w:val="en-NZ"/>
        </w:rPr>
        <w:t xml:space="preserve"> </w:t>
      </w:r>
      <w:r w:rsidRPr="004B090B">
        <w:rPr>
          <w:lang w:val="en-NZ"/>
        </w:rPr>
        <w:t>emphasise the important role of NHRIs with regard to the State</w:t>
      </w:r>
      <w:r w:rsidR="0067315C">
        <w:rPr>
          <w:lang w:val="en-NZ"/>
        </w:rPr>
        <w:t>’s</w:t>
      </w:r>
      <w:r w:rsidRPr="004B090B">
        <w:rPr>
          <w:lang w:val="en-NZ"/>
        </w:rPr>
        <w:t xml:space="preserve"> duty to protect. Companies overwhelmingly perceive a responsibility to respect human rights, and are still learning what their human rights responsibilities mean in practice.</w:t>
      </w:r>
      <w:r w:rsidR="00EC75DD">
        <w:rPr>
          <w:lang w:val="en-NZ"/>
        </w:rPr>
        <w:t xml:space="preserve"> The Commission has initiated a programme of work to inform, educate and assist government, civil society and business to embrace human rights in </w:t>
      </w:r>
      <w:r w:rsidR="0067315C">
        <w:rPr>
          <w:lang w:val="en-NZ"/>
        </w:rPr>
        <w:t>their</w:t>
      </w:r>
      <w:r w:rsidR="00EC75DD">
        <w:rPr>
          <w:lang w:val="en-NZ"/>
        </w:rPr>
        <w:t xml:space="preserve"> work practices and policies to ensure a fair and just society that </w:t>
      </w:r>
      <w:r w:rsidR="00084F72">
        <w:rPr>
          <w:lang w:val="en-NZ"/>
        </w:rPr>
        <w:t>promotes equal opportunities for everyone</w:t>
      </w:r>
      <w:r w:rsidR="00EC75DD">
        <w:rPr>
          <w:lang w:val="en-NZ"/>
        </w:rPr>
        <w:t>.</w:t>
      </w:r>
    </w:p>
    <w:p w:rsidR="00B546E2" w:rsidRDefault="00B546E2" w:rsidP="00EC75DD">
      <w:pPr>
        <w:jc w:val="both"/>
        <w:rPr>
          <w:lang w:val="en-NZ"/>
        </w:rPr>
      </w:pPr>
      <w:r w:rsidRPr="0091695A">
        <w:rPr>
          <w:lang w:val="en-NZ"/>
        </w:rPr>
        <w:t>In 201</w:t>
      </w:r>
      <w:r w:rsidR="004B090B">
        <w:rPr>
          <w:lang w:val="en-NZ"/>
        </w:rPr>
        <w:t>5</w:t>
      </w:r>
      <w:r w:rsidRPr="0091695A">
        <w:rPr>
          <w:lang w:val="en-NZ"/>
        </w:rPr>
        <w:t>/1</w:t>
      </w:r>
      <w:r w:rsidR="004B090B">
        <w:rPr>
          <w:lang w:val="en-NZ"/>
        </w:rPr>
        <w:t>6</w:t>
      </w:r>
      <w:r w:rsidRPr="0091695A">
        <w:rPr>
          <w:lang w:val="en-NZ"/>
        </w:rPr>
        <w:t xml:space="preserve"> the Commission develop</w:t>
      </w:r>
      <w:r w:rsidR="004B090B">
        <w:rPr>
          <w:lang w:val="en-NZ"/>
        </w:rPr>
        <w:t>ed</w:t>
      </w:r>
      <w:r w:rsidRPr="0091695A">
        <w:rPr>
          <w:lang w:val="en-NZ"/>
        </w:rPr>
        <w:t xml:space="preserve"> </w:t>
      </w:r>
      <w:r w:rsidR="00084F72">
        <w:rPr>
          <w:lang w:val="en-NZ"/>
        </w:rPr>
        <w:t xml:space="preserve">and implemented </w:t>
      </w:r>
      <w:r w:rsidR="0051391C">
        <w:rPr>
          <w:lang w:val="en-NZ"/>
        </w:rPr>
        <w:t>New Zealand’s</w:t>
      </w:r>
      <w:r w:rsidRPr="0091695A">
        <w:rPr>
          <w:lang w:val="en-NZ"/>
        </w:rPr>
        <w:t xml:space="preserve"> National Plan of Action (NPA) for the Protection and Promotion of Human Rights.  The NPA set</w:t>
      </w:r>
      <w:r w:rsidR="004B090B">
        <w:rPr>
          <w:lang w:val="en-NZ"/>
        </w:rPr>
        <w:t>s</w:t>
      </w:r>
      <w:r w:rsidRPr="0091695A">
        <w:rPr>
          <w:lang w:val="en-NZ"/>
        </w:rPr>
        <w:t xml:space="preserve"> out the ongoing actions Government will take to improve human rights realisation in New Zealand.  Progress will be monitored and updated over the period of this Statement of Performance Expectations.</w:t>
      </w:r>
    </w:p>
    <w:p w:rsidR="00B546E2" w:rsidRDefault="00B546E2" w:rsidP="00EC75DD">
      <w:pPr>
        <w:jc w:val="both"/>
        <w:rPr>
          <w:lang w:val="en-NZ"/>
        </w:rPr>
      </w:pPr>
      <w:r>
        <w:rPr>
          <w:lang w:val="en-NZ"/>
        </w:rPr>
        <w:t xml:space="preserve">The monitoring of the </w:t>
      </w:r>
      <w:r w:rsidR="0051391C">
        <w:rPr>
          <w:lang w:val="en-NZ"/>
        </w:rPr>
        <w:t>NPA</w:t>
      </w:r>
      <w:r>
        <w:rPr>
          <w:lang w:val="en-NZ"/>
        </w:rPr>
        <w:t xml:space="preserve"> will inform the mid-cycle review and third Universal Periodic Review of New Zealand’s human rights record at the United Nations.  The mid-cycle review will take place in the 2016/17 year and the next full review will be </w:t>
      </w:r>
      <w:r w:rsidRPr="001A30E1">
        <w:rPr>
          <w:lang w:val="en-NZ"/>
        </w:rPr>
        <w:t>in 2018</w:t>
      </w:r>
      <w:r>
        <w:rPr>
          <w:lang w:val="en-NZ"/>
        </w:rPr>
        <w:t>/19</w:t>
      </w:r>
      <w:r w:rsidRPr="001A30E1">
        <w:rPr>
          <w:lang w:val="en-NZ"/>
        </w:rPr>
        <w:t>.</w:t>
      </w:r>
    </w:p>
    <w:p w:rsidR="00310DC6" w:rsidRDefault="00310DC6" w:rsidP="00EC75DD">
      <w:pPr>
        <w:jc w:val="both"/>
        <w:rPr>
          <w:lang w:val="en-NZ"/>
        </w:rPr>
      </w:pPr>
      <w:r>
        <w:rPr>
          <w:lang w:val="en-NZ"/>
        </w:rPr>
        <w:t>There will</w:t>
      </w:r>
      <w:r w:rsidRPr="00310DC6">
        <w:rPr>
          <w:lang w:val="en-NZ"/>
        </w:rPr>
        <w:t xml:space="preserve"> also be </w:t>
      </w:r>
      <w:r>
        <w:rPr>
          <w:lang w:val="en-NZ"/>
        </w:rPr>
        <w:t xml:space="preserve">targeted </w:t>
      </w:r>
      <w:r w:rsidRPr="00310DC6">
        <w:rPr>
          <w:lang w:val="en-NZ"/>
        </w:rPr>
        <w:t xml:space="preserve">programmes to address discrimination across all sectors of New Zealand society as research indicates that this continues to be a significant issue in employment, education, health and housing. Discrimination based on race, </w:t>
      </w:r>
      <w:r w:rsidR="0067315C">
        <w:rPr>
          <w:lang w:val="en-NZ"/>
        </w:rPr>
        <w:t xml:space="preserve">age, </w:t>
      </w:r>
      <w:r w:rsidRPr="00310DC6">
        <w:rPr>
          <w:lang w:val="en-NZ"/>
        </w:rPr>
        <w:t>ethnicity, disability</w:t>
      </w:r>
      <w:r w:rsidR="00E91610">
        <w:rPr>
          <w:lang w:val="en-NZ"/>
        </w:rPr>
        <w:t xml:space="preserve">, </w:t>
      </w:r>
      <w:r w:rsidRPr="00310DC6">
        <w:rPr>
          <w:lang w:val="en-NZ"/>
        </w:rPr>
        <w:t>nationality</w:t>
      </w:r>
      <w:r w:rsidR="00E91610">
        <w:rPr>
          <w:lang w:val="en-NZ"/>
        </w:rPr>
        <w:t>, gender and sexual orientation</w:t>
      </w:r>
      <w:r w:rsidRPr="00310DC6">
        <w:rPr>
          <w:lang w:val="en-NZ"/>
        </w:rPr>
        <w:t xml:space="preserve"> remain barriers to inclusion for many people in our society. In addition, the country is still working towards </w:t>
      </w:r>
      <w:r w:rsidRPr="00310DC6">
        <w:rPr>
          <w:lang w:val="en-NZ"/>
        </w:rPr>
        <w:lastRenderedPageBreak/>
        <w:t>equal employment opportunities for all, and there remain significant gender and pay imbalances across the board.</w:t>
      </w:r>
    </w:p>
    <w:p w:rsidR="00E91610" w:rsidRPr="00B76DE6" w:rsidRDefault="00B546E2" w:rsidP="00E91610">
      <w:r w:rsidRPr="00AF68EB">
        <w:rPr>
          <w:lang w:val="en-NZ"/>
        </w:rPr>
        <w:t xml:space="preserve">In 2016, </w:t>
      </w:r>
      <w:r w:rsidR="0067315C">
        <w:rPr>
          <w:lang w:val="en-NZ"/>
        </w:rPr>
        <w:t>t</w:t>
      </w:r>
      <w:r w:rsidR="004B090B">
        <w:rPr>
          <w:lang w:val="en-NZ"/>
        </w:rPr>
        <w:t xml:space="preserve">he Commission’s </w:t>
      </w:r>
      <w:r w:rsidR="004B090B" w:rsidRPr="004B090B">
        <w:rPr>
          <w:lang w:val="en-NZ"/>
        </w:rPr>
        <w:t>accreditation as a National Human Rights Institution (NHRI)</w:t>
      </w:r>
      <w:r w:rsidR="004B090B">
        <w:rPr>
          <w:lang w:val="en-NZ"/>
        </w:rPr>
        <w:t xml:space="preserve"> will be </w:t>
      </w:r>
      <w:r w:rsidR="004B090B" w:rsidRPr="004B090B">
        <w:rPr>
          <w:lang w:val="en-NZ"/>
        </w:rPr>
        <w:t xml:space="preserve">internationally </w:t>
      </w:r>
      <w:r w:rsidR="004B090B">
        <w:rPr>
          <w:lang w:val="en-NZ"/>
        </w:rPr>
        <w:t>reviewed</w:t>
      </w:r>
      <w:r w:rsidR="004B090B" w:rsidRPr="004B090B">
        <w:t xml:space="preserve"> </w:t>
      </w:r>
      <w:r w:rsidR="004B090B" w:rsidRPr="004B090B">
        <w:rPr>
          <w:lang w:val="en-NZ"/>
        </w:rPr>
        <w:t xml:space="preserve">by </w:t>
      </w:r>
      <w:r w:rsidR="00E91610">
        <w:rPr>
          <w:lang w:val="en-NZ"/>
        </w:rPr>
        <w:t>a</w:t>
      </w:r>
      <w:r w:rsidR="004B090B" w:rsidRPr="004B090B">
        <w:rPr>
          <w:lang w:val="en-NZ"/>
        </w:rPr>
        <w:t xml:space="preserve"> Sub-Committee o</w:t>
      </w:r>
      <w:r w:rsidR="00E91610">
        <w:rPr>
          <w:lang w:val="en-NZ"/>
        </w:rPr>
        <w:t xml:space="preserve">f the </w:t>
      </w:r>
      <w:r w:rsidR="00E91610" w:rsidRPr="00B76DE6">
        <w:t>National Human Rights Institution with the Global Alliance of National Human Rights Institutions (GANHRI).</w:t>
      </w:r>
    </w:p>
    <w:p w:rsidR="004B090B" w:rsidRDefault="004B090B" w:rsidP="00EC75DD">
      <w:pPr>
        <w:jc w:val="both"/>
        <w:rPr>
          <w:lang w:val="en-NZ"/>
        </w:rPr>
      </w:pPr>
      <w:r w:rsidRPr="004B090B">
        <w:rPr>
          <w:lang w:val="en-NZ"/>
        </w:rPr>
        <w:t>This process takes place every five years. It requires the Commission to be independently assessed against strict criteria set out in the Paris Principles.  Accordingly, a measure of retaining “A” status is included below, as a proxy of the Commission’s independence, credibility and effectiveness.</w:t>
      </w:r>
    </w:p>
    <w:p w:rsidR="00346271" w:rsidRPr="00346271" w:rsidRDefault="00B546E2" w:rsidP="00346271">
      <w:pPr>
        <w:pStyle w:val="Heading1"/>
        <w:rPr>
          <w:rFonts w:cs="Arial"/>
          <w:color w:val="auto"/>
          <w:szCs w:val="36"/>
          <w:lang w:val="en-NZ"/>
        </w:rPr>
      </w:pPr>
      <w:r>
        <w:rPr>
          <w:lang w:val="en-NZ"/>
        </w:rPr>
        <w:br w:type="page"/>
      </w:r>
      <w:r w:rsidR="00346271" w:rsidRPr="00346271">
        <w:rPr>
          <w:rFonts w:cs="Arial"/>
          <w:color w:val="auto"/>
          <w:szCs w:val="36"/>
          <w:lang w:val="en-NZ"/>
        </w:rPr>
        <w:lastRenderedPageBreak/>
        <w:t>Summary of Output and Output Expenses for 2016/17</w:t>
      </w:r>
    </w:p>
    <w:p w:rsidR="00346271" w:rsidRPr="00346271" w:rsidRDefault="00346271" w:rsidP="00346271">
      <w:pPr>
        <w:rPr>
          <w:lang w:val="en-NZ"/>
        </w:rPr>
      </w:pPr>
      <w:r w:rsidRPr="00346271">
        <w:rPr>
          <w:lang w:val="en-NZ"/>
        </w:rPr>
        <w:t>The forecast expenses for the Commission’s Output and the total forecast revenue are provided below:</w:t>
      </w:r>
    </w:p>
    <w:p w:rsidR="00346271" w:rsidRPr="00346271" w:rsidRDefault="00346271" w:rsidP="00346271">
      <w:pPr>
        <w:keepNext/>
        <w:keepLines/>
        <w:tabs>
          <w:tab w:val="right" w:pos="9923"/>
        </w:tabs>
        <w:spacing w:before="200"/>
        <w:outlineLvl w:val="1"/>
        <w:rPr>
          <w:rFonts w:eastAsiaTheme="majorEastAsia" w:cstheme="majorBidi"/>
          <w:bCs/>
          <w:color w:val="4F81BD" w:themeColor="accent1"/>
          <w:sz w:val="28"/>
          <w:szCs w:val="26"/>
        </w:rPr>
      </w:pPr>
      <w:r w:rsidRPr="00346271">
        <w:rPr>
          <w:rFonts w:eastAsiaTheme="majorEastAsia" w:cstheme="majorBidi"/>
          <w:bCs/>
          <w:color w:val="4F81BD" w:themeColor="accent1"/>
          <w:sz w:val="28"/>
          <w:szCs w:val="26"/>
        </w:rPr>
        <w:t>Forecast output expenditure</w:t>
      </w:r>
      <w:r w:rsidRPr="00346271">
        <w:rPr>
          <w:rFonts w:eastAsiaTheme="majorEastAsia" w:cstheme="majorBidi"/>
          <w:bCs/>
          <w:color w:val="4F81BD" w:themeColor="accent1"/>
          <w:sz w:val="28"/>
          <w:szCs w:val="26"/>
        </w:rPr>
        <w:tab/>
        <w:t>2016/17</w:t>
      </w:r>
    </w:p>
    <w:p w:rsidR="00346271" w:rsidRPr="00346271" w:rsidRDefault="00346271" w:rsidP="00346271">
      <w:pPr>
        <w:tabs>
          <w:tab w:val="right" w:pos="9923"/>
        </w:tabs>
        <w:spacing w:after="120" w:line="240" w:lineRule="auto"/>
        <w:rPr>
          <w:b/>
          <w:sz w:val="20"/>
          <w:szCs w:val="20"/>
          <w:lang w:val="en-NZ"/>
        </w:rPr>
      </w:pPr>
      <w:r w:rsidRPr="00346271">
        <w:rPr>
          <w:b/>
          <w:sz w:val="20"/>
          <w:szCs w:val="20"/>
          <w:lang w:val="en-NZ"/>
        </w:rPr>
        <w:t>Output Class – Justice Advocacy, Advice and Promotion Services</w:t>
      </w:r>
    </w:p>
    <w:p w:rsidR="00346271" w:rsidRPr="00346271" w:rsidRDefault="00346271" w:rsidP="00346271">
      <w:pPr>
        <w:tabs>
          <w:tab w:val="right" w:pos="9026"/>
        </w:tabs>
        <w:spacing w:after="120" w:line="240" w:lineRule="auto"/>
        <w:ind w:left="567"/>
        <w:jc w:val="right"/>
        <w:rPr>
          <w:sz w:val="20"/>
          <w:szCs w:val="20"/>
          <w:lang w:val="en-NZ"/>
        </w:rPr>
      </w:pPr>
      <w:bookmarkStart w:id="4" w:name="_Toc390680418"/>
      <w:r w:rsidRPr="00346271">
        <w:rPr>
          <w:b/>
          <w:sz w:val="20"/>
          <w:szCs w:val="20"/>
          <w:lang w:val="en-NZ"/>
        </w:rPr>
        <w:t>Output area – On-going activities</w:t>
      </w:r>
      <w:r w:rsidRPr="00346271">
        <w:rPr>
          <w:b/>
          <w:sz w:val="20"/>
          <w:szCs w:val="20"/>
          <w:vertAlign w:val="superscript"/>
          <w:lang w:val="en-NZ"/>
        </w:rPr>
        <w:footnoteReference w:id="3"/>
      </w:r>
      <w:r w:rsidRPr="00346271">
        <w:rPr>
          <w:sz w:val="20"/>
          <w:szCs w:val="20"/>
          <w:lang w:val="en-NZ"/>
        </w:rPr>
        <w:tab/>
      </w:r>
      <w:bookmarkEnd w:id="4"/>
      <w:r w:rsidRPr="00346271">
        <w:rPr>
          <w:sz w:val="20"/>
          <w:szCs w:val="20"/>
          <w:lang w:val="en-NZ"/>
        </w:rPr>
        <w:t>$</w:t>
      </w:r>
      <w:r w:rsidR="004252DC">
        <w:rPr>
          <w:sz w:val="20"/>
          <w:szCs w:val="20"/>
          <w:lang w:val="en-NZ"/>
        </w:rPr>
        <w:t>9.301</w:t>
      </w:r>
      <w:r w:rsidRPr="00346271">
        <w:rPr>
          <w:sz w:val="20"/>
          <w:szCs w:val="20"/>
          <w:lang w:val="en-NZ"/>
        </w:rPr>
        <w:t>m</w:t>
      </w:r>
    </w:p>
    <w:p w:rsidR="00346271" w:rsidRPr="00346271" w:rsidRDefault="00346271" w:rsidP="00346271">
      <w:pPr>
        <w:spacing w:after="120" w:line="240" w:lineRule="auto"/>
        <w:ind w:left="1560" w:right="1088" w:hanging="993"/>
        <w:rPr>
          <w:sz w:val="20"/>
          <w:szCs w:val="20"/>
          <w:lang w:val="en-NZ"/>
        </w:rPr>
      </w:pPr>
      <w:r w:rsidRPr="00346271">
        <w:rPr>
          <w:sz w:val="20"/>
          <w:szCs w:val="20"/>
          <w:lang w:val="en-NZ"/>
        </w:rPr>
        <w:t>Output 1:</w:t>
      </w:r>
      <w:r w:rsidRPr="00346271">
        <w:rPr>
          <w:sz w:val="20"/>
          <w:szCs w:val="20"/>
          <w:lang w:val="en-NZ"/>
        </w:rPr>
        <w:tab/>
        <w:t>Education, promotion and advocacy for human rights</w:t>
      </w:r>
    </w:p>
    <w:p w:rsidR="00EA2B41" w:rsidRDefault="00346271" w:rsidP="00346271">
      <w:pPr>
        <w:spacing w:after="120" w:line="240" w:lineRule="auto"/>
        <w:ind w:left="1560" w:right="1088" w:hanging="993"/>
        <w:rPr>
          <w:sz w:val="20"/>
          <w:szCs w:val="20"/>
          <w:lang w:val="en-NZ"/>
        </w:rPr>
      </w:pPr>
      <w:r w:rsidRPr="00346271">
        <w:rPr>
          <w:sz w:val="20"/>
          <w:szCs w:val="20"/>
          <w:lang w:val="en-NZ"/>
        </w:rPr>
        <w:t>Output 2:</w:t>
      </w:r>
      <w:r w:rsidRPr="00346271">
        <w:rPr>
          <w:sz w:val="20"/>
          <w:szCs w:val="20"/>
          <w:lang w:val="en-NZ"/>
        </w:rPr>
        <w:tab/>
      </w:r>
      <w:r w:rsidR="00EA2B41">
        <w:rPr>
          <w:sz w:val="20"/>
          <w:szCs w:val="20"/>
          <w:lang w:val="en-NZ"/>
        </w:rPr>
        <w:t>E</w:t>
      </w:r>
      <w:r w:rsidRPr="00346271">
        <w:rPr>
          <w:sz w:val="20"/>
          <w:szCs w:val="20"/>
          <w:lang w:val="en-NZ"/>
        </w:rPr>
        <w:t xml:space="preserve">ngagement with government, tangata whenua, civil society and business </w:t>
      </w:r>
    </w:p>
    <w:p w:rsidR="00EA2B41" w:rsidRPr="00EA2B41" w:rsidRDefault="00EA2B41" w:rsidP="00EA2B41">
      <w:pPr>
        <w:spacing w:after="120" w:line="240" w:lineRule="auto"/>
        <w:ind w:left="1560" w:right="1088" w:hanging="993"/>
        <w:rPr>
          <w:sz w:val="20"/>
          <w:szCs w:val="20"/>
          <w:lang w:val="en-NZ"/>
        </w:rPr>
      </w:pPr>
      <w:r>
        <w:rPr>
          <w:sz w:val="20"/>
          <w:szCs w:val="20"/>
          <w:lang w:val="en-NZ"/>
        </w:rPr>
        <w:t>Output 3:</w:t>
      </w:r>
      <w:r>
        <w:rPr>
          <w:sz w:val="20"/>
          <w:szCs w:val="20"/>
          <w:lang w:val="en-NZ"/>
        </w:rPr>
        <w:tab/>
      </w:r>
      <w:r w:rsidRPr="00EA2B41">
        <w:rPr>
          <w:sz w:val="20"/>
          <w:szCs w:val="20"/>
          <w:lang w:val="en-NZ"/>
        </w:rPr>
        <w:t>Legal interventions in courts and tribunals promote human rights</w:t>
      </w:r>
    </w:p>
    <w:p w:rsidR="00346271" w:rsidRPr="00346271" w:rsidRDefault="00346271" w:rsidP="00346271">
      <w:pPr>
        <w:spacing w:after="120" w:line="240" w:lineRule="auto"/>
        <w:ind w:left="1560" w:right="1088" w:hanging="993"/>
        <w:rPr>
          <w:sz w:val="20"/>
          <w:szCs w:val="20"/>
          <w:lang w:val="en-NZ"/>
        </w:rPr>
      </w:pPr>
      <w:r w:rsidRPr="00346271">
        <w:rPr>
          <w:sz w:val="20"/>
          <w:szCs w:val="20"/>
          <w:lang w:val="en-NZ"/>
        </w:rPr>
        <w:t xml:space="preserve">Output </w:t>
      </w:r>
      <w:r w:rsidR="00EA2B41">
        <w:rPr>
          <w:sz w:val="20"/>
          <w:szCs w:val="20"/>
          <w:lang w:val="en-NZ"/>
        </w:rPr>
        <w:t>4</w:t>
      </w:r>
      <w:r w:rsidRPr="00346271">
        <w:rPr>
          <w:sz w:val="20"/>
          <w:szCs w:val="20"/>
          <w:lang w:val="en-NZ"/>
        </w:rPr>
        <w:t xml:space="preserve">: </w:t>
      </w:r>
      <w:r w:rsidRPr="00346271">
        <w:rPr>
          <w:sz w:val="20"/>
          <w:szCs w:val="20"/>
          <w:lang w:val="en-NZ"/>
        </w:rPr>
        <w:tab/>
        <w:t xml:space="preserve">Monitoring and reporting on compliance with New Zealand law and </w:t>
      </w:r>
      <w:r w:rsidRPr="00346271">
        <w:rPr>
          <w:sz w:val="20"/>
          <w:szCs w:val="20"/>
          <w:lang w:val="en-NZ"/>
        </w:rPr>
        <w:br/>
        <w:t>international human rights instruments</w:t>
      </w:r>
      <w:r w:rsidRPr="00346271">
        <w:rPr>
          <w:sz w:val="20"/>
          <w:szCs w:val="20"/>
          <w:lang w:val="en-NZ"/>
        </w:rPr>
        <w:br/>
      </w:r>
    </w:p>
    <w:p w:rsidR="00346271" w:rsidRPr="00346271" w:rsidRDefault="00346271" w:rsidP="00346271">
      <w:pPr>
        <w:tabs>
          <w:tab w:val="right" w:pos="9026"/>
        </w:tabs>
        <w:spacing w:after="120" w:line="240" w:lineRule="auto"/>
        <w:ind w:left="567"/>
        <w:jc w:val="right"/>
        <w:rPr>
          <w:b/>
          <w:sz w:val="20"/>
          <w:szCs w:val="20"/>
          <w:lang w:val="en-NZ"/>
        </w:rPr>
      </w:pPr>
      <w:bookmarkStart w:id="5" w:name="_Toc390680419"/>
      <w:r w:rsidRPr="00346271">
        <w:rPr>
          <w:b/>
          <w:sz w:val="20"/>
          <w:szCs w:val="20"/>
          <w:lang w:val="en-NZ"/>
        </w:rPr>
        <w:t>Output area – Complaints of unlawful discrimination</w:t>
      </w:r>
      <w:r w:rsidRPr="00346271">
        <w:rPr>
          <w:b/>
          <w:sz w:val="20"/>
          <w:szCs w:val="20"/>
          <w:lang w:val="en-NZ"/>
        </w:rPr>
        <w:tab/>
      </w:r>
      <w:bookmarkEnd w:id="5"/>
      <w:r w:rsidRPr="00346271">
        <w:rPr>
          <w:sz w:val="20"/>
          <w:szCs w:val="20"/>
          <w:lang w:val="en-NZ"/>
        </w:rPr>
        <w:t>$</w:t>
      </w:r>
      <w:r w:rsidR="004252DC">
        <w:rPr>
          <w:sz w:val="20"/>
          <w:szCs w:val="20"/>
          <w:lang w:val="en-NZ"/>
        </w:rPr>
        <w:t>1.146</w:t>
      </w:r>
      <w:r w:rsidRPr="00346271">
        <w:rPr>
          <w:sz w:val="20"/>
          <w:szCs w:val="20"/>
          <w:lang w:val="en-NZ"/>
        </w:rPr>
        <w:t>m</w:t>
      </w:r>
    </w:p>
    <w:p w:rsidR="00346271" w:rsidRPr="00346271" w:rsidRDefault="00346271" w:rsidP="00346271">
      <w:pPr>
        <w:spacing w:after="120" w:line="240" w:lineRule="auto"/>
        <w:ind w:left="1560" w:right="1088" w:hanging="993"/>
        <w:rPr>
          <w:sz w:val="20"/>
          <w:szCs w:val="20"/>
          <w:lang w:val="en-NZ"/>
        </w:rPr>
      </w:pPr>
      <w:r w:rsidRPr="00346271">
        <w:rPr>
          <w:sz w:val="20"/>
          <w:szCs w:val="20"/>
          <w:lang w:val="en-NZ"/>
        </w:rPr>
        <w:t xml:space="preserve">Output </w:t>
      </w:r>
      <w:r w:rsidR="00EA2B41">
        <w:rPr>
          <w:sz w:val="20"/>
          <w:szCs w:val="20"/>
          <w:lang w:val="en-NZ"/>
        </w:rPr>
        <w:t>5</w:t>
      </w:r>
      <w:r w:rsidRPr="00346271">
        <w:rPr>
          <w:sz w:val="20"/>
          <w:szCs w:val="20"/>
          <w:lang w:val="en-NZ"/>
        </w:rPr>
        <w:t>:</w:t>
      </w:r>
      <w:r w:rsidRPr="00346271">
        <w:rPr>
          <w:sz w:val="20"/>
          <w:szCs w:val="20"/>
          <w:lang w:val="en-NZ"/>
        </w:rPr>
        <w:tab/>
        <w:t>Responding to, and resolving, complaints of unlawful discrimination</w:t>
      </w:r>
      <w:r w:rsidRPr="00346271">
        <w:rPr>
          <w:sz w:val="20"/>
          <w:szCs w:val="20"/>
          <w:lang w:val="en-NZ"/>
        </w:rPr>
        <w:br/>
      </w:r>
    </w:p>
    <w:p w:rsidR="00346271" w:rsidRPr="00346271" w:rsidRDefault="00346271" w:rsidP="00346271">
      <w:pPr>
        <w:tabs>
          <w:tab w:val="right" w:pos="9026"/>
        </w:tabs>
        <w:spacing w:after="120" w:line="240" w:lineRule="auto"/>
        <w:ind w:left="567"/>
        <w:jc w:val="right"/>
        <w:rPr>
          <w:b/>
          <w:sz w:val="20"/>
          <w:szCs w:val="20"/>
          <w:lang w:val="en-NZ"/>
        </w:rPr>
      </w:pPr>
      <w:bookmarkStart w:id="6" w:name="_Toc390680420"/>
      <w:r w:rsidRPr="00346271">
        <w:rPr>
          <w:b/>
          <w:sz w:val="20"/>
          <w:szCs w:val="20"/>
          <w:lang w:val="en-NZ"/>
        </w:rPr>
        <w:t>Output area – Legal representation and proceedings</w:t>
      </w:r>
      <w:r w:rsidRPr="00346271">
        <w:rPr>
          <w:b/>
          <w:sz w:val="20"/>
          <w:szCs w:val="20"/>
          <w:lang w:val="en-NZ"/>
        </w:rPr>
        <w:tab/>
      </w:r>
      <w:bookmarkEnd w:id="6"/>
      <w:r w:rsidRPr="00346271">
        <w:rPr>
          <w:sz w:val="20"/>
          <w:szCs w:val="20"/>
          <w:lang w:val="en-NZ"/>
        </w:rPr>
        <w:t>$</w:t>
      </w:r>
      <w:r w:rsidR="004252DC">
        <w:rPr>
          <w:sz w:val="20"/>
          <w:szCs w:val="20"/>
          <w:lang w:val="en-NZ"/>
        </w:rPr>
        <w:t>0.672</w:t>
      </w:r>
      <w:r w:rsidRPr="00346271">
        <w:rPr>
          <w:sz w:val="20"/>
          <w:szCs w:val="20"/>
          <w:lang w:val="en-NZ"/>
        </w:rPr>
        <w:t>m</w:t>
      </w:r>
    </w:p>
    <w:p w:rsidR="00346271" w:rsidRPr="00346271" w:rsidRDefault="00346271" w:rsidP="00346271">
      <w:pPr>
        <w:spacing w:after="120" w:line="240" w:lineRule="auto"/>
        <w:ind w:left="1560" w:right="1088" w:hanging="993"/>
        <w:rPr>
          <w:sz w:val="20"/>
          <w:szCs w:val="20"/>
          <w:lang w:val="en-NZ"/>
        </w:rPr>
      </w:pPr>
      <w:r w:rsidRPr="00346271">
        <w:rPr>
          <w:sz w:val="20"/>
          <w:szCs w:val="20"/>
          <w:lang w:val="en-NZ"/>
        </w:rPr>
        <w:t xml:space="preserve">Output </w:t>
      </w:r>
      <w:r w:rsidR="00EA2B41">
        <w:rPr>
          <w:sz w:val="20"/>
          <w:szCs w:val="20"/>
          <w:lang w:val="en-NZ"/>
        </w:rPr>
        <w:t>6</w:t>
      </w:r>
      <w:r w:rsidRPr="00346271">
        <w:rPr>
          <w:sz w:val="20"/>
          <w:szCs w:val="20"/>
          <w:lang w:val="en-NZ"/>
        </w:rPr>
        <w:t>:</w:t>
      </w:r>
      <w:r w:rsidRPr="00346271">
        <w:rPr>
          <w:sz w:val="20"/>
          <w:szCs w:val="20"/>
          <w:lang w:val="en-NZ"/>
        </w:rPr>
        <w:tab/>
        <w:t>Providing legal representation and bringing proceedings</w:t>
      </w:r>
      <w:r w:rsidRPr="00346271">
        <w:rPr>
          <w:sz w:val="20"/>
          <w:szCs w:val="20"/>
          <w:lang w:val="en-NZ"/>
        </w:rPr>
        <w:tab/>
      </w:r>
    </w:p>
    <w:p w:rsidR="00346271" w:rsidRPr="00346271" w:rsidRDefault="00346271" w:rsidP="00346271">
      <w:pPr>
        <w:tabs>
          <w:tab w:val="left" w:pos="567"/>
          <w:tab w:val="left" w:pos="8525"/>
          <w:tab w:val="right" w:pos="9923"/>
        </w:tabs>
        <w:spacing w:after="120" w:line="240" w:lineRule="auto"/>
        <w:ind w:left="567" w:hanging="567"/>
        <w:rPr>
          <w:sz w:val="20"/>
          <w:szCs w:val="20"/>
          <w:lang w:val="en-NZ"/>
        </w:rPr>
      </w:pPr>
    </w:p>
    <w:p w:rsidR="00346271" w:rsidRPr="00346271" w:rsidRDefault="00346271" w:rsidP="00346271">
      <w:pPr>
        <w:tabs>
          <w:tab w:val="right" w:pos="9026"/>
        </w:tabs>
        <w:spacing w:after="120" w:line="240" w:lineRule="auto"/>
        <w:ind w:left="567"/>
        <w:jc w:val="right"/>
        <w:rPr>
          <w:b/>
          <w:sz w:val="20"/>
          <w:szCs w:val="20"/>
          <w:lang w:val="en-NZ"/>
        </w:rPr>
      </w:pPr>
      <w:r w:rsidRPr="00346271">
        <w:rPr>
          <w:b/>
          <w:sz w:val="20"/>
          <w:szCs w:val="20"/>
          <w:lang w:val="en-NZ"/>
        </w:rPr>
        <w:t>Total forecast output expenditure</w:t>
      </w:r>
      <w:r w:rsidRPr="00346271">
        <w:rPr>
          <w:b/>
          <w:sz w:val="20"/>
          <w:szCs w:val="20"/>
          <w:lang w:val="en-NZ"/>
        </w:rPr>
        <w:tab/>
        <w:t>$</w:t>
      </w:r>
      <w:r w:rsidR="004252DC">
        <w:rPr>
          <w:b/>
          <w:sz w:val="20"/>
          <w:szCs w:val="20"/>
          <w:lang w:val="en-NZ"/>
        </w:rPr>
        <w:t>11.119</w:t>
      </w:r>
      <w:r w:rsidRPr="00346271">
        <w:rPr>
          <w:b/>
          <w:sz w:val="20"/>
          <w:szCs w:val="20"/>
          <w:lang w:val="en-NZ"/>
        </w:rPr>
        <w:t>m</w:t>
      </w:r>
    </w:p>
    <w:p w:rsidR="00346271" w:rsidRPr="00346271" w:rsidRDefault="00346271" w:rsidP="00346271">
      <w:pPr>
        <w:pBdr>
          <w:bottom w:val="single" w:sz="4" w:space="1" w:color="auto"/>
        </w:pBdr>
        <w:tabs>
          <w:tab w:val="left" w:pos="567"/>
          <w:tab w:val="left" w:pos="8505"/>
          <w:tab w:val="right" w:pos="9923"/>
        </w:tabs>
        <w:spacing w:after="120" w:line="240" w:lineRule="auto"/>
        <w:rPr>
          <w:b/>
          <w:sz w:val="20"/>
          <w:szCs w:val="20"/>
          <w:u w:val="single"/>
          <w:lang w:val="en-NZ"/>
        </w:rPr>
      </w:pPr>
    </w:p>
    <w:p w:rsidR="00346271" w:rsidRPr="00346271" w:rsidRDefault="00346271" w:rsidP="00346271">
      <w:pPr>
        <w:keepNext/>
        <w:keepLines/>
        <w:tabs>
          <w:tab w:val="right" w:pos="9923"/>
        </w:tabs>
        <w:spacing w:before="200"/>
        <w:outlineLvl w:val="1"/>
        <w:rPr>
          <w:rFonts w:eastAsiaTheme="majorEastAsia" w:cstheme="majorBidi"/>
          <w:bCs/>
          <w:color w:val="4F81BD" w:themeColor="accent1"/>
          <w:sz w:val="28"/>
          <w:szCs w:val="26"/>
        </w:rPr>
      </w:pPr>
      <w:r w:rsidRPr="00346271">
        <w:rPr>
          <w:rFonts w:eastAsiaTheme="majorEastAsia" w:cstheme="majorBidi"/>
          <w:bCs/>
          <w:color w:val="4F81BD" w:themeColor="accent1"/>
          <w:sz w:val="28"/>
          <w:szCs w:val="26"/>
        </w:rPr>
        <w:t>Forecast revenue</w:t>
      </w:r>
    </w:p>
    <w:p w:rsidR="00346271" w:rsidRPr="00346271" w:rsidRDefault="00346271" w:rsidP="00346271">
      <w:pPr>
        <w:tabs>
          <w:tab w:val="right" w:pos="9026"/>
        </w:tabs>
        <w:spacing w:after="120" w:line="240" w:lineRule="auto"/>
        <w:jc w:val="right"/>
        <w:rPr>
          <w:sz w:val="20"/>
          <w:szCs w:val="20"/>
          <w:lang w:val="en-NZ"/>
        </w:rPr>
      </w:pPr>
      <w:r w:rsidRPr="00346271">
        <w:rPr>
          <w:sz w:val="20"/>
          <w:szCs w:val="20"/>
          <w:lang w:val="en-NZ"/>
        </w:rPr>
        <w:t>Crown revenue</w:t>
      </w:r>
      <w:r w:rsidRPr="00346271">
        <w:rPr>
          <w:sz w:val="20"/>
          <w:szCs w:val="20"/>
          <w:lang w:val="en-NZ"/>
        </w:rPr>
        <w:tab/>
        <w:t>$9.496m</w:t>
      </w:r>
    </w:p>
    <w:p w:rsidR="00346271" w:rsidRPr="00346271" w:rsidRDefault="00346271" w:rsidP="00346271">
      <w:pPr>
        <w:tabs>
          <w:tab w:val="right" w:pos="9923"/>
        </w:tabs>
        <w:spacing w:after="120" w:line="240" w:lineRule="auto"/>
        <w:rPr>
          <w:sz w:val="20"/>
          <w:szCs w:val="20"/>
          <w:lang w:val="en-NZ"/>
        </w:rPr>
      </w:pPr>
      <w:r w:rsidRPr="00346271">
        <w:rPr>
          <w:sz w:val="20"/>
          <w:szCs w:val="20"/>
          <w:lang w:val="en-NZ"/>
        </w:rPr>
        <w:t>Interest revenue</w:t>
      </w:r>
      <w:r w:rsidRPr="00346271">
        <w:rPr>
          <w:sz w:val="20"/>
          <w:szCs w:val="20"/>
          <w:lang w:val="en-NZ"/>
        </w:rPr>
        <w:tab/>
        <w:t>$</w:t>
      </w:r>
      <w:r w:rsidR="004252DC">
        <w:rPr>
          <w:sz w:val="20"/>
          <w:szCs w:val="20"/>
          <w:lang w:val="en-NZ"/>
        </w:rPr>
        <w:t>0.146</w:t>
      </w:r>
      <w:r w:rsidRPr="00346271">
        <w:rPr>
          <w:sz w:val="20"/>
          <w:szCs w:val="20"/>
          <w:lang w:val="en-NZ"/>
        </w:rPr>
        <w:t>m</w:t>
      </w:r>
    </w:p>
    <w:p w:rsidR="00346271" w:rsidRPr="00346271" w:rsidRDefault="00346271" w:rsidP="00346271">
      <w:pPr>
        <w:tabs>
          <w:tab w:val="right" w:pos="9923"/>
        </w:tabs>
        <w:spacing w:after="120" w:line="240" w:lineRule="auto"/>
        <w:rPr>
          <w:sz w:val="20"/>
          <w:szCs w:val="20"/>
          <w:u w:val="single"/>
          <w:lang w:val="en-NZ"/>
        </w:rPr>
      </w:pPr>
      <w:r w:rsidRPr="00346271">
        <w:rPr>
          <w:sz w:val="20"/>
          <w:szCs w:val="20"/>
          <w:lang w:val="en-NZ"/>
        </w:rPr>
        <w:t>Other revenue</w:t>
      </w:r>
      <w:r w:rsidRPr="00346271">
        <w:rPr>
          <w:sz w:val="20"/>
          <w:szCs w:val="20"/>
          <w:lang w:val="en-NZ"/>
        </w:rPr>
        <w:tab/>
      </w:r>
      <w:r w:rsidRPr="00346271">
        <w:rPr>
          <w:sz w:val="20"/>
          <w:szCs w:val="20"/>
          <w:u w:val="single"/>
          <w:lang w:val="en-NZ"/>
        </w:rPr>
        <w:t>$</w:t>
      </w:r>
      <w:r w:rsidR="004252DC">
        <w:rPr>
          <w:sz w:val="20"/>
          <w:szCs w:val="20"/>
          <w:u w:val="single"/>
          <w:lang w:val="en-NZ"/>
        </w:rPr>
        <w:t>0.589</w:t>
      </w:r>
      <w:r w:rsidRPr="00346271">
        <w:rPr>
          <w:sz w:val="20"/>
          <w:szCs w:val="20"/>
          <w:u w:val="single"/>
          <w:lang w:val="en-NZ"/>
        </w:rPr>
        <w:t>m</w:t>
      </w:r>
    </w:p>
    <w:p w:rsidR="00346271" w:rsidRPr="00346271" w:rsidRDefault="00346271" w:rsidP="00346271">
      <w:pPr>
        <w:tabs>
          <w:tab w:val="right" w:pos="9923"/>
        </w:tabs>
        <w:spacing w:after="120" w:line="240" w:lineRule="auto"/>
        <w:rPr>
          <w:b/>
          <w:sz w:val="20"/>
          <w:szCs w:val="20"/>
          <w:lang w:val="en-NZ"/>
        </w:rPr>
      </w:pPr>
      <w:r w:rsidRPr="00346271">
        <w:rPr>
          <w:b/>
          <w:sz w:val="20"/>
          <w:szCs w:val="20"/>
        </w:rPr>
        <w:t>Total forecast revenue</w:t>
      </w:r>
      <w:r w:rsidRPr="00346271">
        <w:rPr>
          <w:b/>
          <w:sz w:val="20"/>
          <w:szCs w:val="20"/>
          <w:lang w:val="en-NZ"/>
        </w:rPr>
        <w:tab/>
        <w:t>$</w:t>
      </w:r>
      <w:r w:rsidR="004252DC">
        <w:rPr>
          <w:b/>
          <w:sz w:val="20"/>
          <w:szCs w:val="20"/>
          <w:lang w:val="en-NZ"/>
        </w:rPr>
        <w:t>10.231</w:t>
      </w:r>
      <w:r w:rsidRPr="00346271">
        <w:rPr>
          <w:b/>
          <w:sz w:val="20"/>
          <w:szCs w:val="20"/>
          <w:lang w:val="en-NZ"/>
        </w:rPr>
        <w:t>m</w:t>
      </w:r>
    </w:p>
    <w:p w:rsidR="00346271" w:rsidRPr="00346271" w:rsidRDefault="00346271" w:rsidP="00346271">
      <w:pPr>
        <w:tabs>
          <w:tab w:val="right" w:pos="9923"/>
        </w:tabs>
        <w:spacing w:after="120" w:line="240" w:lineRule="auto"/>
        <w:rPr>
          <w:b/>
          <w:sz w:val="20"/>
          <w:szCs w:val="20"/>
        </w:rPr>
      </w:pPr>
    </w:p>
    <w:p w:rsidR="00346271" w:rsidRDefault="00346271" w:rsidP="00346271">
      <w:pPr>
        <w:tabs>
          <w:tab w:val="right" w:pos="9923"/>
        </w:tabs>
        <w:spacing w:after="120" w:line="240" w:lineRule="auto"/>
        <w:rPr>
          <w:lang w:val="en-NZ"/>
        </w:rPr>
      </w:pPr>
      <w:r w:rsidRPr="00346271">
        <w:rPr>
          <w:b/>
          <w:sz w:val="20"/>
          <w:szCs w:val="20"/>
        </w:rPr>
        <w:t>Surplus to current reserves</w:t>
      </w:r>
      <w:r w:rsidRPr="00346271">
        <w:rPr>
          <w:b/>
          <w:sz w:val="20"/>
          <w:szCs w:val="20"/>
        </w:rPr>
        <w:tab/>
      </w:r>
      <w:r w:rsidR="004252DC">
        <w:rPr>
          <w:b/>
          <w:sz w:val="20"/>
          <w:szCs w:val="20"/>
        </w:rPr>
        <w:t>($0.888m)</w:t>
      </w:r>
      <w:r>
        <w:rPr>
          <w:lang w:val="en-NZ"/>
        </w:rPr>
        <w:br w:type="page"/>
      </w:r>
    </w:p>
    <w:p w:rsidR="001602FB" w:rsidRPr="004714C5" w:rsidRDefault="001602FB" w:rsidP="00634D56">
      <w:pPr>
        <w:rPr>
          <w:rFonts w:cs="Arial"/>
          <w:b/>
          <w:szCs w:val="36"/>
          <w:lang w:val="en-NZ"/>
        </w:rPr>
      </w:pPr>
      <w:bookmarkStart w:id="7" w:name="_Toc390680425"/>
      <w:bookmarkEnd w:id="3"/>
      <w:r w:rsidRPr="004714C5">
        <w:rPr>
          <w:rFonts w:cs="Arial"/>
          <w:b/>
          <w:szCs w:val="36"/>
          <w:lang w:val="en-NZ"/>
        </w:rPr>
        <w:lastRenderedPageBreak/>
        <w:t>Forecast Service Performance 201</w:t>
      </w:r>
      <w:r w:rsidR="00B052FF" w:rsidRPr="004714C5">
        <w:rPr>
          <w:rFonts w:cs="Arial"/>
          <w:b/>
          <w:szCs w:val="36"/>
          <w:lang w:val="en-NZ"/>
        </w:rPr>
        <w:t>6</w:t>
      </w:r>
      <w:r w:rsidRPr="004714C5">
        <w:rPr>
          <w:rFonts w:cs="Arial"/>
          <w:b/>
          <w:szCs w:val="36"/>
          <w:lang w:val="en-NZ"/>
        </w:rPr>
        <w:t>/1</w:t>
      </w:r>
      <w:bookmarkEnd w:id="7"/>
      <w:r w:rsidR="00B052FF" w:rsidRPr="004714C5">
        <w:rPr>
          <w:rFonts w:cs="Arial"/>
          <w:b/>
          <w:szCs w:val="36"/>
          <w:lang w:val="en-NZ"/>
        </w:rPr>
        <w:t>7</w:t>
      </w:r>
    </w:p>
    <w:p w:rsidR="001602FB" w:rsidRPr="006D0E9C" w:rsidRDefault="001602FB" w:rsidP="001602FB">
      <w:pPr>
        <w:rPr>
          <w:lang w:val="en-NZ"/>
        </w:rPr>
      </w:pPr>
      <w:r w:rsidRPr="006D0E9C">
        <w:rPr>
          <w:lang w:val="en-NZ"/>
        </w:rPr>
        <w:t xml:space="preserve">Measures by </w:t>
      </w:r>
      <w:r>
        <w:rPr>
          <w:lang w:val="en-NZ"/>
        </w:rPr>
        <w:t xml:space="preserve">output </w:t>
      </w:r>
      <w:r w:rsidRPr="00BF7939">
        <w:rPr>
          <w:lang w:val="en-NZ"/>
        </w:rPr>
        <w:t>activities</w:t>
      </w:r>
      <w:r>
        <w:rPr>
          <w:lang w:val="en-NZ"/>
        </w:rPr>
        <w:t xml:space="preserve"> under the Commission’s Output for this financial year are detailed in the tables below:</w:t>
      </w:r>
    </w:p>
    <w:p w:rsidR="001602FB" w:rsidRPr="000B4210" w:rsidRDefault="004C5B67" w:rsidP="004C5B67">
      <w:pPr>
        <w:spacing w:before="120" w:after="120"/>
        <w:jc w:val="both"/>
        <w:rPr>
          <w:rFonts w:cs="Arial"/>
          <w:b/>
          <w:lang w:val="en-NZ"/>
        </w:rPr>
      </w:pPr>
      <w:r w:rsidRPr="000B4210">
        <w:rPr>
          <w:b/>
        </w:rPr>
        <w:t xml:space="preserve">Output 1:  </w:t>
      </w:r>
      <w:r w:rsidR="00FF3128" w:rsidRPr="000B4210">
        <w:rPr>
          <w:b/>
        </w:rPr>
        <w:t xml:space="preserve">Human rights education, promotion, and advocacy programmes that are delivered effectively  </w:t>
      </w:r>
      <w:r w:rsidR="00FF3128" w:rsidRPr="000B4210">
        <w:rPr>
          <w:rFonts w:cs="Arial"/>
          <w:b/>
          <w:bCs/>
          <w:lang w:val="en-NZ"/>
        </w:rPr>
        <w:t xml:space="preserve"> </w:t>
      </w:r>
    </w:p>
    <w:tbl>
      <w:tblPr>
        <w:tblStyle w:val="TableGrid"/>
        <w:tblW w:w="9776" w:type="dxa"/>
        <w:tblLayout w:type="fixed"/>
        <w:tblCellMar>
          <w:top w:w="45" w:type="dxa"/>
        </w:tblCellMar>
        <w:tblLook w:val="04A0" w:firstRow="1" w:lastRow="0" w:firstColumn="1" w:lastColumn="0" w:noHBand="0" w:noVBand="1"/>
      </w:tblPr>
      <w:tblGrid>
        <w:gridCol w:w="1413"/>
        <w:gridCol w:w="1417"/>
        <w:gridCol w:w="1276"/>
        <w:gridCol w:w="1418"/>
        <w:gridCol w:w="1417"/>
        <w:gridCol w:w="1559"/>
        <w:gridCol w:w="1276"/>
      </w:tblGrid>
      <w:tr w:rsidR="00FF3128" w:rsidRPr="000B4210" w:rsidTr="00003B2D">
        <w:trPr>
          <w:trHeight w:val="454"/>
          <w:tblHeader/>
        </w:trPr>
        <w:tc>
          <w:tcPr>
            <w:tcW w:w="1413" w:type="dxa"/>
            <w:shd w:val="clear" w:color="auto" w:fill="DDD9C3" w:themeFill="background2" w:themeFillShade="E6"/>
          </w:tcPr>
          <w:p w:rsidR="00FF3128" w:rsidRPr="000B4210" w:rsidRDefault="00FF3128"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Objective</w:t>
            </w:r>
          </w:p>
        </w:tc>
        <w:tc>
          <w:tcPr>
            <w:tcW w:w="1417" w:type="dxa"/>
            <w:shd w:val="clear" w:color="auto" w:fill="DDD9C3" w:themeFill="background2" w:themeFillShade="E6"/>
          </w:tcPr>
          <w:p w:rsidR="00FF3128" w:rsidRPr="000B4210" w:rsidRDefault="00FF3128"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Measure</w:t>
            </w:r>
          </w:p>
        </w:tc>
        <w:tc>
          <w:tcPr>
            <w:tcW w:w="1276" w:type="dxa"/>
            <w:shd w:val="clear" w:color="auto" w:fill="DDD9C3" w:themeFill="background2" w:themeFillShade="E6"/>
          </w:tcPr>
          <w:p w:rsidR="00FF3128" w:rsidRPr="000B4210" w:rsidRDefault="00FF3128"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Baseline</w:t>
            </w:r>
          </w:p>
        </w:tc>
        <w:tc>
          <w:tcPr>
            <w:tcW w:w="1418" w:type="dxa"/>
            <w:shd w:val="clear" w:color="auto" w:fill="DDD9C3" w:themeFill="background2" w:themeFillShade="E6"/>
          </w:tcPr>
          <w:p w:rsidR="00FF3128" w:rsidRPr="000B4210" w:rsidRDefault="00FF3128"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2016/17</w:t>
            </w:r>
          </w:p>
        </w:tc>
        <w:tc>
          <w:tcPr>
            <w:tcW w:w="1417" w:type="dxa"/>
            <w:shd w:val="clear" w:color="auto" w:fill="DDD9C3" w:themeFill="background2" w:themeFillShade="E6"/>
          </w:tcPr>
          <w:p w:rsidR="00FF3128" w:rsidRPr="000B4210" w:rsidRDefault="00FF3128"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2017/18</w:t>
            </w:r>
          </w:p>
        </w:tc>
        <w:tc>
          <w:tcPr>
            <w:tcW w:w="1559" w:type="dxa"/>
            <w:shd w:val="clear" w:color="auto" w:fill="DDD9C3" w:themeFill="background2" w:themeFillShade="E6"/>
          </w:tcPr>
          <w:p w:rsidR="00FF3128" w:rsidRPr="000B4210" w:rsidRDefault="00FF3128"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2018/19</w:t>
            </w:r>
          </w:p>
        </w:tc>
        <w:tc>
          <w:tcPr>
            <w:tcW w:w="1276" w:type="dxa"/>
            <w:shd w:val="clear" w:color="auto" w:fill="DDD9C3" w:themeFill="background2" w:themeFillShade="E6"/>
          </w:tcPr>
          <w:p w:rsidR="00FF3128" w:rsidRPr="000B4210" w:rsidRDefault="00FF3128"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2019/20</w:t>
            </w:r>
          </w:p>
        </w:tc>
      </w:tr>
      <w:tr w:rsidR="00FF3128" w:rsidRPr="000B4210" w:rsidTr="00003B2D">
        <w:tc>
          <w:tcPr>
            <w:tcW w:w="1413" w:type="dxa"/>
          </w:tcPr>
          <w:p w:rsidR="00FF3128" w:rsidRPr="000B4210" w:rsidRDefault="000E6FBF" w:rsidP="001602FB">
            <w:pPr>
              <w:spacing w:before="120" w:line="240" w:lineRule="auto"/>
              <w:rPr>
                <w:rFonts w:ascii="Arial Narrow" w:hAnsi="Arial Narrow" w:cs="Arial"/>
                <w:color w:val="000000" w:themeColor="text1"/>
                <w:kern w:val="24"/>
                <w:lang w:val="en-NZ"/>
              </w:rPr>
            </w:pPr>
            <w:r>
              <w:br w:type="page"/>
            </w:r>
            <w:r w:rsidR="00FF3128" w:rsidRPr="000B4210">
              <w:rPr>
                <w:rFonts w:ascii="Arial Narrow" w:hAnsi="Arial Narrow" w:cs="Arial"/>
                <w:b/>
                <w:color w:val="000000" w:themeColor="text1"/>
                <w:kern w:val="24"/>
                <w:lang w:val="en-NZ"/>
              </w:rPr>
              <w:t>Increased Reach and Relevance</w:t>
            </w:r>
          </w:p>
        </w:tc>
        <w:tc>
          <w:tcPr>
            <w:tcW w:w="1417" w:type="dxa"/>
          </w:tcPr>
          <w:p w:rsidR="0053346D" w:rsidRDefault="00FF3128" w:rsidP="00441992">
            <w:pPr>
              <w:spacing w:before="120" w:line="240" w:lineRule="auto"/>
              <w:rPr>
                <w:rFonts w:ascii="Arial Narrow" w:hAnsi="Arial Narrow" w:cs="Arial"/>
                <w:iCs/>
                <w:color w:val="000000" w:themeColor="text1"/>
                <w:kern w:val="24"/>
                <w:lang w:val="en-NZ"/>
              </w:rPr>
            </w:pPr>
            <w:r w:rsidRPr="000B4210">
              <w:rPr>
                <w:rFonts w:ascii="Arial Narrow" w:hAnsi="Arial Narrow" w:cs="Arial"/>
                <w:iCs/>
                <w:color w:val="000000" w:themeColor="text1"/>
                <w:kern w:val="24"/>
                <w:lang w:val="en-NZ"/>
              </w:rPr>
              <w:t>The number of downloads and access to Commission digital information</w:t>
            </w:r>
            <w:r w:rsidR="001D5FC5">
              <w:rPr>
                <w:rStyle w:val="FootnoteReference"/>
                <w:rFonts w:ascii="Arial Narrow" w:hAnsi="Arial Narrow" w:cs="Arial"/>
                <w:iCs/>
                <w:color w:val="000000" w:themeColor="text1"/>
                <w:kern w:val="24"/>
                <w:lang w:val="en-NZ"/>
              </w:rPr>
              <w:footnoteReference w:id="4"/>
            </w:r>
          </w:p>
          <w:p w:rsidR="0053346D" w:rsidRDefault="0053346D" w:rsidP="00441992">
            <w:pPr>
              <w:spacing w:before="120" w:line="240" w:lineRule="auto"/>
              <w:rPr>
                <w:rFonts w:ascii="Arial Narrow" w:hAnsi="Arial Narrow" w:cs="Arial"/>
                <w:iCs/>
                <w:color w:val="000000" w:themeColor="text1"/>
                <w:kern w:val="24"/>
                <w:lang w:val="en-NZ"/>
              </w:rPr>
            </w:pPr>
            <w:r>
              <w:rPr>
                <w:rFonts w:ascii="Arial Narrow" w:hAnsi="Arial Narrow" w:cs="Arial"/>
                <w:iCs/>
                <w:color w:val="000000" w:themeColor="text1"/>
                <w:kern w:val="24"/>
                <w:lang w:val="en-NZ"/>
              </w:rPr>
              <w:t>Percentage of civil society and government stakeholders that provide positive feedback about key HRC external events</w:t>
            </w:r>
            <w:r>
              <w:rPr>
                <w:rStyle w:val="FootnoteReference"/>
                <w:rFonts w:ascii="Arial Narrow" w:hAnsi="Arial Narrow" w:cs="Arial"/>
                <w:iCs/>
                <w:color w:val="000000" w:themeColor="text1"/>
                <w:kern w:val="24"/>
                <w:lang w:val="en-NZ"/>
              </w:rPr>
              <w:footnoteReference w:id="5"/>
            </w:r>
            <w:r>
              <w:rPr>
                <w:rFonts w:ascii="Arial Narrow" w:hAnsi="Arial Narrow" w:cs="Arial"/>
                <w:iCs/>
                <w:color w:val="000000" w:themeColor="text1"/>
                <w:kern w:val="24"/>
                <w:lang w:val="en-NZ"/>
              </w:rPr>
              <w:t xml:space="preserve"> </w:t>
            </w:r>
          </w:p>
          <w:p w:rsidR="00FF3128" w:rsidRPr="000B4210" w:rsidRDefault="00FF3128" w:rsidP="00441992">
            <w:pPr>
              <w:spacing w:before="120" w:line="240" w:lineRule="auto"/>
              <w:rPr>
                <w:rFonts w:ascii="Arial Narrow" w:hAnsi="Arial Narrow" w:cs="Arial"/>
                <w:iCs/>
                <w:color w:val="000000" w:themeColor="text1"/>
                <w:kern w:val="24"/>
                <w:lang w:val="en-NZ"/>
              </w:rPr>
            </w:pPr>
          </w:p>
        </w:tc>
        <w:tc>
          <w:tcPr>
            <w:tcW w:w="1276" w:type="dxa"/>
          </w:tcPr>
          <w:p w:rsidR="00FF3128" w:rsidRPr="000B4210" w:rsidRDefault="00FF3128" w:rsidP="00F14AF4">
            <w:pPr>
              <w:spacing w:before="120" w:after="100" w:afterAutospacing="1"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35,000</w:t>
            </w:r>
          </w:p>
          <w:p w:rsidR="00C70B30" w:rsidRDefault="00C70B30" w:rsidP="00474022">
            <w:pPr>
              <w:spacing w:before="360" w:after="120" w:line="240" w:lineRule="auto"/>
              <w:rPr>
                <w:rFonts w:ascii="Arial Narrow" w:hAnsi="Arial Narrow" w:cs="Arial"/>
                <w:color w:val="000000" w:themeColor="text1"/>
                <w:kern w:val="24"/>
                <w:lang w:val="en-NZ"/>
              </w:rPr>
            </w:pPr>
          </w:p>
          <w:p w:rsidR="00C70B30" w:rsidRDefault="00C70B30" w:rsidP="00474022">
            <w:pPr>
              <w:spacing w:before="360" w:after="120" w:line="240" w:lineRule="auto"/>
              <w:rPr>
                <w:rFonts w:ascii="Arial Narrow" w:hAnsi="Arial Narrow" w:cs="Arial"/>
                <w:color w:val="000000" w:themeColor="text1"/>
                <w:kern w:val="24"/>
                <w:lang w:val="en-NZ"/>
              </w:rPr>
            </w:pPr>
          </w:p>
          <w:p w:rsidR="00E11007" w:rsidRDefault="00C70B30" w:rsidP="00C70B30">
            <w:pPr>
              <w:spacing w:before="240" w:after="120" w:line="240" w:lineRule="auto"/>
              <w:rPr>
                <w:rFonts w:ascii="Arial Narrow" w:hAnsi="Arial Narrow" w:cs="Arial"/>
                <w:color w:val="000000" w:themeColor="text1"/>
                <w:kern w:val="24"/>
                <w:lang w:val="en-NZ"/>
              </w:rPr>
            </w:pPr>
            <w:r>
              <w:rPr>
                <w:rFonts w:ascii="Arial Narrow" w:hAnsi="Arial Narrow" w:cs="Arial"/>
                <w:color w:val="000000" w:themeColor="text1"/>
                <w:kern w:val="24"/>
                <w:lang w:val="en-NZ"/>
              </w:rPr>
              <w:t>7</w:t>
            </w:r>
            <w:r w:rsidR="00B63AD4">
              <w:rPr>
                <w:rFonts w:ascii="Arial Narrow" w:hAnsi="Arial Narrow" w:cs="Arial"/>
                <w:color w:val="000000" w:themeColor="text1"/>
                <w:kern w:val="24"/>
                <w:lang w:val="en-NZ"/>
              </w:rPr>
              <w:t>0%</w:t>
            </w:r>
          </w:p>
          <w:p w:rsidR="00844005" w:rsidRDefault="00844005" w:rsidP="002B1F40">
            <w:pPr>
              <w:spacing w:before="360" w:after="120" w:line="240" w:lineRule="auto"/>
              <w:rPr>
                <w:rFonts w:ascii="Arial Narrow" w:hAnsi="Arial Narrow" w:cs="Arial"/>
                <w:color w:val="000000" w:themeColor="text1"/>
                <w:kern w:val="24"/>
                <w:lang w:val="en-NZ"/>
              </w:rPr>
            </w:pPr>
          </w:p>
          <w:p w:rsidR="00844005" w:rsidRDefault="00844005" w:rsidP="002B1F40">
            <w:pPr>
              <w:spacing w:before="360" w:after="120" w:line="240" w:lineRule="auto"/>
              <w:rPr>
                <w:rFonts w:ascii="Arial Narrow" w:hAnsi="Arial Narrow" w:cs="Arial"/>
                <w:color w:val="000000" w:themeColor="text1"/>
                <w:kern w:val="24"/>
                <w:lang w:val="en-NZ"/>
              </w:rPr>
            </w:pPr>
          </w:p>
          <w:p w:rsidR="00844005" w:rsidRDefault="00844005" w:rsidP="002B1F40">
            <w:pPr>
              <w:spacing w:before="360" w:after="120" w:line="240" w:lineRule="auto"/>
              <w:rPr>
                <w:rFonts w:ascii="Arial Narrow" w:hAnsi="Arial Narrow" w:cs="Arial"/>
                <w:color w:val="000000" w:themeColor="text1"/>
                <w:kern w:val="24"/>
                <w:lang w:val="en-NZ"/>
              </w:rPr>
            </w:pPr>
          </w:p>
          <w:p w:rsidR="00844005" w:rsidRDefault="00844005" w:rsidP="002B1F40">
            <w:pPr>
              <w:spacing w:before="360" w:after="120" w:line="240" w:lineRule="auto"/>
              <w:rPr>
                <w:rFonts w:ascii="Arial Narrow" w:hAnsi="Arial Narrow" w:cs="Arial"/>
                <w:color w:val="000000" w:themeColor="text1"/>
                <w:kern w:val="24"/>
                <w:lang w:val="en-NZ"/>
              </w:rPr>
            </w:pPr>
          </w:p>
          <w:p w:rsidR="00844005" w:rsidRDefault="00844005" w:rsidP="002B1F40">
            <w:pPr>
              <w:spacing w:before="360" w:after="120" w:line="240" w:lineRule="auto"/>
              <w:rPr>
                <w:rFonts w:ascii="Arial Narrow" w:hAnsi="Arial Narrow" w:cs="Arial"/>
                <w:color w:val="000000" w:themeColor="text1"/>
                <w:kern w:val="24"/>
                <w:lang w:val="en-NZ"/>
              </w:rPr>
            </w:pPr>
          </w:p>
          <w:p w:rsidR="00844005" w:rsidRDefault="00844005" w:rsidP="00210088">
            <w:pPr>
              <w:spacing w:before="480" w:after="120" w:line="240" w:lineRule="auto"/>
              <w:rPr>
                <w:rFonts w:ascii="Arial Narrow" w:hAnsi="Arial Narrow" w:cs="Arial"/>
                <w:color w:val="000000" w:themeColor="text1"/>
                <w:kern w:val="24"/>
                <w:lang w:val="en-NZ"/>
              </w:rPr>
            </w:pPr>
          </w:p>
          <w:p w:rsidR="00844005" w:rsidRPr="000B4210" w:rsidRDefault="00844005" w:rsidP="002B1F40">
            <w:pPr>
              <w:spacing w:before="360" w:after="120" w:line="240" w:lineRule="auto"/>
              <w:rPr>
                <w:rFonts w:ascii="Arial Narrow" w:hAnsi="Arial Narrow" w:cs="Arial"/>
                <w:color w:val="000000" w:themeColor="text1"/>
                <w:kern w:val="24"/>
                <w:lang w:val="en-NZ"/>
              </w:rPr>
            </w:pPr>
          </w:p>
        </w:tc>
        <w:tc>
          <w:tcPr>
            <w:tcW w:w="1418" w:type="dxa"/>
          </w:tcPr>
          <w:p w:rsidR="00474022" w:rsidRDefault="00E11007" w:rsidP="00474022">
            <w:pPr>
              <w:spacing w:before="120" w:after="100" w:afterAutospacing="1"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 xml:space="preserve">10% </w:t>
            </w:r>
            <w:r w:rsidR="00FF3128" w:rsidRPr="000B4210">
              <w:rPr>
                <w:rFonts w:ascii="Arial Narrow" w:hAnsi="Arial Narrow" w:cs="Arial"/>
                <w:color w:val="000000" w:themeColor="text1"/>
                <w:kern w:val="24"/>
                <w:lang w:val="en-NZ"/>
              </w:rPr>
              <w:t>Increase from previous year</w:t>
            </w:r>
          </w:p>
          <w:p w:rsidR="00474022" w:rsidRDefault="00474022" w:rsidP="00474022">
            <w:pPr>
              <w:spacing w:before="120" w:after="100" w:afterAutospacing="1" w:line="240" w:lineRule="auto"/>
              <w:rPr>
                <w:rFonts w:ascii="Arial Narrow" w:hAnsi="Arial Narrow" w:cs="Arial"/>
                <w:color w:val="000000" w:themeColor="text1"/>
                <w:kern w:val="24"/>
                <w:lang w:val="en-NZ"/>
              </w:rPr>
            </w:pPr>
          </w:p>
          <w:p w:rsidR="00FF3128" w:rsidRPr="000B4210" w:rsidRDefault="00474022" w:rsidP="00C70B30">
            <w:pPr>
              <w:spacing w:before="480" w:after="120" w:line="240" w:lineRule="auto"/>
              <w:rPr>
                <w:rFonts w:ascii="Arial Narrow" w:hAnsi="Arial Narrow" w:cs="Arial"/>
                <w:color w:val="000000" w:themeColor="text1"/>
                <w:kern w:val="24"/>
                <w:lang w:val="en-NZ"/>
              </w:rPr>
            </w:pPr>
            <w:r>
              <w:rPr>
                <w:rFonts w:ascii="Arial Narrow" w:hAnsi="Arial Narrow" w:cs="Arial"/>
                <w:color w:val="000000" w:themeColor="text1"/>
                <w:kern w:val="24"/>
                <w:lang w:val="en-NZ"/>
              </w:rPr>
              <w:t>70%</w:t>
            </w:r>
          </w:p>
        </w:tc>
        <w:tc>
          <w:tcPr>
            <w:tcW w:w="1417" w:type="dxa"/>
          </w:tcPr>
          <w:p w:rsidR="00FF3128" w:rsidRPr="000B4210" w:rsidRDefault="005D6906" w:rsidP="00F14AF4">
            <w:pPr>
              <w:pStyle w:val="NormalWeb"/>
              <w:spacing w:before="120" w:beforeAutospacing="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8</w:t>
            </w:r>
            <w:r w:rsidR="00E11007" w:rsidRPr="000B4210">
              <w:rPr>
                <w:rFonts w:ascii="Arial Narrow" w:hAnsi="Arial Narrow" w:cs="Arial"/>
                <w:color w:val="000000" w:themeColor="text1"/>
                <w:kern w:val="24"/>
                <w:lang w:val="en-NZ"/>
              </w:rPr>
              <w:t>% Increase from previous year</w:t>
            </w:r>
          </w:p>
          <w:p w:rsidR="00FF3128" w:rsidRPr="000B4210" w:rsidRDefault="00FF3128" w:rsidP="00F14AF4">
            <w:pPr>
              <w:pStyle w:val="NormalWeb"/>
              <w:spacing w:before="120" w:beforeAutospacing="0" w:line="240" w:lineRule="auto"/>
              <w:rPr>
                <w:rFonts w:ascii="Arial Narrow" w:hAnsi="Arial Narrow" w:cs="Arial"/>
                <w:color w:val="000000" w:themeColor="text1"/>
                <w:kern w:val="24"/>
                <w:lang w:val="en-NZ"/>
              </w:rPr>
            </w:pPr>
          </w:p>
          <w:p w:rsidR="00FF3128" w:rsidRPr="000B4210" w:rsidRDefault="00474022" w:rsidP="00C70B30">
            <w:pPr>
              <w:pStyle w:val="NormalWeb"/>
              <w:spacing w:before="480" w:beforeAutospacing="0" w:line="240" w:lineRule="auto"/>
              <w:rPr>
                <w:rFonts w:ascii="Arial Narrow" w:hAnsi="Arial Narrow" w:cs="Arial"/>
                <w:color w:val="000000" w:themeColor="text1"/>
                <w:kern w:val="24"/>
                <w:lang w:val="en-NZ"/>
              </w:rPr>
            </w:pPr>
            <w:r>
              <w:rPr>
                <w:rFonts w:ascii="Arial Narrow" w:hAnsi="Arial Narrow" w:cs="Arial"/>
                <w:color w:val="000000" w:themeColor="text1"/>
                <w:kern w:val="24"/>
                <w:lang w:val="en-NZ"/>
              </w:rPr>
              <w:t>70%</w:t>
            </w:r>
          </w:p>
        </w:tc>
        <w:tc>
          <w:tcPr>
            <w:tcW w:w="1559" w:type="dxa"/>
          </w:tcPr>
          <w:p w:rsidR="00FF3128" w:rsidRPr="000B4210" w:rsidRDefault="005D6906" w:rsidP="00F14AF4">
            <w:pPr>
              <w:spacing w:before="120" w:after="100" w:afterAutospacing="1"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7</w:t>
            </w:r>
            <w:r w:rsidR="00E11007" w:rsidRPr="000B4210">
              <w:rPr>
                <w:rFonts w:ascii="Arial Narrow" w:hAnsi="Arial Narrow" w:cs="Arial"/>
                <w:color w:val="000000" w:themeColor="text1"/>
                <w:kern w:val="24"/>
                <w:lang w:val="en-NZ"/>
              </w:rPr>
              <w:t>% Increase from previous year</w:t>
            </w:r>
          </w:p>
          <w:p w:rsidR="00FF3128" w:rsidRPr="000B4210" w:rsidRDefault="00FF3128" w:rsidP="00F14AF4">
            <w:pPr>
              <w:spacing w:before="120" w:after="100" w:afterAutospacing="1" w:line="240" w:lineRule="auto"/>
              <w:rPr>
                <w:rFonts w:ascii="Arial Narrow" w:hAnsi="Arial Narrow" w:cs="Arial"/>
                <w:color w:val="000000" w:themeColor="text1"/>
                <w:kern w:val="24"/>
                <w:lang w:val="en-NZ"/>
              </w:rPr>
            </w:pPr>
          </w:p>
          <w:p w:rsidR="00FF3128" w:rsidRPr="000B4210" w:rsidRDefault="00474022" w:rsidP="00C70B30">
            <w:pPr>
              <w:spacing w:before="720" w:after="0" w:line="240" w:lineRule="auto"/>
              <w:rPr>
                <w:rFonts w:ascii="Arial Narrow" w:hAnsi="Arial Narrow" w:cs="Arial"/>
                <w:color w:val="000000" w:themeColor="text1"/>
                <w:kern w:val="24"/>
                <w:lang w:val="en-NZ"/>
              </w:rPr>
            </w:pPr>
            <w:r>
              <w:rPr>
                <w:rFonts w:ascii="Arial Narrow" w:hAnsi="Arial Narrow" w:cs="Arial"/>
                <w:color w:val="000000" w:themeColor="text1"/>
                <w:kern w:val="24"/>
                <w:lang w:val="en-NZ"/>
              </w:rPr>
              <w:t>70%</w:t>
            </w:r>
          </w:p>
        </w:tc>
        <w:tc>
          <w:tcPr>
            <w:tcW w:w="1276" w:type="dxa"/>
          </w:tcPr>
          <w:p w:rsidR="00FF3128" w:rsidRPr="000B4210" w:rsidRDefault="005D6906" w:rsidP="00F14AF4">
            <w:pPr>
              <w:spacing w:before="120" w:after="100" w:afterAutospacing="1"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7</w:t>
            </w:r>
            <w:r w:rsidR="00E11007" w:rsidRPr="000B4210">
              <w:rPr>
                <w:rFonts w:ascii="Arial Narrow" w:hAnsi="Arial Narrow" w:cs="Arial"/>
                <w:color w:val="000000" w:themeColor="text1"/>
                <w:kern w:val="24"/>
                <w:lang w:val="en-NZ"/>
              </w:rPr>
              <w:t>% Increase from previous year</w:t>
            </w:r>
          </w:p>
          <w:p w:rsidR="00FF3128" w:rsidRPr="000B4210" w:rsidRDefault="00FF3128" w:rsidP="00F14AF4">
            <w:pPr>
              <w:spacing w:before="120" w:after="100" w:afterAutospacing="1" w:line="240" w:lineRule="auto"/>
              <w:rPr>
                <w:rFonts w:ascii="Arial Narrow" w:hAnsi="Arial Narrow" w:cs="Arial"/>
                <w:color w:val="000000" w:themeColor="text1"/>
                <w:kern w:val="24"/>
                <w:lang w:val="en-NZ"/>
              </w:rPr>
            </w:pPr>
          </w:p>
          <w:p w:rsidR="00FF3128" w:rsidRPr="000B4210" w:rsidRDefault="00474022" w:rsidP="00C70B30">
            <w:pPr>
              <w:spacing w:before="480" w:after="100" w:afterAutospacing="1" w:line="240" w:lineRule="auto"/>
              <w:rPr>
                <w:rFonts w:ascii="Arial Narrow" w:hAnsi="Arial Narrow" w:cs="Arial"/>
                <w:color w:val="000000" w:themeColor="text1"/>
                <w:kern w:val="24"/>
                <w:lang w:val="en-NZ"/>
              </w:rPr>
            </w:pPr>
            <w:r>
              <w:rPr>
                <w:rFonts w:ascii="Arial Narrow" w:hAnsi="Arial Narrow" w:cs="Arial"/>
                <w:color w:val="000000" w:themeColor="text1"/>
                <w:kern w:val="24"/>
                <w:lang w:val="en-NZ"/>
              </w:rPr>
              <w:t>70%</w:t>
            </w:r>
          </w:p>
        </w:tc>
      </w:tr>
    </w:tbl>
    <w:p w:rsidR="00844005" w:rsidRPr="00210088" w:rsidRDefault="00844005">
      <w:pPr>
        <w:rPr>
          <w:sz w:val="22"/>
          <w:szCs w:val="22"/>
        </w:rPr>
      </w:pPr>
    </w:p>
    <w:p w:rsidR="00CE0239" w:rsidRPr="000B4210" w:rsidRDefault="00CE0239"/>
    <w:tbl>
      <w:tblPr>
        <w:tblStyle w:val="TableGrid"/>
        <w:tblW w:w="9776" w:type="dxa"/>
        <w:tblLayout w:type="fixed"/>
        <w:tblLook w:val="04A0" w:firstRow="1" w:lastRow="0" w:firstColumn="1" w:lastColumn="0" w:noHBand="0" w:noVBand="1"/>
      </w:tblPr>
      <w:tblGrid>
        <w:gridCol w:w="1413"/>
        <w:gridCol w:w="1417"/>
        <w:gridCol w:w="1276"/>
        <w:gridCol w:w="1418"/>
        <w:gridCol w:w="1417"/>
        <w:gridCol w:w="1559"/>
        <w:gridCol w:w="1276"/>
      </w:tblGrid>
      <w:tr w:rsidR="00C17E69" w:rsidRPr="000B4210" w:rsidTr="00003B2D">
        <w:tc>
          <w:tcPr>
            <w:tcW w:w="1413" w:type="dxa"/>
          </w:tcPr>
          <w:p w:rsidR="00C17E69" w:rsidRPr="000B4210" w:rsidRDefault="00CE0239" w:rsidP="00672AB8">
            <w:pPr>
              <w:spacing w:before="120" w:line="240" w:lineRule="auto"/>
              <w:rPr>
                <w:rFonts w:ascii="Arial Narrow" w:hAnsi="Arial Narrow" w:cs="Arial"/>
                <w:color w:val="000000" w:themeColor="text1"/>
                <w:kern w:val="24"/>
                <w:lang w:val="en-NZ"/>
              </w:rPr>
            </w:pPr>
            <w:r w:rsidRPr="000B4210">
              <w:rPr>
                <w:rFonts w:ascii="Arial Narrow" w:hAnsi="Arial Narrow" w:cs="Arial"/>
                <w:b/>
                <w:color w:val="000000"/>
                <w:kern w:val="24"/>
              </w:rPr>
              <w:lastRenderedPageBreak/>
              <w:t xml:space="preserve">Increase the understanding of the </w:t>
            </w:r>
            <w:r w:rsidR="00672AB8">
              <w:rPr>
                <w:rFonts w:ascii="Arial Narrow" w:hAnsi="Arial Narrow" w:cs="Arial"/>
                <w:b/>
                <w:color w:val="000000"/>
                <w:kern w:val="24"/>
              </w:rPr>
              <w:t>h</w:t>
            </w:r>
            <w:r w:rsidRPr="000B4210">
              <w:rPr>
                <w:rFonts w:ascii="Arial Narrow" w:hAnsi="Arial Narrow" w:cs="Arial"/>
                <w:b/>
                <w:color w:val="000000"/>
                <w:kern w:val="24"/>
              </w:rPr>
              <w:t xml:space="preserve">uman </w:t>
            </w:r>
            <w:r w:rsidR="00672AB8">
              <w:rPr>
                <w:rFonts w:ascii="Arial Narrow" w:hAnsi="Arial Narrow" w:cs="Arial"/>
                <w:b/>
                <w:color w:val="000000"/>
                <w:kern w:val="24"/>
              </w:rPr>
              <w:t>r</w:t>
            </w:r>
            <w:r w:rsidRPr="000B4210">
              <w:rPr>
                <w:rFonts w:ascii="Arial Narrow" w:hAnsi="Arial Narrow" w:cs="Arial"/>
                <w:b/>
                <w:color w:val="000000"/>
                <w:kern w:val="24"/>
              </w:rPr>
              <w:t xml:space="preserve">ights dimensions of the Treaty of Waitangi (Te Mana </w:t>
            </w:r>
            <w:r w:rsidR="00672AB8">
              <w:rPr>
                <w:rFonts w:ascii="Arial Narrow" w:hAnsi="Arial Narrow" w:cs="Arial"/>
                <w:b/>
                <w:color w:val="000000"/>
                <w:kern w:val="24"/>
              </w:rPr>
              <w:t>i</w:t>
            </w:r>
            <w:r w:rsidRPr="000B4210">
              <w:rPr>
                <w:rFonts w:ascii="Arial Narrow" w:hAnsi="Arial Narrow" w:cs="Arial"/>
                <w:b/>
                <w:color w:val="000000"/>
                <w:kern w:val="24"/>
              </w:rPr>
              <w:t xml:space="preserve"> Waitangi)</w:t>
            </w:r>
          </w:p>
        </w:tc>
        <w:tc>
          <w:tcPr>
            <w:tcW w:w="1417" w:type="dxa"/>
          </w:tcPr>
          <w:p w:rsidR="000C3DE1" w:rsidRPr="000B4210" w:rsidRDefault="00CE0239" w:rsidP="00672AB8">
            <w:pPr>
              <w:spacing w:before="120" w:line="240" w:lineRule="auto"/>
              <w:rPr>
                <w:rFonts w:ascii="Arial Narrow" w:hAnsi="Arial Narrow" w:cs="Arial"/>
                <w:iCs/>
                <w:color w:val="000000" w:themeColor="text1"/>
                <w:kern w:val="24"/>
                <w:lang w:val="en-NZ"/>
              </w:rPr>
            </w:pPr>
            <w:r w:rsidRPr="000B4210">
              <w:rPr>
                <w:rFonts w:ascii="Arial Narrow" w:hAnsi="Arial Narrow" w:cs="Arial"/>
                <w:iCs/>
                <w:color w:val="000000"/>
                <w:kern w:val="24"/>
                <w:lang w:val="en-NZ"/>
              </w:rPr>
              <w:t xml:space="preserve">Percentage of </w:t>
            </w:r>
            <w:r w:rsidR="000E6FBF">
              <w:rPr>
                <w:rFonts w:ascii="Arial Narrow" w:hAnsi="Arial Narrow" w:cs="Arial"/>
                <w:iCs/>
                <w:color w:val="000000"/>
                <w:kern w:val="24"/>
                <w:lang w:val="en-NZ"/>
              </w:rPr>
              <w:t xml:space="preserve">engaged </w:t>
            </w:r>
            <w:r w:rsidRPr="000B4210">
              <w:rPr>
                <w:rFonts w:ascii="Arial Narrow" w:hAnsi="Arial Narrow" w:cs="Arial"/>
                <w:iCs/>
                <w:color w:val="000000"/>
                <w:kern w:val="24"/>
                <w:lang w:val="en-NZ"/>
              </w:rPr>
              <w:t xml:space="preserve">civil society and government stakeholders that provide positive feedback on the effectiveness of Te Mana </w:t>
            </w:r>
            <w:r w:rsidR="00672AB8">
              <w:rPr>
                <w:rFonts w:ascii="Arial Narrow" w:hAnsi="Arial Narrow" w:cs="Arial"/>
                <w:iCs/>
                <w:color w:val="000000"/>
                <w:kern w:val="24"/>
                <w:lang w:val="en-NZ"/>
              </w:rPr>
              <w:t>i</w:t>
            </w:r>
            <w:r w:rsidRPr="000B4210">
              <w:rPr>
                <w:rFonts w:ascii="Arial Narrow" w:hAnsi="Arial Narrow" w:cs="Arial"/>
                <w:iCs/>
                <w:color w:val="000000"/>
                <w:kern w:val="24"/>
                <w:lang w:val="en-NZ"/>
              </w:rPr>
              <w:t xml:space="preserve"> Waitangi training, promotion, and education</w:t>
            </w:r>
          </w:p>
        </w:tc>
        <w:tc>
          <w:tcPr>
            <w:tcW w:w="1276" w:type="dxa"/>
          </w:tcPr>
          <w:p w:rsidR="00C17E69" w:rsidRPr="000B4210" w:rsidRDefault="000C3DE1" w:rsidP="00BF04EA">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Establish the baseline in 2016/17 to benchmark against in following years</w:t>
            </w:r>
          </w:p>
        </w:tc>
        <w:tc>
          <w:tcPr>
            <w:tcW w:w="1418" w:type="dxa"/>
          </w:tcPr>
          <w:p w:rsidR="00C17E69" w:rsidRPr="000B4210" w:rsidRDefault="007402F7" w:rsidP="000C3DE1">
            <w:pPr>
              <w:spacing w:before="120" w:line="240" w:lineRule="auto"/>
              <w:rPr>
                <w:rFonts w:ascii="Arial Narrow" w:hAnsi="Arial Narrow" w:cs="Arial"/>
                <w:color w:val="000000" w:themeColor="text1"/>
                <w:kern w:val="24"/>
                <w:lang w:val="en-NZ"/>
              </w:rPr>
            </w:pPr>
            <w:r>
              <w:rPr>
                <w:rFonts w:ascii="Arial Narrow" w:hAnsi="Arial Narrow" w:cs="Arial"/>
                <w:color w:val="000000" w:themeColor="text1"/>
                <w:kern w:val="24"/>
                <w:lang w:val="en-NZ"/>
              </w:rPr>
              <w:t>I</w:t>
            </w:r>
            <w:r w:rsidR="000C3DE1" w:rsidRPr="000B4210">
              <w:rPr>
                <w:rFonts w:ascii="Arial Narrow" w:hAnsi="Arial Narrow" w:cs="Arial"/>
                <w:color w:val="000000" w:themeColor="text1"/>
                <w:kern w:val="24"/>
                <w:lang w:val="en-NZ"/>
              </w:rPr>
              <w:t>ncrease from previous year</w:t>
            </w:r>
          </w:p>
        </w:tc>
        <w:tc>
          <w:tcPr>
            <w:tcW w:w="1417" w:type="dxa"/>
          </w:tcPr>
          <w:p w:rsidR="00C17E69" w:rsidRPr="000B4210" w:rsidRDefault="000C3DE1" w:rsidP="00BF04EA">
            <w:pPr>
              <w:pStyle w:val="NormalWeb"/>
              <w:spacing w:before="120" w:beforeAutospacing="0" w:after="240" w:afterAutospacing="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Increase from previous year</w:t>
            </w:r>
          </w:p>
        </w:tc>
        <w:tc>
          <w:tcPr>
            <w:tcW w:w="1559" w:type="dxa"/>
          </w:tcPr>
          <w:p w:rsidR="00C17E69" w:rsidRPr="000B4210" w:rsidRDefault="000C3DE1" w:rsidP="00BF04EA">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Increase from previous year</w:t>
            </w:r>
          </w:p>
        </w:tc>
        <w:tc>
          <w:tcPr>
            <w:tcW w:w="1276" w:type="dxa"/>
          </w:tcPr>
          <w:p w:rsidR="00C17E69" w:rsidRPr="000B4210" w:rsidRDefault="00D26433" w:rsidP="00BF04EA">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Increase from previous year</w:t>
            </w:r>
          </w:p>
        </w:tc>
      </w:tr>
    </w:tbl>
    <w:p w:rsidR="00C17E69" w:rsidRPr="000B4210" w:rsidRDefault="00C17E69">
      <w:pPr>
        <w:spacing w:after="200" w:line="276" w:lineRule="auto"/>
        <w:rPr>
          <w:rFonts w:cs="Arial"/>
          <w:b/>
          <w:lang w:val="en-NZ"/>
        </w:rPr>
      </w:pPr>
    </w:p>
    <w:p w:rsidR="001602FB" w:rsidRPr="000B4210" w:rsidRDefault="004C5B67" w:rsidP="00456E7D">
      <w:pPr>
        <w:spacing w:before="240" w:after="120"/>
        <w:jc w:val="both"/>
        <w:rPr>
          <w:rFonts w:cs="Arial"/>
          <w:b/>
          <w:lang w:val="en-NZ"/>
        </w:rPr>
      </w:pPr>
      <w:r w:rsidRPr="000B4210">
        <w:rPr>
          <w:rFonts w:cs="Arial"/>
          <w:b/>
        </w:rPr>
        <w:t xml:space="preserve">Output 2:  </w:t>
      </w:r>
      <w:r w:rsidR="00FF3128" w:rsidRPr="000B4210">
        <w:rPr>
          <w:rFonts w:cs="Arial"/>
          <w:b/>
          <w:lang w:val="en-NZ"/>
        </w:rPr>
        <w:t xml:space="preserve">Effective engagement with government, civil society and business to protect human rights and reduce barriers to inclusion </w:t>
      </w:r>
      <w:r w:rsidR="00107EC3" w:rsidRPr="000B4210">
        <w:rPr>
          <w:rFonts w:cs="Arial"/>
          <w:b/>
          <w:lang w:val="en-NZ"/>
        </w:rPr>
        <w:t xml:space="preserve">  </w:t>
      </w:r>
    </w:p>
    <w:tbl>
      <w:tblPr>
        <w:tblStyle w:val="TableGrid"/>
        <w:tblW w:w="9663" w:type="dxa"/>
        <w:tblLayout w:type="fixed"/>
        <w:tblCellMar>
          <w:top w:w="45" w:type="dxa"/>
        </w:tblCellMar>
        <w:tblLook w:val="04A0" w:firstRow="1" w:lastRow="0" w:firstColumn="1" w:lastColumn="0" w:noHBand="0" w:noVBand="1"/>
      </w:tblPr>
      <w:tblGrid>
        <w:gridCol w:w="1951"/>
        <w:gridCol w:w="1276"/>
        <w:gridCol w:w="1163"/>
        <w:gridCol w:w="1163"/>
        <w:gridCol w:w="1275"/>
        <w:gridCol w:w="1418"/>
        <w:gridCol w:w="1417"/>
      </w:tblGrid>
      <w:tr w:rsidR="00CC265C" w:rsidRPr="000B4210" w:rsidTr="00CC265C">
        <w:trPr>
          <w:trHeight w:val="454"/>
          <w:tblHeader/>
        </w:trPr>
        <w:tc>
          <w:tcPr>
            <w:tcW w:w="1951" w:type="dxa"/>
            <w:shd w:val="clear" w:color="auto" w:fill="DDD9C3" w:themeFill="background2" w:themeFillShade="E6"/>
          </w:tcPr>
          <w:p w:rsidR="00CC265C" w:rsidRPr="000B4210" w:rsidRDefault="00CC265C"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Objective</w:t>
            </w:r>
          </w:p>
        </w:tc>
        <w:tc>
          <w:tcPr>
            <w:tcW w:w="1276" w:type="dxa"/>
            <w:shd w:val="clear" w:color="auto" w:fill="DDD9C3" w:themeFill="background2" w:themeFillShade="E6"/>
          </w:tcPr>
          <w:p w:rsidR="00CC265C" w:rsidRPr="000B4210" w:rsidRDefault="00CC265C"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Measure</w:t>
            </w:r>
          </w:p>
        </w:tc>
        <w:tc>
          <w:tcPr>
            <w:tcW w:w="1163" w:type="dxa"/>
            <w:shd w:val="clear" w:color="auto" w:fill="DDD9C3" w:themeFill="background2" w:themeFillShade="E6"/>
          </w:tcPr>
          <w:p w:rsidR="00CC265C" w:rsidRPr="000B4210" w:rsidRDefault="00CC265C"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Baseline</w:t>
            </w:r>
          </w:p>
        </w:tc>
        <w:tc>
          <w:tcPr>
            <w:tcW w:w="1163" w:type="dxa"/>
            <w:shd w:val="clear" w:color="auto" w:fill="DDD9C3" w:themeFill="background2" w:themeFillShade="E6"/>
          </w:tcPr>
          <w:p w:rsidR="00CC265C" w:rsidRPr="000B4210" w:rsidRDefault="00CC265C"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2016/17</w:t>
            </w:r>
          </w:p>
        </w:tc>
        <w:tc>
          <w:tcPr>
            <w:tcW w:w="1275" w:type="dxa"/>
            <w:shd w:val="clear" w:color="auto" w:fill="DDD9C3" w:themeFill="background2" w:themeFillShade="E6"/>
          </w:tcPr>
          <w:p w:rsidR="00CC265C" w:rsidRPr="000B4210" w:rsidRDefault="00CC265C"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2017/18</w:t>
            </w:r>
          </w:p>
        </w:tc>
        <w:tc>
          <w:tcPr>
            <w:tcW w:w="1418" w:type="dxa"/>
            <w:shd w:val="clear" w:color="auto" w:fill="DDD9C3" w:themeFill="background2" w:themeFillShade="E6"/>
          </w:tcPr>
          <w:p w:rsidR="00CC265C" w:rsidRPr="000B4210" w:rsidRDefault="00CC265C"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2018/19</w:t>
            </w:r>
          </w:p>
        </w:tc>
        <w:tc>
          <w:tcPr>
            <w:tcW w:w="1417" w:type="dxa"/>
            <w:shd w:val="clear" w:color="auto" w:fill="DDD9C3" w:themeFill="background2" w:themeFillShade="E6"/>
          </w:tcPr>
          <w:p w:rsidR="00CC265C" w:rsidRPr="000B4210" w:rsidRDefault="00CC265C"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2019/20</w:t>
            </w:r>
          </w:p>
        </w:tc>
      </w:tr>
      <w:tr w:rsidR="00CC265C" w:rsidRPr="000B4210" w:rsidTr="00CC265C">
        <w:trPr>
          <w:trHeight w:val="2520"/>
        </w:trPr>
        <w:tc>
          <w:tcPr>
            <w:tcW w:w="1951" w:type="dxa"/>
          </w:tcPr>
          <w:p w:rsidR="00CC265C" w:rsidRPr="000B4210" w:rsidRDefault="00CC265C" w:rsidP="003F1504">
            <w:pPr>
              <w:spacing w:before="120" w:line="240" w:lineRule="auto"/>
              <w:rPr>
                <w:rFonts w:ascii="Arial Narrow" w:hAnsi="Arial Narrow" w:cs="Arial"/>
                <w:kern w:val="24"/>
                <w:lang w:val="en-NZ"/>
              </w:rPr>
            </w:pPr>
            <w:r w:rsidRPr="000B4210">
              <w:rPr>
                <w:rFonts w:ascii="Arial Narrow" w:hAnsi="Arial Narrow" w:cs="Arial"/>
                <w:b/>
                <w:kern w:val="24"/>
                <w:lang w:val="en-NZ"/>
              </w:rPr>
              <w:t>Engagement with government, civil society and business to effect positive human rights changes</w:t>
            </w:r>
          </w:p>
        </w:tc>
        <w:tc>
          <w:tcPr>
            <w:tcW w:w="1276" w:type="dxa"/>
          </w:tcPr>
          <w:p w:rsidR="00CC265C" w:rsidRPr="000B4210" w:rsidRDefault="009C0D98" w:rsidP="009C0D98">
            <w:pPr>
              <w:spacing w:before="120" w:line="240" w:lineRule="auto"/>
              <w:rPr>
                <w:rFonts w:ascii="Arial Narrow" w:hAnsi="Arial Narrow" w:cs="Arial"/>
                <w:kern w:val="24"/>
                <w:lang w:val="en-NZ"/>
              </w:rPr>
            </w:pPr>
            <w:r>
              <w:rPr>
                <w:rFonts w:ascii="Arial Narrow" w:hAnsi="Arial Narrow" w:cs="Arial"/>
                <w:kern w:val="24"/>
                <w:lang w:val="en-NZ"/>
              </w:rPr>
              <w:t xml:space="preserve">Percentage </w:t>
            </w:r>
            <w:r w:rsidR="00FB5B01" w:rsidRPr="000B4210">
              <w:rPr>
                <w:rFonts w:ascii="Arial Narrow" w:hAnsi="Arial Narrow" w:cs="Arial"/>
                <w:kern w:val="24"/>
                <w:lang w:val="en-NZ"/>
              </w:rPr>
              <w:t>of p</w:t>
            </w:r>
            <w:r w:rsidR="00CC265C" w:rsidRPr="000B4210">
              <w:rPr>
                <w:rFonts w:ascii="Arial Narrow" w:hAnsi="Arial Narrow" w:cs="Arial"/>
                <w:kern w:val="24"/>
                <w:lang w:val="en-NZ"/>
              </w:rPr>
              <w:t>lanned engagement</w:t>
            </w:r>
            <w:r w:rsidR="003A2B66" w:rsidRPr="000B4210">
              <w:rPr>
                <w:rFonts w:ascii="Arial Narrow" w:hAnsi="Arial Narrow" w:cs="Arial"/>
                <w:kern w:val="24"/>
                <w:lang w:val="en-NZ"/>
              </w:rPr>
              <w:t>s</w:t>
            </w:r>
            <w:r w:rsidR="003A2B66" w:rsidRPr="000B4210">
              <w:rPr>
                <w:rStyle w:val="FootnoteReference"/>
                <w:rFonts w:ascii="Arial Narrow" w:hAnsi="Arial Narrow" w:cs="Arial"/>
                <w:kern w:val="24"/>
                <w:lang w:val="en-NZ"/>
              </w:rPr>
              <w:footnoteReference w:id="6"/>
            </w:r>
            <w:r w:rsidR="003A2B66" w:rsidRPr="000B4210">
              <w:rPr>
                <w:rFonts w:ascii="Arial Narrow" w:hAnsi="Arial Narrow" w:cs="Arial"/>
                <w:kern w:val="24"/>
                <w:lang w:val="en-NZ"/>
              </w:rPr>
              <w:t xml:space="preserve"> </w:t>
            </w:r>
            <w:r w:rsidR="00FB5B01" w:rsidRPr="000B4210">
              <w:rPr>
                <w:rFonts w:ascii="Arial Narrow" w:hAnsi="Arial Narrow" w:cs="Arial"/>
                <w:kern w:val="24"/>
                <w:lang w:val="en-NZ"/>
              </w:rPr>
              <w:t xml:space="preserve">that </w:t>
            </w:r>
            <w:r w:rsidR="00CC265C" w:rsidRPr="000B4210">
              <w:rPr>
                <w:rFonts w:ascii="Arial Narrow" w:hAnsi="Arial Narrow" w:cs="Arial"/>
                <w:kern w:val="24"/>
                <w:lang w:val="en-NZ"/>
              </w:rPr>
              <w:t>result in actions that progress positive change</w:t>
            </w:r>
          </w:p>
        </w:tc>
        <w:tc>
          <w:tcPr>
            <w:tcW w:w="1163" w:type="dxa"/>
          </w:tcPr>
          <w:p w:rsidR="00CC265C" w:rsidRPr="000B4210" w:rsidRDefault="00C17E69" w:rsidP="005828F2">
            <w:pPr>
              <w:spacing w:before="120" w:line="240" w:lineRule="auto"/>
              <w:rPr>
                <w:rFonts w:ascii="Arial Narrow" w:hAnsi="Arial Narrow" w:cs="Arial"/>
                <w:kern w:val="24"/>
                <w:lang w:val="en-NZ"/>
              </w:rPr>
            </w:pPr>
            <w:r w:rsidRPr="000B4210">
              <w:rPr>
                <w:rFonts w:ascii="Arial Narrow" w:hAnsi="Arial Narrow" w:cs="Arial"/>
                <w:kern w:val="24"/>
                <w:lang w:val="en-NZ"/>
              </w:rPr>
              <w:t>7</w:t>
            </w:r>
            <w:r w:rsidR="005828F2">
              <w:rPr>
                <w:rFonts w:ascii="Arial Narrow" w:hAnsi="Arial Narrow" w:cs="Arial"/>
                <w:kern w:val="24"/>
                <w:lang w:val="en-NZ"/>
              </w:rPr>
              <w:t>0</w:t>
            </w:r>
            <w:r w:rsidR="00CC265C" w:rsidRPr="000B4210">
              <w:rPr>
                <w:rFonts w:ascii="Arial Narrow" w:hAnsi="Arial Narrow" w:cs="Arial"/>
                <w:kern w:val="24"/>
                <w:lang w:val="en-NZ"/>
              </w:rPr>
              <w:t>%</w:t>
            </w:r>
          </w:p>
        </w:tc>
        <w:tc>
          <w:tcPr>
            <w:tcW w:w="1163" w:type="dxa"/>
          </w:tcPr>
          <w:p w:rsidR="009C0D98" w:rsidRDefault="009C0D98" w:rsidP="00107EC3">
            <w:pPr>
              <w:spacing w:before="120" w:line="240" w:lineRule="auto"/>
              <w:rPr>
                <w:rFonts w:ascii="Arial Narrow" w:hAnsi="Arial Narrow" w:cs="Arial"/>
                <w:kern w:val="24"/>
                <w:lang w:val="en-NZ"/>
              </w:rPr>
            </w:pPr>
            <w:r>
              <w:rPr>
                <w:rFonts w:ascii="Arial Narrow" w:hAnsi="Arial Narrow" w:cs="Arial"/>
                <w:kern w:val="24"/>
                <w:lang w:val="en-NZ"/>
              </w:rPr>
              <w:t>7</w:t>
            </w:r>
            <w:r w:rsidR="005828F2">
              <w:rPr>
                <w:rFonts w:ascii="Arial Narrow" w:hAnsi="Arial Narrow" w:cs="Arial"/>
                <w:kern w:val="24"/>
                <w:lang w:val="en-NZ"/>
              </w:rPr>
              <w:t>2</w:t>
            </w:r>
            <w:r>
              <w:rPr>
                <w:rFonts w:ascii="Arial Narrow" w:hAnsi="Arial Narrow" w:cs="Arial"/>
                <w:kern w:val="24"/>
                <w:lang w:val="en-NZ"/>
              </w:rPr>
              <w:t>%</w:t>
            </w:r>
          </w:p>
          <w:p w:rsidR="00CC265C" w:rsidRPr="000B4210" w:rsidRDefault="00CC265C" w:rsidP="00107EC3">
            <w:pPr>
              <w:spacing w:before="120" w:line="240" w:lineRule="auto"/>
              <w:rPr>
                <w:rFonts w:ascii="Arial Narrow" w:hAnsi="Arial Narrow" w:cs="Arial"/>
                <w:kern w:val="24"/>
                <w:lang w:val="en-NZ"/>
              </w:rPr>
            </w:pPr>
          </w:p>
        </w:tc>
        <w:tc>
          <w:tcPr>
            <w:tcW w:w="1275" w:type="dxa"/>
          </w:tcPr>
          <w:p w:rsidR="009C0D98" w:rsidRDefault="005828F2" w:rsidP="00567B74">
            <w:pPr>
              <w:spacing w:before="120" w:line="240" w:lineRule="auto"/>
              <w:rPr>
                <w:rFonts w:ascii="Arial Narrow" w:hAnsi="Arial Narrow" w:cs="Arial"/>
                <w:kern w:val="24"/>
                <w:lang w:val="en-NZ"/>
              </w:rPr>
            </w:pPr>
            <w:r>
              <w:rPr>
                <w:rFonts w:ascii="Arial Narrow" w:hAnsi="Arial Narrow" w:cs="Arial"/>
                <w:kern w:val="24"/>
                <w:lang w:val="en-NZ"/>
              </w:rPr>
              <w:t>75%</w:t>
            </w:r>
          </w:p>
          <w:p w:rsidR="00CC265C" w:rsidRPr="000B4210" w:rsidRDefault="00CC265C" w:rsidP="00567B74">
            <w:pPr>
              <w:spacing w:before="120" w:line="240" w:lineRule="auto"/>
              <w:rPr>
                <w:rFonts w:ascii="Arial Narrow" w:hAnsi="Arial Narrow" w:cs="Arial"/>
                <w:kern w:val="24"/>
                <w:lang w:val="en-NZ"/>
              </w:rPr>
            </w:pPr>
          </w:p>
        </w:tc>
        <w:tc>
          <w:tcPr>
            <w:tcW w:w="1418" w:type="dxa"/>
          </w:tcPr>
          <w:p w:rsidR="009C0D98" w:rsidRDefault="005828F2" w:rsidP="00567B74">
            <w:pPr>
              <w:pStyle w:val="NormalWeb"/>
              <w:spacing w:before="120" w:beforeAutospacing="0" w:after="0" w:afterAutospacing="0" w:line="240" w:lineRule="auto"/>
              <w:rPr>
                <w:rFonts w:ascii="Arial Narrow" w:hAnsi="Arial Narrow" w:cs="Arial"/>
                <w:kern w:val="24"/>
                <w:lang w:val="en-NZ"/>
              </w:rPr>
            </w:pPr>
            <w:r>
              <w:rPr>
                <w:rFonts w:ascii="Arial Narrow" w:hAnsi="Arial Narrow" w:cs="Arial"/>
                <w:kern w:val="24"/>
                <w:lang w:val="en-NZ"/>
              </w:rPr>
              <w:t>77%</w:t>
            </w:r>
          </w:p>
          <w:p w:rsidR="00CC265C" w:rsidRPr="000B4210" w:rsidRDefault="00CC265C" w:rsidP="006B513F">
            <w:pPr>
              <w:pStyle w:val="NormalWeb"/>
              <w:spacing w:before="120" w:beforeAutospacing="0" w:after="0" w:afterAutospacing="0" w:line="240" w:lineRule="auto"/>
              <w:rPr>
                <w:rFonts w:ascii="Arial Narrow" w:hAnsi="Arial Narrow" w:cs="Arial"/>
                <w:kern w:val="24"/>
                <w:lang w:val="en-NZ"/>
              </w:rPr>
            </w:pPr>
          </w:p>
        </w:tc>
        <w:tc>
          <w:tcPr>
            <w:tcW w:w="1417" w:type="dxa"/>
          </w:tcPr>
          <w:p w:rsidR="009C0D98" w:rsidRDefault="005828F2" w:rsidP="00567B74">
            <w:pPr>
              <w:pStyle w:val="NormalWeb"/>
              <w:spacing w:before="120" w:beforeAutospacing="0" w:after="0" w:afterAutospacing="0" w:line="240" w:lineRule="auto"/>
              <w:rPr>
                <w:rFonts w:ascii="Arial Narrow" w:hAnsi="Arial Narrow" w:cs="Arial"/>
                <w:kern w:val="24"/>
                <w:lang w:val="en-NZ"/>
              </w:rPr>
            </w:pPr>
            <w:r>
              <w:rPr>
                <w:rFonts w:ascii="Arial Narrow" w:hAnsi="Arial Narrow" w:cs="Arial"/>
                <w:kern w:val="24"/>
                <w:lang w:val="en-NZ"/>
              </w:rPr>
              <w:t>80%</w:t>
            </w:r>
          </w:p>
          <w:p w:rsidR="00CC265C" w:rsidRPr="000B4210" w:rsidRDefault="00CC265C" w:rsidP="00567B74">
            <w:pPr>
              <w:pStyle w:val="NormalWeb"/>
              <w:spacing w:before="120" w:beforeAutospacing="0" w:after="0" w:afterAutospacing="0" w:line="240" w:lineRule="auto"/>
              <w:rPr>
                <w:rFonts w:ascii="Arial Narrow" w:hAnsi="Arial Narrow" w:cs="Arial"/>
                <w:kern w:val="24"/>
                <w:lang w:val="en-NZ"/>
              </w:rPr>
            </w:pPr>
          </w:p>
        </w:tc>
      </w:tr>
    </w:tbl>
    <w:p w:rsidR="007402F7" w:rsidRDefault="007402F7" w:rsidP="001602FB">
      <w:pPr>
        <w:spacing w:before="240" w:after="120"/>
        <w:rPr>
          <w:rFonts w:cs="Arial"/>
          <w:b/>
          <w:lang w:val="en-NZ"/>
        </w:rPr>
      </w:pPr>
    </w:p>
    <w:p w:rsidR="007402F7" w:rsidRDefault="007402F7">
      <w:pPr>
        <w:spacing w:after="200" w:line="276" w:lineRule="auto"/>
        <w:rPr>
          <w:rFonts w:cs="Arial"/>
          <w:b/>
          <w:lang w:val="en-NZ"/>
        </w:rPr>
      </w:pPr>
      <w:r>
        <w:rPr>
          <w:rFonts w:cs="Arial"/>
          <w:b/>
          <w:lang w:val="en-NZ"/>
        </w:rPr>
        <w:br w:type="page"/>
      </w:r>
    </w:p>
    <w:p w:rsidR="00FF3128" w:rsidRPr="000B4210" w:rsidRDefault="004C5B67" w:rsidP="00FF3128">
      <w:pPr>
        <w:spacing w:before="240" w:after="120"/>
        <w:rPr>
          <w:rFonts w:cs="Arial"/>
          <w:b/>
          <w:lang w:val="en-NZ"/>
        </w:rPr>
      </w:pPr>
      <w:r w:rsidRPr="000B4210">
        <w:rPr>
          <w:rFonts w:cs="Arial"/>
          <w:b/>
          <w:lang w:val="en-NZ"/>
        </w:rPr>
        <w:lastRenderedPageBreak/>
        <w:t xml:space="preserve">Output 3:  </w:t>
      </w:r>
      <w:r w:rsidR="00BF04EA" w:rsidRPr="000B4210">
        <w:rPr>
          <w:rFonts w:cs="Arial"/>
          <w:b/>
          <w:lang w:val="en-NZ"/>
        </w:rPr>
        <w:t>Legal interventions in courts and tribunals promote human rights</w:t>
      </w:r>
    </w:p>
    <w:tbl>
      <w:tblPr>
        <w:tblStyle w:val="TableGrid"/>
        <w:tblW w:w="9634" w:type="dxa"/>
        <w:tblLayout w:type="fixed"/>
        <w:tblCellMar>
          <w:top w:w="45" w:type="dxa"/>
        </w:tblCellMar>
        <w:tblLook w:val="04A0" w:firstRow="1" w:lastRow="0" w:firstColumn="1" w:lastColumn="0" w:noHBand="0" w:noVBand="1"/>
      </w:tblPr>
      <w:tblGrid>
        <w:gridCol w:w="1980"/>
        <w:gridCol w:w="1247"/>
        <w:gridCol w:w="1163"/>
        <w:gridCol w:w="1163"/>
        <w:gridCol w:w="1134"/>
        <w:gridCol w:w="1275"/>
        <w:gridCol w:w="1672"/>
      </w:tblGrid>
      <w:tr w:rsidR="00AC0383" w:rsidRPr="000B4210" w:rsidTr="006D7379">
        <w:trPr>
          <w:trHeight w:val="454"/>
          <w:tblHeader/>
        </w:trPr>
        <w:tc>
          <w:tcPr>
            <w:tcW w:w="1980"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Objective</w:t>
            </w:r>
          </w:p>
        </w:tc>
        <w:tc>
          <w:tcPr>
            <w:tcW w:w="1247"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Measure</w:t>
            </w:r>
          </w:p>
        </w:tc>
        <w:tc>
          <w:tcPr>
            <w:tcW w:w="1163"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Baseline</w:t>
            </w:r>
          </w:p>
        </w:tc>
        <w:tc>
          <w:tcPr>
            <w:tcW w:w="1163"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2016/17</w:t>
            </w:r>
          </w:p>
        </w:tc>
        <w:tc>
          <w:tcPr>
            <w:tcW w:w="1134"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2017/18</w:t>
            </w:r>
          </w:p>
        </w:tc>
        <w:tc>
          <w:tcPr>
            <w:tcW w:w="1275"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2018/19</w:t>
            </w:r>
          </w:p>
        </w:tc>
        <w:tc>
          <w:tcPr>
            <w:tcW w:w="1672"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2019/20</w:t>
            </w:r>
          </w:p>
        </w:tc>
      </w:tr>
      <w:tr w:rsidR="00AC0383" w:rsidRPr="000B4210" w:rsidTr="006D7379">
        <w:trPr>
          <w:trHeight w:val="2520"/>
        </w:trPr>
        <w:tc>
          <w:tcPr>
            <w:tcW w:w="1980" w:type="dxa"/>
          </w:tcPr>
          <w:p w:rsidR="00AC0383" w:rsidRPr="000B4210" w:rsidRDefault="00AC0383" w:rsidP="00DA4D34">
            <w:pPr>
              <w:spacing w:before="120" w:line="240" w:lineRule="auto"/>
              <w:rPr>
                <w:rFonts w:ascii="Arial Narrow" w:hAnsi="Arial Narrow" w:cs="Arial"/>
                <w:b/>
                <w:kern w:val="24"/>
                <w:lang w:val="en-NZ"/>
              </w:rPr>
            </w:pPr>
            <w:r w:rsidRPr="000B4210">
              <w:rPr>
                <w:rFonts w:ascii="Arial Narrow" w:hAnsi="Arial Narrow" w:cs="Arial"/>
                <w:b/>
                <w:kern w:val="24"/>
                <w:lang w:val="en-NZ"/>
              </w:rPr>
              <w:t xml:space="preserve">Legal interventions </w:t>
            </w:r>
            <w:r w:rsidR="0051391C">
              <w:rPr>
                <w:rFonts w:ascii="Arial Narrow" w:hAnsi="Arial Narrow" w:cs="Arial"/>
                <w:b/>
                <w:kern w:val="24"/>
                <w:lang w:val="en-NZ"/>
              </w:rPr>
              <w:t xml:space="preserve">to </w:t>
            </w:r>
            <w:r w:rsidRPr="000B4210">
              <w:rPr>
                <w:rFonts w:ascii="Arial Narrow" w:hAnsi="Arial Narrow" w:cs="Arial"/>
                <w:b/>
                <w:kern w:val="24"/>
                <w:lang w:val="en-NZ"/>
              </w:rPr>
              <w:t>promote human rights</w:t>
            </w:r>
          </w:p>
          <w:p w:rsidR="00AC0383" w:rsidRPr="000B4210" w:rsidRDefault="00AC0383" w:rsidP="00567B74">
            <w:pPr>
              <w:spacing w:before="120" w:line="240" w:lineRule="auto"/>
              <w:rPr>
                <w:rFonts w:ascii="Arial Narrow" w:hAnsi="Arial Narrow" w:cs="Arial"/>
                <w:kern w:val="24"/>
                <w:lang w:val="en-NZ"/>
              </w:rPr>
            </w:pPr>
          </w:p>
        </w:tc>
        <w:tc>
          <w:tcPr>
            <w:tcW w:w="1247" w:type="dxa"/>
          </w:tcPr>
          <w:p w:rsidR="00AC0383" w:rsidRPr="000B4210" w:rsidRDefault="00AC0383" w:rsidP="00AC0383">
            <w:pPr>
              <w:spacing w:before="120" w:line="240" w:lineRule="auto"/>
              <w:rPr>
                <w:rFonts w:ascii="Arial Narrow" w:hAnsi="Arial Narrow" w:cs="Arial"/>
                <w:kern w:val="24"/>
                <w:lang w:val="en-NZ"/>
              </w:rPr>
            </w:pPr>
            <w:r w:rsidRPr="000B4210">
              <w:rPr>
                <w:rFonts w:ascii="Arial Narrow" w:hAnsi="Arial Narrow" w:cs="Arial"/>
                <w:kern w:val="24"/>
                <w:lang w:val="en-NZ"/>
              </w:rPr>
              <w:t>Number of new legal interventions</w:t>
            </w:r>
            <w:r w:rsidR="00AC2D3B">
              <w:rPr>
                <w:rStyle w:val="FootnoteReference"/>
                <w:rFonts w:ascii="Arial Narrow" w:hAnsi="Arial Narrow" w:cs="Arial"/>
                <w:kern w:val="24"/>
                <w:lang w:val="en-NZ"/>
              </w:rPr>
              <w:footnoteReference w:id="7"/>
            </w:r>
            <w:r w:rsidRPr="000B4210">
              <w:rPr>
                <w:rFonts w:ascii="Arial Narrow" w:hAnsi="Arial Narrow" w:cs="Arial"/>
                <w:kern w:val="24"/>
                <w:lang w:val="en-NZ"/>
              </w:rPr>
              <w:t xml:space="preserve"> the Commission engages in related to significant human rights matters</w:t>
            </w:r>
          </w:p>
        </w:tc>
        <w:tc>
          <w:tcPr>
            <w:tcW w:w="1163" w:type="dxa"/>
          </w:tcPr>
          <w:p w:rsidR="00AC0383" w:rsidRPr="000B4210" w:rsidRDefault="00AC0383" w:rsidP="00567B74">
            <w:pPr>
              <w:spacing w:before="120" w:line="240" w:lineRule="auto"/>
              <w:rPr>
                <w:rFonts w:ascii="Arial Narrow" w:hAnsi="Arial Narrow" w:cs="Arial"/>
                <w:kern w:val="24"/>
                <w:lang w:val="en-NZ"/>
              </w:rPr>
            </w:pPr>
          </w:p>
        </w:tc>
        <w:tc>
          <w:tcPr>
            <w:tcW w:w="1163" w:type="dxa"/>
          </w:tcPr>
          <w:p w:rsidR="00AC0383" w:rsidRPr="000B4210" w:rsidRDefault="00AC0383" w:rsidP="00567B74">
            <w:pPr>
              <w:spacing w:before="120" w:line="240" w:lineRule="auto"/>
              <w:rPr>
                <w:rFonts w:ascii="Arial Narrow" w:hAnsi="Arial Narrow" w:cs="Arial"/>
                <w:kern w:val="24"/>
                <w:lang w:val="en-NZ"/>
              </w:rPr>
            </w:pPr>
            <w:r w:rsidRPr="000B4210">
              <w:rPr>
                <w:rFonts w:ascii="Arial Narrow" w:hAnsi="Arial Narrow" w:cs="Arial"/>
                <w:kern w:val="24"/>
                <w:lang w:val="en-NZ"/>
              </w:rPr>
              <w:t>At least 2 new legal interventions per year</w:t>
            </w:r>
          </w:p>
        </w:tc>
        <w:tc>
          <w:tcPr>
            <w:tcW w:w="1134" w:type="dxa"/>
          </w:tcPr>
          <w:p w:rsidR="00AC0383" w:rsidRPr="000B4210" w:rsidRDefault="00AC0383" w:rsidP="00567B74">
            <w:pPr>
              <w:spacing w:before="120" w:line="240" w:lineRule="auto"/>
              <w:rPr>
                <w:rFonts w:ascii="Arial Narrow" w:hAnsi="Arial Narrow" w:cs="Arial"/>
                <w:kern w:val="24"/>
                <w:lang w:val="en-NZ"/>
              </w:rPr>
            </w:pPr>
            <w:r w:rsidRPr="000B4210">
              <w:rPr>
                <w:rFonts w:ascii="Arial Narrow" w:hAnsi="Arial Narrow" w:cs="Arial"/>
                <w:kern w:val="24"/>
                <w:lang w:val="en-NZ"/>
              </w:rPr>
              <w:t>At least 2 new legal interventions per year</w:t>
            </w:r>
          </w:p>
        </w:tc>
        <w:tc>
          <w:tcPr>
            <w:tcW w:w="1275" w:type="dxa"/>
          </w:tcPr>
          <w:p w:rsidR="00AC0383" w:rsidRPr="000B4210" w:rsidRDefault="00AC0383" w:rsidP="00567B74">
            <w:pPr>
              <w:pStyle w:val="NormalWeb"/>
              <w:spacing w:before="120" w:beforeAutospacing="0" w:after="0" w:afterAutospacing="0" w:line="240" w:lineRule="auto"/>
              <w:rPr>
                <w:rFonts w:ascii="Arial Narrow" w:hAnsi="Arial Narrow" w:cs="Arial"/>
                <w:kern w:val="24"/>
                <w:lang w:val="en-NZ"/>
              </w:rPr>
            </w:pPr>
            <w:r w:rsidRPr="000B4210">
              <w:rPr>
                <w:rFonts w:ascii="Arial Narrow" w:hAnsi="Arial Narrow" w:cs="Arial"/>
                <w:kern w:val="24"/>
                <w:lang w:val="en-NZ"/>
              </w:rPr>
              <w:t>At least 2 new legal interventions per year</w:t>
            </w:r>
          </w:p>
        </w:tc>
        <w:tc>
          <w:tcPr>
            <w:tcW w:w="1672" w:type="dxa"/>
          </w:tcPr>
          <w:p w:rsidR="00AC0383" w:rsidRPr="000B4210" w:rsidRDefault="00AC0383" w:rsidP="00567B74">
            <w:pPr>
              <w:pStyle w:val="NormalWeb"/>
              <w:spacing w:before="120" w:beforeAutospacing="0" w:after="0" w:afterAutospacing="0" w:line="240" w:lineRule="auto"/>
              <w:rPr>
                <w:rFonts w:ascii="Arial Narrow" w:hAnsi="Arial Narrow" w:cs="Arial"/>
                <w:kern w:val="24"/>
                <w:lang w:val="en-NZ"/>
              </w:rPr>
            </w:pPr>
            <w:r w:rsidRPr="000B4210">
              <w:rPr>
                <w:rFonts w:ascii="Arial Narrow" w:hAnsi="Arial Narrow" w:cs="Arial"/>
                <w:kern w:val="24"/>
                <w:lang w:val="en-NZ"/>
              </w:rPr>
              <w:t>At least 2 new legal interventions per year</w:t>
            </w:r>
          </w:p>
        </w:tc>
      </w:tr>
    </w:tbl>
    <w:p w:rsidR="007402F7" w:rsidRDefault="007402F7" w:rsidP="00210088">
      <w:pPr>
        <w:spacing w:after="200" w:line="276" w:lineRule="auto"/>
        <w:rPr>
          <w:rFonts w:cs="Arial"/>
          <w:b/>
          <w:lang w:val="en-NZ"/>
        </w:rPr>
      </w:pPr>
    </w:p>
    <w:p w:rsidR="001602FB" w:rsidRPr="000B4210" w:rsidRDefault="007402F7" w:rsidP="00210088">
      <w:pPr>
        <w:spacing w:after="200" w:line="276" w:lineRule="auto"/>
        <w:rPr>
          <w:rFonts w:cs="Arial"/>
          <w:b/>
          <w:lang w:val="en-NZ"/>
        </w:rPr>
      </w:pPr>
      <w:r>
        <w:rPr>
          <w:rFonts w:cs="Arial"/>
          <w:b/>
          <w:lang w:val="en-NZ"/>
        </w:rPr>
        <w:t>O</w:t>
      </w:r>
      <w:r w:rsidR="004C5B67" w:rsidRPr="000B4210">
        <w:rPr>
          <w:rFonts w:cs="Arial"/>
          <w:b/>
          <w:lang w:val="en-NZ"/>
        </w:rPr>
        <w:t xml:space="preserve">utput 4: </w:t>
      </w:r>
      <w:r w:rsidR="00FF3128" w:rsidRPr="000B4210">
        <w:rPr>
          <w:rFonts w:cs="Arial"/>
          <w:b/>
          <w:lang w:val="en-NZ"/>
        </w:rPr>
        <w:t>Recommending, monitoring and reporting on human rights standards to government, civil society and business</w:t>
      </w:r>
    </w:p>
    <w:tbl>
      <w:tblPr>
        <w:tblStyle w:val="TableGrid"/>
        <w:tblW w:w="9663" w:type="dxa"/>
        <w:tblLayout w:type="fixed"/>
        <w:tblCellMar>
          <w:top w:w="45" w:type="dxa"/>
        </w:tblCellMar>
        <w:tblLook w:val="04A0" w:firstRow="1" w:lastRow="0" w:firstColumn="1" w:lastColumn="0" w:noHBand="0" w:noVBand="1"/>
      </w:tblPr>
      <w:tblGrid>
        <w:gridCol w:w="1951"/>
        <w:gridCol w:w="1305"/>
        <w:gridCol w:w="1134"/>
        <w:gridCol w:w="1163"/>
        <w:gridCol w:w="1275"/>
        <w:gridCol w:w="1247"/>
        <w:gridCol w:w="1588"/>
      </w:tblGrid>
      <w:tr w:rsidR="00AC0383" w:rsidRPr="000B4210" w:rsidTr="00557B26">
        <w:trPr>
          <w:trHeight w:val="454"/>
          <w:tblHeader/>
        </w:trPr>
        <w:tc>
          <w:tcPr>
            <w:tcW w:w="1951"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Objective</w:t>
            </w:r>
          </w:p>
        </w:tc>
        <w:tc>
          <w:tcPr>
            <w:tcW w:w="1305"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Measure</w:t>
            </w:r>
          </w:p>
        </w:tc>
        <w:tc>
          <w:tcPr>
            <w:tcW w:w="1134"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Baseline</w:t>
            </w:r>
          </w:p>
        </w:tc>
        <w:tc>
          <w:tcPr>
            <w:tcW w:w="1163"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2016/17</w:t>
            </w:r>
          </w:p>
        </w:tc>
        <w:tc>
          <w:tcPr>
            <w:tcW w:w="1275"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2017/18</w:t>
            </w:r>
          </w:p>
        </w:tc>
        <w:tc>
          <w:tcPr>
            <w:tcW w:w="1247"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2018/19</w:t>
            </w:r>
          </w:p>
        </w:tc>
        <w:tc>
          <w:tcPr>
            <w:tcW w:w="1588" w:type="dxa"/>
            <w:shd w:val="clear" w:color="auto" w:fill="DDD9C3" w:themeFill="background2" w:themeFillShade="E6"/>
          </w:tcPr>
          <w:p w:rsidR="00AC0383" w:rsidRPr="000B4210" w:rsidRDefault="00AC0383"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2019/20</w:t>
            </w:r>
          </w:p>
        </w:tc>
      </w:tr>
      <w:tr w:rsidR="00AC0383" w:rsidRPr="000B4210" w:rsidTr="00557B26">
        <w:trPr>
          <w:trHeight w:val="2520"/>
        </w:trPr>
        <w:tc>
          <w:tcPr>
            <w:tcW w:w="1951" w:type="dxa"/>
          </w:tcPr>
          <w:p w:rsidR="00AC0383" w:rsidRPr="000B4210" w:rsidRDefault="00AC0383" w:rsidP="00567B74">
            <w:pPr>
              <w:spacing w:before="120" w:line="240" w:lineRule="auto"/>
              <w:rPr>
                <w:rFonts w:ascii="Arial Narrow" w:hAnsi="Arial Narrow" w:cs="Arial"/>
                <w:kern w:val="24"/>
                <w:lang w:val="en-NZ"/>
              </w:rPr>
            </w:pPr>
            <w:r w:rsidRPr="000B4210">
              <w:rPr>
                <w:rFonts w:ascii="Arial Narrow" w:hAnsi="Arial Narrow" w:cs="Arial"/>
                <w:b/>
                <w:kern w:val="24"/>
                <w:lang w:val="en-NZ"/>
              </w:rPr>
              <w:t>Monitoring and analysing progress in improving equal opportunity employment opportunities in New Zealand and reporting on the outcomes</w:t>
            </w:r>
          </w:p>
        </w:tc>
        <w:tc>
          <w:tcPr>
            <w:tcW w:w="1305" w:type="dxa"/>
          </w:tcPr>
          <w:p w:rsidR="00AC0383" w:rsidRDefault="009A4E70" w:rsidP="009A4E70">
            <w:pPr>
              <w:spacing w:before="120" w:line="240" w:lineRule="auto"/>
              <w:rPr>
                <w:rFonts w:ascii="Arial Narrow" w:hAnsi="Arial Narrow" w:cs="Arial"/>
                <w:kern w:val="24"/>
                <w:lang w:val="en-NZ"/>
              </w:rPr>
            </w:pPr>
            <w:r w:rsidRPr="009A4E70">
              <w:rPr>
                <w:rFonts w:ascii="Arial Narrow" w:hAnsi="Arial Narrow" w:cs="Arial"/>
                <w:kern w:val="24"/>
                <w:lang w:val="en-NZ"/>
              </w:rPr>
              <w:t>Percentage of Crown entities reaching 100% compliance</w:t>
            </w:r>
          </w:p>
          <w:p w:rsidR="009A4E70" w:rsidRPr="000B4210" w:rsidRDefault="009A4E70" w:rsidP="00E209C0">
            <w:pPr>
              <w:spacing w:before="120" w:line="240" w:lineRule="auto"/>
              <w:rPr>
                <w:rFonts w:ascii="Arial Narrow" w:hAnsi="Arial Narrow" w:cs="Arial"/>
                <w:kern w:val="24"/>
                <w:lang w:val="en-NZ"/>
              </w:rPr>
            </w:pPr>
            <w:r w:rsidRPr="009A4E70">
              <w:rPr>
                <w:rFonts w:ascii="Arial Narrow" w:hAnsi="Arial Narrow" w:cs="Arial"/>
                <w:kern w:val="24"/>
                <w:lang w:val="en-NZ"/>
              </w:rPr>
              <w:t>Number of Crown entities</w:t>
            </w:r>
            <w:r w:rsidR="00E209C0">
              <w:rPr>
                <w:rFonts w:ascii="Arial Narrow" w:hAnsi="Arial Narrow" w:cs="Arial"/>
                <w:kern w:val="24"/>
                <w:lang w:val="en-NZ"/>
              </w:rPr>
              <w:t xml:space="preserve"> per year</w:t>
            </w:r>
            <w:r w:rsidRPr="009A4E70">
              <w:rPr>
                <w:rFonts w:ascii="Arial Narrow" w:hAnsi="Arial Narrow" w:cs="Arial"/>
                <w:kern w:val="24"/>
                <w:lang w:val="en-NZ"/>
              </w:rPr>
              <w:t xml:space="preserve"> </w:t>
            </w:r>
            <w:r w:rsidR="00E209C0">
              <w:rPr>
                <w:rFonts w:ascii="Arial Narrow" w:hAnsi="Arial Narrow" w:cs="Arial"/>
                <w:kern w:val="24"/>
                <w:lang w:val="en-NZ"/>
              </w:rPr>
              <w:t>improving on their previous compliance rating</w:t>
            </w:r>
            <w:r w:rsidR="00EB23AA">
              <w:rPr>
                <w:rStyle w:val="FootnoteReference"/>
                <w:rFonts w:ascii="Arial Narrow" w:hAnsi="Arial Narrow" w:cs="Arial"/>
                <w:kern w:val="24"/>
                <w:lang w:val="en-NZ"/>
              </w:rPr>
              <w:footnoteReference w:id="8"/>
            </w:r>
          </w:p>
        </w:tc>
        <w:tc>
          <w:tcPr>
            <w:tcW w:w="1134" w:type="dxa"/>
          </w:tcPr>
          <w:p w:rsidR="00E209C0" w:rsidRDefault="000E6FBF" w:rsidP="00567B74">
            <w:pPr>
              <w:spacing w:before="120" w:line="240" w:lineRule="auto"/>
              <w:rPr>
                <w:rFonts w:ascii="Arial Narrow" w:hAnsi="Arial Narrow" w:cs="Arial"/>
                <w:kern w:val="24"/>
                <w:lang w:val="en-NZ"/>
              </w:rPr>
            </w:pPr>
            <w:r>
              <w:rPr>
                <w:rFonts w:ascii="Arial Narrow" w:hAnsi="Arial Narrow" w:cs="Arial"/>
                <w:kern w:val="24"/>
                <w:lang w:val="en-NZ"/>
              </w:rPr>
              <w:t>45</w:t>
            </w:r>
            <w:r w:rsidR="00E209C0">
              <w:rPr>
                <w:rFonts w:ascii="Arial Narrow" w:hAnsi="Arial Narrow" w:cs="Arial"/>
                <w:kern w:val="24"/>
                <w:lang w:val="en-NZ"/>
              </w:rPr>
              <w:t>% of 91 agencies</w:t>
            </w:r>
          </w:p>
          <w:p w:rsidR="00E209C0" w:rsidRDefault="00E209C0" w:rsidP="00567B74">
            <w:pPr>
              <w:spacing w:before="120" w:line="240" w:lineRule="auto"/>
              <w:rPr>
                <w:rFonts w:ascii="Arial Narrow" w:hAnsi="Arial Narrow" w:cs="Arial"/>
                <w:kern w:val="24"/>
                <w:lang w:val="en-NZ"/>
              </w:rPr>
            </w:pPr>
          </w:p>
          <w:p w:rsidR="00E209C0" w:rsidRPr="000B4210" w:rsidRDefault="00E209C0" w:rsidP="007402F7">
            <w:pPr>
              <w:spacing w:before="480" w:line="240" w:lineRule="auto"/>
              <w:rPr>
                <w:rFonts w:ascii="Arial Narrow" w:hAnsi="Arial Narrow" w:cs="Arial"/>
                <w:kern w:val="24"/>
                <w:lang w:val="en-NZ"/>
              </w:rPr>
            </w:pPr>
            <w:r>
              <w:rPr>
                <w:rFonts w:ascii="Arial Narrow" w:hAnsi="Arial Narrow" w:cs="Arial"/>
                <w:kern w:val="24"/>
                <w:lang w:val="en-NZ"/>
              </w:rPr>
              <w:t>3</w:t>
            </w:r>
          </w:p>
        </w:tc>
        <w:tc>
          <w:tcPr>
            <w:tcW w:w="1163" w:type="dxa"/>
          </w:tcPr>
          <w:p w:rsidR="00E209C0" w:rsidRDefault="00E209C0" w:rsidP="00567B74">
            <w:pPr>
              <w:spacing w:before="120" w:line="240" w:lineRule="auto"/>
              <w:rPr>
                <w:rFonts w:ascii="Arial Narrow" w:hAnsi="Arial Narrow" w:cs="Arial"/>
                <w:kern w:val="24"/>
                <w:lang w:val="en-NZ"/>
              </w:rPr>
            </w:pPr>
            <w:r>
              <w:rPr>
                <w:rFonts w:ascii="Arial Narrow" w:hAnsi="Arial Narrow" w:cs="Arial"/>
                <w:kern w:val="24"/>
                <w:lang w:val="en-NZ"/>
              </w:rPr>
              <w:t>5</w:t>
            </w:r>
            <w:r w:rsidR="000E6FBF">
              <w:rPr>
                <w:rFonts w:ascii="Arial Narrow" w:hAnsi="Arial Narrow" w:cs="Arial"/>
                <w:kern w:val="24"/>
                <w:lang w:val="en-NZ"/>
              </w:rPr>
              <w:t>0</w:t>
            </w:r>
            <w:r>
              <w:rPr>
                <w:rFonts w:ascii="Arial Narrow" w:hAnsi="Arial Narrow" w:cs="Arial"/>
                <w:kern w:val="24"/>
                <w:lang w:val="en-NZ"/>
              </w:rPr>
              <w:t>%</w:t>
            </w:r>
            <w:r>
              <w:t xml:space="preserve"> </w:t>
            </w:r>
            <w:r w:rsidRPr="00E209C0">
              <w:rPr>
                <w:rFonts w:ascii="Arial Narrow" w:hAnsi="Arial Narrow" w:cs="Arial"/>
                <w:kern w:val="24"/>
                <w:lang w:val="en-NZ"/>
              </w:rPr>
              <w:t>of 91 agencies</w:t>
            </w:r>
          </w:p>
          <w:p w:rsidR="00E209C0" w:rsidRDefault="00E209C0" w:rsidP="00567B74">
            <w:pPr>
              <w:spacing w:before="120" w:line="240" w:lineRule="auto"/>
              <w:rPr>
                <w:rFonts w:ascii="Arial Narrow" w:hAnsi="Arial Narrow" w:cs="Arial"/>
                <w:kern w:val="24"/>
                <w:lang w:val="en-NZ"/>
              </w:rPr>
            </w:pPr>
          </w:p>
          <w:p w:rsidR="00AC0383" w:rsidRPr="000B4210" w:rsidRDefault="00AC0383" w:rsidP="007402F7">
            <w:pPr>
              <w:spacing w:before="480" w:line="240" w:lineRule="auto"/>
              <w:rPr>
                <w:rFonts w:ascii="Arial Narrow" w:hAnsi="Arial Narrow" w:cs="Arial"/>
                <w:kern w:val="24"/>
                <w:lang w:val="en-NZ"/>
              </w:rPr>
            </w:pPr>
            <w:r w:rsidRPr="000B4210">
              <w:rPr>
                <w:rFonts w:ascii="Arial Narrow" w:hAnsi="Arial Narrow" w:cs="Arial"/>
                <w:kern w:val="24"/>
                <w:lang w:val="en-NZ"/>
              </w:rPr>
              <w:t>Increase from previous year</w:t>
            </w:r>
          </w:p>
        </w:tc>
        <w:tc>
          <w:tcPr>
            <w:tcW w:w="1275" w:type="dxa"/>
          </w:tcPr>
          <w:p w:rsidR="00E209C0" w:rsidRDefault="007402F7" w:rsidP="00567B74">
            <w:pPr>
              <w:spacing w:before="120" w:line="240" w:lineRule="auto"/>
              <w:rPr>
                <w:rFonts w:ascii="Arial Narrow" w:hAnsi="Arial Narrow" w:cs="Arial"/>
                <w:kern w:val="24"/>
                <w:lang w:val="en-NZ"/>
              </w:rPr>
            </w:pPr>
            <w:r>
              <w:rPr>
                <w:rFonts w:ascii="Arial Narrow" w:hAnsi="Arial Narrow" w:cs="Arial"/>
                <w:kern w:val="24"/>
                <w:lang w:val="en-NZ"/>
              </w:rPr>
              <w:t>5</w:t>
            </w:r>
            <w:r w:rsidR="000E6FBF">
              <w:rPr>
                <w:rFonts w:ascii="Arial Narrow" w:hAnsi="Arial Narrow" w:cs="Arial"/>
                <w:kern w:val="24"/>
                <w:lang w:val="en-NZ"/>
              </w:rPr>
              <w:t>5</w:t>
            </w:r>
            <w:r w:rsidR="00E209C0">
              <w:rPr>
                <w:rFonts w:ascii="Arial Narrow" w:hAnsi="Arial Narrow" w:cs="Arial"/>
                <w:kern w:val="24"/>
                <w:lang w:val="en-NZ"/>
              </w:rPr>
              <w:t xml:space="preserve">% </w:t>
            </w:r>
            <w:r w:rsidR="00E209C0" w:rsidRPr="00E209C0">
              <w:rPr>
                <w:rFonts w:ascii="Arial Narrow" w:hAnsi="Arial Narrow" w:cs="Arial"/>
                <w:kern w:val="24"/>
                <w:lang w:val="en-NZ"/>
              </w:rPr>
              <w:t>of 91 agencies</w:t>
            </w:r>
          </w:p>
          <w:p w:rsidR="00E209C0" w:rsidRDefault="00E209C0" w:rsidP="00567B74">
            <w:pPr>
              <w:spacing w:before="120" w:line="240" w:lineRule="auto"/>
              <w:rPr>
                <w:rFonts w:ascii="Arial Narrow" w:hAnsi="Arial Narrow" w:cs="Arial"/>
                <w:kern w:val="24"/>
                <w:lang w:val="en-NZ"/>
              </w:rPr>
            </w:pPr>
          </w:p>
          <w:p w:rsidR="00AC0383" w:rsidRPr="000B4210" w:rsidRDefault="00AC0383" w:rsidP="007402F7">
            <w:pPr>
              <w:spacing w:before="480" w:line="240" w:lineRule="auto"/>
              <w:rPr>
                <w:rFonts w:ascii="Arial Narrow" w:hAnsi="Arial Narrow" w:cs="Arial"/>
                <w:kern w:val="24"/>
                <w:lang w:val="en-NZ"/>
              </w:rPr>
            </w:pPr>
            <w:r w:rsidRPr="000B4210">
              <w:rPr>
                <w:rFonts w:ascii="Arial Narrow" w:hAnsi="Arial Narrow" w:cs="Arial"/>
                <w:kern w:val="24"/>
                <w:lang w:val="en-NZ"/>
              </w:rPr>
              <w:t>Increase from previous year</w:t>
            </w:r>
          </w:p>
        </w:tc>
        <w:tc>
          <w:tcPr>
            <w:tcW w:w="1247" w:type="dxa"/>
          </w:tcPr>
          <w:p w:rsidR="00E209C0" w:rsidRDefault="00E209C0" w:rsidP="00567B74">
            <w:pPr>
              <w:pStyle w:val="NormalWeb"/>
              <w:spacing w:before="120" w:beforeAutospacing="0" w:after="0" w:afterAutospacing="0" w:line="240" w:lineRule="auto"/>
              <w:rPr>
                <w:rFonts w:ascii="Arial Narrow" w:hAnsi="Arial Narrow" w:cs="Arial"/>
                <w:kern w:val="24"/>
                <w:lang w:val="en-NZ"/>
              </w:rPr>
            </w:pPr>
            <w:r>
              <w:rPr>
                <w:rFonts w:ascii="Arial Narrow" w:hAnsi="Arial Narrow" w:cs="Arial"/>
                <w:kern w:val="24"/>
                <w:lang w:val="en-NZ"/>
              </w:rPr>
              <w:t>6</w:t>
            </w:r>
            <w:r w:rsidR="000E6FBF">
              <w:rPr>
                <w:rFonts w:ascii="Arial Narrow" w:hAnsi="Arial Narrow" w:cs="Arial"/>
                <w:kern w:val="24"/>
                <w:lang w:val="en-NZ"/>
              </w:rPr>
              <w:t>0</w:t>
            </w:r>
            <w:r>
              <w:rPr>
                <w:rFonts w:ascii="Arial Narrow" w:hAnsi="Arial Narrow" w:cs="Arial"/>
                <w:kern w:val="24"/>
                <w:lang w:val="en-NZ"/>
              </w:rPr>
              <w:t>%</w:t>
            </w:r>
            <w:r>
              <w:t xml:space="preserve"> </w:t>
            </w:r>
            <w:r w:rsidRPr="00E209C0">
              <w:rPr>
                <w:rFonts w:ascii="Arial Narrow" w:hAnsi="Arial Narrow" w:cs="Arial"/>
                <w:kern w:val="24"/>
                <w:lang w:val="en-NZ"/>
              </w:rPr>
              <w:t>of 91 agencies</w:t>
            </w:r>
            <w:r>
              <w:rPr>
                <w:rFonts w:ascii="Arial Narrow" w:hAnsi="Arial Narrow" w:cs="Arial"/>
                <w:kern w:val="24"/>
                <w:lang w:val="en-NZ"/>
              </w:rPr>
              <w:t xml:space="preserve"> </w:t>
            </w:r>
          </w:p>
          <w:p w:rsidR="00E209C0" w:rsidRDefault="00E209C0" w:rsidP="00567B74">
            <w:pPr>
              <w:pStyle w:val="NormalWeb"/>
              <w:spacing w:before="120" w:beforeAutospacing="0" w:after="0" w:afterAutospacing="0" w:line="240" w:lineRule="auto"/>
              <w:rPr>
                <w:rFonts w:ascii="Arial Narrow" w:hAnsi="Arial Narrow" w:cs="Arial"/>
                <w:kern w:val="24"/>
                <w:lang w:val="en-NZ"/>
              </w:rPr>
            </w:pPr>
          </w:p>
          <w:p w:rsidR="00AC0383" w:rsidRPr="000B4210" w:rsidRDefault="00AC0383" w:rsidP="007402F7">
            <w:pPr>
              <w:pStyle w:val="NormalWeb"/>
              <w:spacing w:before="600" w:beforeAutospacing="0" w:after="0" w:afterAutospacing="0" w:line="240" w:lineRule="auto"/>
              <w:rPr>
                <w:rFonts w:ascii="Arial Narrow" w:hAnsi="Arial Narrow" w:cs="Arial"/>
                <w:kern w:val="24"/>
                <w:lang w:val="en-NZ"/>
              </w:rPr>
            </w:pPr>
            <w:r w:rsidRPr="000B4210">
              <w:rPr>
                <w:rFonts w:ascii="Arial Narrow" w:hAnsi="Arial Narrow" w:cs="Arial"/>
                <w:kern w:val="24"/>
                <w:lang w:val="en-NZ"/>
              </w:rPr>
              <w:t>I</w:t>
            </w:r>
            <w:r w:rsidR="007402F7">
              <w:rPr>
                <w:rFonts w:ascii="Arial Narrow" w:hAnsi="Arial Narrow" w:cs="Arial"/>
                <w:kern w:val="24"/>
                <w:lang w:val="en-NZ"/>
              </w:rPr>
              <w:t>n</w:t>
            </w:r>
            <w:r w:rsidRPr="000B4210">
              <w:rPr>
                <w:rFonts w:ascii="Arial Narrow" w:hAnsi="Arial Narrow" w:cs="Arial"/>
                <w:kern w:val="24"/>
                <w:lang w:val="en-NZ"/>
              </w:rPr>
              <w:t>crease from previous year</w:t>
            </w:r>
          </w:p>
        </w:tc>
        <w:tc>
          <w:tcPr>
            <w:tcW w:w="1588" w:type="dxa"/>
          </w:tcPr>
          <w:p w:rsidR="00E209C0" w:rsidRDefault="000E6FBF" w:rsidP="00567B74">
            <w:pPr>
              <w:pStyle w:val="NormalWeb"/>
              <w:spacing w:before="120" w:beforeAutospacing="0" w:after="0" w:afterAutospacing="0" w:line="240" w:lineRule="auto"/>
              <w:rPr>
                <w:rFonts w:ascii="Arial Narrow" w:hAnsi="Arial Narrow" w:cs="Arial"/>
                <w:kern w:val="24"/>
                <w:lang w:val="en-NZ"/>
              </w:rPr>
            </w:pPr>
            <w:r>
              <w:rPr>
                <w:rFonts w:ascii="Arial Narrow" w:hAnsi="Arial Narrow" w:cs="Arial"/>
                <w:kern w:val="24"/>
                <w:lang w:val="en-NZ"/>
              </w:rPr>
              <w:t>65</w:t>
            </w:r>
            <w:r w:rsidR="00E209C0">
              <w:rPr>
                <w:rFonts w:ascii="Arial Narrow" w:hAnsi="Arial Narrow" w:cs="Arial"/>
                <w:kern w:val="24"/>
                <w:lang w:val="en-NZ"/>
              </w:rPr>
              <w:t xml:space="preserve">% </w:t>
            </w:r>
            <w:r w:rsidR="00E209C0" w:rsidRPr="00E209C0">
              <w:rPr>
                <w:rFonts w:ascii="Arial Narrow" w:hAnsi="Arial Narrow" w:cs="Arial"/>
                <w:kern w:val="24"/>
                <w:lang w:val="en-NZ"/>
              </w:rPr>
              <w:t>of 91 agencies</w:t>
            </w:r>
          </w:p>
          <w:p w:rsidR="00E209C0" w:rsidRDefault="00E209C0" w:rsidP="00567B74">
            <w:pPr>
              <w:pStyle w:val="NormalWeb"/>
              <w:spacing w:before="120" w:beforeAutospacing="0" w:after="0" w:afterAutospacing="0" w:line="240" w:lineRule="auto"/>
              <w:rPr>
                <w:rFonts w:ascii="Arial Narrow" w:hAnsi="Arial Narrow" w:cs="Arial"/>
                <w:kern w:val="24"/>
                <w:lang w:val="en-NZ"/>
              </w:rPr>
            </w:pPr>
          </w:p>
          <w:p w:rsidR="00E209C0" w:rsidRDefault="00E209C0" w:rsidP="00567B74">
            <w:pPr>
              <w:pStyle w:val="NormalWeb"/>
              <w:spacing w:before="120" w:beforeAutospacing="0" w:after="0" w:afterAutospacing="0" w:line="240" w:lineRule="auto"/>
              <w:rPr>
                <w:rFonts w:ascii="Arial Narrow" w:hAnsi="Arial Narrow" w:cs="Arial"/>
                <w:kern w:val="24"/>
                <w:lang w:val="en-NZ"/>
              </w:rPr>
            </w:pPr>
          </w:p>
          <w:p w:rsidR="00AC0383" w:rsidRPr="000B4210" w:rsidRDefault="00AC0383" w:rsidP="007402F7">
            <w:pPr>
              <w:pStyle w:val="NormalWeb"/>
              <w:spacing w:before="240" w:beforeAutospacing="0" w:after="0" w:afterAutospacing="0" w:line="240" w:lineRule="auto"/>
              <w:rPr>
                <w:rFonts w:ascii="Arial Narrow" w:hAnsi="Arial Narrow" w:cs="Arial"/>
                <w:kern w:val="24"/>
                <w:lang w:val="en-NZ"/>
              </w:rPr>
            </w:pPr>
            <w:r w:rsidRPr="000B4210">
              <w:rPr>
                <w:rFonts w:ascii="Arial Narrow" w:hAnsi="Arial Narrow" w:cs="Arial"/>
                <w:kern w:val="24"/>
                <w:lang w:val="en-NZ"/>
              </w:rPr>
              <w:t>Increase from previous year</w:t>
            </w:r>
          </w:p>
        </w:tc>
      </w:tr>
    </w:tbl>
    <w:p w:rsidR="007402F7" w:rsidRDefault="007402F7">
      <w:r>
        <w:br w:type="page"/>
      </w:r>
    </w:p>
    <w:tbl>
      <w:tblPr>
        <w:tblStyle w:val="TableGrid"/>
        <w:tblW w:w="9663" w:type="dxa"/>
        <w:tblLayout w:type="fixed"/>
        <w:tblCellMar>
          <w:top w:w="45" w:type="dxa"/>
        </w:tblCellMar>
        <w:tblLook w:val="04A0" w:firstRow="1" w:lastRow="0" w:firstColumn="1" w:lastColumn="0" w:noHBand="0" w:noVBand="1"/>
      </w:tblPr>
      <w:tblGrid>
        <w:gridCol w:w="1951"/>
        <w:gridCol w:w="1305"/>
        <w:gridCol w:w="1134"/>
        <w:gridCol w:w="1163"/>
        <w:gridCol w:w="1275"/>
        <w:gridCol w:w="1247"/>
        <w:gridCol w:w="1588"/>
      </w:tblGrid>
      <w:tr w:rsidR="00AC0383" w:rsidRPr="000B4210" w:rsidTr="00557B26">
        <w:tc>
          <w:tcPr>
            <w:tcW w:w="1951" w:type="dxa"/>
          </w:tcPr>
          <w:p w:rsidR="00AC0383" w:rsidRPr="000B4210" w:rsidRDefault="00AC0383" w:rsidP="006376FE">
            <w:pPr>
              <w:spacing w:before="120" w:line="240" w:lineRule="auto"/>
              <w:rPr>
                <w:rFonts w:ascii="Arial Narrow" w:hAnsi="Arial Narrow" w:cs="Arial"/>
                <w:color w:val="000000" w:themeColor="text1"/>
                <w:kern w:val="24"/>
                <w:lang w:val="en-NZ"/>
              </w:rPr>
            </w:pPr>
            <w:r w:rsidRPr="000B4210">
              <w:rPr>
                <w:rFonts w:ascii="Arial Narrow" w:hAnsi="Arial Narrow" w:cs="Arial"/>
                <w:b/>
                <w:color w:val="000000" w:themeColor="text1"/>
                <w:kern w:val="24"/>
                <w:lang w:val="en-NZ"/>
              </w:rPr>
              <w:lastRenderedPageBreak/>
              <w:t xml:space="preserve">Coordination of monitoring mechanisms and publication </w:t>
            </w:r>
            <w:r w:rsidR="006376FE" w:rsidRPr="000B4210">
              <w:rPr>
                <w:rFonts w:ascii="Arial Narrow" w:hAnsi="Arial Narrow" w:cs="Arial"/>
                <w:b/>
                <w:color w:val="000000" w:themeColor="text1"/>
                <w:kern w:val="24"/>
                <w:lang w:val="en-NZ"/>
              </w:rPr>
              <w:t>of reports associated with CRPD, O</w:t>
            </w:r>
            <w:r w:rsidRPr="000B4210">
              <w:rPr>
                <w:rFonts w:ascii="Arial Narrow" w:hAnsi="Arial Narrow" w:cs="Arial"/>
                <w:b/>
                <w:color w:val="000000" w:themeColor="text1"/>
                <w:kern w:val="24"/>
                <w:lang w:val="en-NZ"/>
              </w:rPr>
              <w:t>PCAT</w:t>
            </w:r>
            <w:r w:rsidR="006376FE" w:rsidRPr="000B4210">
              <w:rPr>
                <w:rFonts w:ascii="Arial Narrow" w:hAnsi="Arial Narrow" w:cs="Arial"/>
                <w:b/>
                <w:color w:val="000000" w:themeColor="text1"/>
                <w:kern w:val="24"/>
                <w:lang w:val="en-NZ"/>
              </w:rPr>
              <w:t xml:space="preserve"> and EMRIP/UNDRIP</w:t>
            </w:r>
            <w:r w:rsidR="00EB23AA">
              <w:rPr>
                <w:rStyle w:val="FootnoteReference"/>
                <w:rFonts w:ascii="Arial Narrow" w:hAnsi="Arial Narrow" w:cs="Arial"/>
                <w:b/>
                <w:color w:val="000000" w:themeColor="text1"/>
                <w:kern w:val="24"/>
                <w:lang w:val="en-NZ"/>
              </w:rPr>
              <w:footnoteReference w:id="9"/>
            </w:r>
          </w:p>
        </w:tc>
        <w:tc>
          <w:tcPr>
            <w:tcW w:w="1305" w:type="dxa"/>
          </w:tcPr>
          <w:p w:rsidR="00AC0383" w:rsidRPr="000B4210" w:rsidRDefault="00AC0383" w:rsidP="00DA4D34">
            <w:pPr>
              <w:spacing w:before="120" w:line="240" w:lineRule="auto"/>
              <w:rPr>
                <w:rFonts w:ascii="Arial Narrow" w:hAnsi="Arial Narrow" w:cs="Arial"/>
                <w:iCs/>
                <w:color w:val="000000" w:themeColor="text1"/>
                <w:kern w:val="24"/>
                <w:lang w:val="en-NZ"/>
              </w:rPr>
            </w:pPr>
            <w:r w:rsidRPr="000B4210">
              <w:rPr>
                <w:rFonts w:ascii="Arial Narrow" w:hAnsi="Arial Narrow" w:cs="Arial"/>
                <w:iCs/>
                <w:color w:val="000000" w:themeColor="text1"/>
                <w:kern w:val="24"/>
                <w:lang w:val="en-NZ"/>
              </w:rPr>
              <w:t>Thematic report(s) completed and published</w:t>
            </w:r>
          </w:p>
          <w:p w:rsidR="00AC0383" w:rsidRPr="000B4210" w:rsidRDefault="00AC0383" w:rsidP="00DA4D34">
            <w:pPr>
              <w:spacing w:before="120" w:line="240" w:lineRule="auto"/>
              <w:rPr>
                <w:rFonts w:ascii="Arial Narrow" w:hAnsi="Arial Narrow" w:cs="Arial"/>
                <w:iCs/>
                <w:color w:val="000000" w:themeColor="text1"/>
                <w:kern w:val="24"/>
                <w:lang w:val="en-NZ"/>
              </w:rPr>
            </w:pPr>
            <w:r w:rsidRPr="000B4210">
              <w:rPr>
                <w:rFonts w:ascii="Arial Narrow" w:hAnsi="Arial Narrow" w:cs="Arial"/>
                <w:iCs/>
                <w:color w:val="000000" w:themeColor="text1"/>
                <w:kern w:val="24"/>
                <w:lang w:val="en-NZ"/>
              </w:rPr>
              <w:t>Number of national preventative mechanism (NPM)</w:t>
            </w:r>
            <w:r w:rsidR="00EB23AA">
              <w:rPr>
                <w:rStyle w:val="FootnoteReference"/>
                <w:rFonts w:ascii="Arial Narrow" w:hAnsi="Arial Narrow" w:cs="Arial"/>
                <w:iCs/>
                <w:color w:val="000000" w:themeColor="text1"/>
                <w:kern w:val="24"/>
                <w:lang w:val="en-NZ"/>
              </w:rPr>
              <w:footnoteReference w:id="10"/>
            </w:r>
            <w:r w:rsidRPr="000B4210">
              <w:rPr>
                <w:rFonts w:ascii="Arial Narrow" w:hAnsi="Arial Narrow" w:cs="Arial"/>
                <w:iCs/>
                <w:color w:val="000000" w:themeColor="text1"/>
                <w:kern w:val="24"/>
                <w:lang w:val="en-NZ"/>
              </w:rPr>
              <w:t xml:space="preserve"> meetings arranged and held</w:t>
            </w:r>
          </w:p>
          <w:p w:rsidR="00AC0383" w:rsidRPr="000B4210" w:rsidRDefault="00AC0383" w:rsidP="00870AF4">
            <w:pPr>
              <w:spacing w:before="120" w:line="240" w:lineRule="auto"/>
              <w:rPr>
                <w:rFonts w:ascii="Arial Narrow" w:hAnsi="Arial Narrow" w:cs="Arial"/>
                <w:iCs/>
                <w:color w:val="000000" w:themeColor="text1"/>
                <w:kern w:val="24"/>
                <w:lang w:val="en-NZ"/>
              </w:rPr>
            </w:pPr>
            <w:r w:rsidRPr="000B4210">
              <w:rPr>
                <w:rFonts w:ascii="Arial Narrow" w:hAnsi="Arial Narrow" w:cs="Arial"/>
                <w:iCs/>
                <w:color w:val="000000" w:themeColor="text1"/>
                <w:kern w:val="24"/>
                <w:lang w:val="en-NZ"/>
              </w:rPr>
              <w:t xml:space="preserve">Number of </w:t>
            </w:r>
            <w:r w:rsidR="006376FE" w:rsidRPr="000B4210">
              <w:rPr>
                <w:rFonts w:ascii="Arial Narrow" w:hAnsi="Arial Narrow" w:cs="Arial"/>
                <w:iCs/>
                <w:color w:val="000000" w:themeColor="text1"/>
                <w:kern w:val="24"/>
                <w:lang w:val="en-NZ"/>
              </w:rPr>
              <w:t>U</w:t>
            </w:r>
            <w:r w:rsidR="00870AF4" w:rsidRPr="000B4210">
              <w:rPr>
                <w:rFonts w:ascii="Arial Narrow" w:hAnsi="Arial Narrow" w:cs="Arial"/>
                <w:iCs/>
                <w:color w:val="000000" w:themeColor="text1"/>
                <w:kern w:val="24"/>
                <w:lang w:val="en-NZ"/>
              </w:rPr>
              <w:t xml:space="preserve">NDRIP; CRPD </w:t>
            </w:r>
            <w:r w:rsidRPr="000B4210">
              <w:rPr>
                <w:rFonts w:ascii="Arial Narrow" w:hAnsi="Arial Narrow" w:cs="Arial"/>
                <w:iCs/>
                <w:color w:val="000000" w:themeColor="text1"/>
                <w:kern w:val="24"/>
                <w:lang w:val="en-NZ"/>
              </w:rPr>
              <w:t>independent monitoring mechanism (IMM)</w:t>
            </w:r>
            <w:r w:rsidR="00EB23AA">
              <w:rPr>
                <w:rStyle w:val="FootnoteReference"/>
                <w:rFonts w:ascii="Arial Narrow" w:hAnsi="Arial Narrow" w:cs="Arial"/>
                <w:iCs/>
                <w:color w:val="000000" w:themeColor="text1"/>
                <w:kern w:val="24"/>
                <w:lang w:val="en-NZ"/>
              </w:rPr>
              <w:footnoteReference w:id="11"/>
            </w:r>
            <w:r w:rsidRPr="000B4210">
              <w:rPr>
                <w:rFonts w:ascii="Arial Narrow" w:hAnsi="Arial Narrow" w:cs="Arial"/>
                <w:iCs/>
                <w:color w:val="000000" w:themeColor="text1"/>
                <w:kern w:val="24"/>
                <w:lang w:val="en-NZ"/>
              </w:rPr>
              <w:t xml:space="preserve"> meetings arranged and held</w:t>
            </w:r>
          </w:p>
        </w:tc>
        <w:tc>
          <w:tcPr>
            <w:tcW w:w="1134" w:type="dxa"/>
          </w:tcPr>
          <w:p w:rsidR="00AC0383" w:rsidRPr="000B4210" w:rsidRDefault="006A08E2"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1 per mechanism as required</w:t>
            </w:r>
          </w:p>
        </w:tc>
        <w:tc>
          <w:tcPr>
            <w:tcW w:w="1163" w:type="dxa"/>
          </w:tcPr>
          <w:p w:rsidR="00AC0383" w:rsidRPr="000B4210" w:rsidRDefault="00AC0383"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Annually by 30 June</w:t>
            </w:r>
          </w:p>
          <w:p w:rsidR="00AC0383" w:rsidRPr="000B4210" w:rsidRDefault="00AC0383" w:rsidP="00567B74">
            <w:pPr>
              <w:spacing w:before="120" w:line="240" w:lineRule="auto"/>
              <w:rPr>
                <w:rFonts w:ascii="Arial Narrow" w:hAnsi="Arial Narrow" w:cs="Arial"/>
                <w:color w:val="000000" w:themeColor="text1"/>
                <w:kern w:val="24"/>
                <w:lang w:val="en-NZ"/>
              </w:rPr>
            </w:pPr>
          </w:p>
          <w:p w:rsidR="00AC0383" w:rsidRPr="000B4210" w:rsidRDefault="00AC0383"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2 meetings per year</w:t>
            </w:r>
          </w:p>
          <w:p w:rsidR="00AC0383" w:rsidRPr="000B4210" w:rsidRDefault="00AC0383" w:rsidP="00DA4D34">
            <w:pPr>
              <w:spacing w:before="120" w:line="240" w:lineRule="auto"/>
              <w:rPr>
                <w:rFonts w:ascii="Arial Narrow" w:hAnsi="Arial Narrow" w:cs="Arial"/>
                <w:color w:val="000000" w:themeColor="text1"/>
                <w:kern w:val="24"/>
                <w:lang w:val="en-NZ"/>
              </w:rPr>
            </w:pPr>
          </w:p>
          <w:p w:rsidR="00AC0383" w:rsidRPr="000B4210" w:rsidRDefault="00AC0383" w:rsidP="00DA4D34">
            <w:pPr>
              <w:spacing w:before="120" w:line="240" w:lineRule="auto"/>
              <w:rPr>
                <w:rFonts w:ascii="Arial Narrow" w:hAnsi="Arial Narrow" w:cs="Arial"/>
                <w:color w:val="000000" w:themeColor="text1"/>
                <w:kern w:val="24"/>
                <w:lang w:val="en-NZ"/>
              </w:rPr>
            </w:pPr>
          </w:p>
          <w:p w:rsidR="00AC0383" w:rsidRPr="000B4210" w:rsidRDefault="00AC0383" w:rsidP="00FC1D8D">
            <w:pPr>
              <w:spacing w:before="7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2 meetings per year</w:t>
            </w:r>
          </w:p>
        </w:tc>
        <w:tc>
          <w:tcPr>
            <w:tcW w:w="1275" w:type="dxa"/>
          </w:tcPr>
          <w:p w:rsidR="00AC0383" w:rsidRPr="000B4210" w:rsidRDefault="00AC0383" w:rsidP="00567B74">
            <w:pPr>
              <w:pStyle w:val="NormalWeb"/>
              <w:spacing w:before="120" w:beforeAutospacing="0" w:after="240" w:afterAutospacing="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Annually by 30 June</w:t>
            </w:r>
          </w:p>
          <w:p w:rsidR="00AC0383" w:rsidRPr="000B4210" w:rsidRDefault="00AC0383" w:rsidP="00567B74">
            <w:pPr>
              <w:pStyle w:val="NormalWeb"/>
              <w:spacing w:before="120" w:beforeAutospacing="0" w:after="240" w:afterAutospacing="0" w:line="240" w:lineRule="auto"/>
              <w:rPr>
                <w:rFonts w:ascii="Arial Narrow" w:hAnsi="Arial Narrow" w:cs="Arial"/>
                <w:color w:val="000000" w:themeColor="text1"/>
                <w:kern w:val="24"/>
                <w:lang w:val="en-NZ"/>
              </w:rPr>
            </w:pPr>
          </w:p>
          <w:p w:rsidR="00AC0383" w:rsidRPr="000B4210" w:rsidRDefault="00AC0383" w:rsidP="00567B74">
            <w:pPr>
              <w:pStyle w:val="NormalWeb"/>
              <w:spacing w:before="120" w:beforeAutospacing="0" w:after="240" w:afterAutospacing="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2 meetings per year</w:t>
            </w:r>
          </w:p>
          <w:p w:rsidR="00AC0383" w:rsidRPr="000B4210" w:rsidRDefault="00AC0383" w:rsidP="00567B74">
            <w:pPr>
              <w:pStyle w:val="NormalWeb"/>
              <w:spacing w:before="120" w:beforeAutospacing="0" w:after="240" w:afterAutospacing="0" w:line="240" w:lineRule="auto"/>
              <w:rPr>
                <w:rFonts w:ascii="Arial Narrow" w:hAnsi="Arial Narrow" w:cs="Arial"/>
                <w:color w:val="000000" w:themeColor="text1"/>
                <w:kern w:val="24"/>
                <w:lang w:val="en-NZ"/>
              </w:rPr>
            </w:pPr>
          </w:p>
          <w:p w:rsidR="00AC0383" w:rsidRPr="000B4210" w:rsidRDefault="00AC0383" w:rsidP="00567B74">
            <w:pPr>
              <w:pStyle w:val="NormalWeb"/>
              <w:spacing w:before="120" w:beforeAutospacing="0" w:after="240" w:afterAutospacing="0" w:line="240" w:lineRule="auto"/>
              <w:rPr>
                <w:rFonts w:ascii="Arial Narrow" w:hAnsi="Arial Narrow" w:cs="Arial"/>
                <w:color w:val="000000" w:themeColor="text1"/>
                <w:kern w:val="24"/>
                <w:lang w:val="en-NZ"/>
              </w:rPr>
            </w:pPr>
          </w:p>
          <w:p w:rsidR="00AC0383" w:rsidRPr="000B4210" w:rsidRDefault="00AC0383" w:rsidP="00FC1D8D">
            <w:pPr>
              <w:pStyle w:val="NormalWeb"/>
              <w:spacing w:before="720" w:beforeAutospacing="0" w:after="240" w:afterAutospacing="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2 meetings per year</w:t>
            </w:r>
          </w:p>
          <w:p w:rsidR="00AC0383" w:rsidRPr="000B4210" w:rsidRDefault="00AC0383" w:rsidP="00DA4D34">
            <w:pPr>
              <w:pStyle w:val="NormalWeb"/>
              <w:spacing w:before="120" w:beforeAutospacing="0" w:after="240" w:afterAutospacing="0" w:line="240" w:lineRule="auto"/>
              <w:rPr>
                <w:rFonts w:ascii="Arial Narrow" w:hAnsi="Arial Narrow" w:cs="Arial"/>
                <w:color w:val="000000" w:themeColor="text1"/>
                <w:kern w:val="24"/>
                <w:lang w:val="en-NZ"/>
              </w:rPr>
            </w:pPr>
          </w:p>
        </w:tc>
        <w:tc>
          <w:tcPr>
            <w:tcW w:w="1247" w:type="dxa"/>
          </w:tcPr>
          <w:p w:rsidR="00AC0383" w:rsidRPr="000B4210" w:rsidRDefault="00AC0383"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Annually by 30 June</w:t>
            </w:r>
          </w:p>
          <w:p w:rsidR="00AC0383" w:rsidRPr="000B4210" w:rsidRDefault="00AC0383" w:rsidP="00567B74">
            <w:pPr>
              <w:spacing w:before="120" w:line="240" w:lineRule="auto"/>
              <w:rPr>
                <w:rFonts w:ascii="Arial Narrow" w:hAnsi="Arial Narrow" w:cs="Arial"/>
                <w:color w:val="000000" w:themeColor="text1"/>
                <w:kern w:val="24"/>
                <w:lang w:val="en-NZ"/>
              </w:rPr>
            </w:pPr>
          </w:p>
          <w:p w:rsidR="00AC0383" w:rsidRPr="000B4210" w:rsidRDefault="00AC0383"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2 meetings per year</w:t>
            </w:r>
          </w:p>
          <w:p w:rsidR="00AC0383" w:rsidRPr="000B4210" w:rsidRDefault="00AC0383" w:rsidP="00567B74">
            <w:pPr>
              <w:spacing w:before="120" w:line="240" w:lineRule="auto"/>
              <w:rPr>
                <w:rFonts w:ascii="Arial Narrow" w:hAnsi="Arial Narrow" w:cs="Arial"/>
                <w:color w:val="000000" w:themeColor="text1"/>
                <w:kern w:val="24"/>
                <w:lang w:val="en-NZ"/>
              </w:rPr>
            </w:pPr>
          </w:p>
          <w:p w:rsidR="00AC0383" w:rsidRPr="000B4210" w:rsidRDefault="00AC0383" w:rsidP="00567B74">
            <w:pPr>
              <w:spacing w:before="120" w:line="240" w:lineRule="auto"/>
              <w:rPr>
                <w:rFonts w:ascii="Arial Narrow" w:hAnsi="Arial Narrow" w:cs="Arial"/>
                <w:color w:val="000000" w:themeColor="text1"/>
                <w:kern w:val="24"/>
                <w:lang w:val="en-NZ"/>
              </w:rPr>
            </w:pPr>
          </w:p>
          <w:p w:rsidR="00AC0383" w:rsidRPr="000B4210" w:rsidRDefault="00AC0383" w:rsidP="00FC1D8D">
            <w:pPr>
              <w:spacing w:before="7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2 meetings per year</w:t>
            </w:r>
          </w:p>
          <w:p w:rsidR="00AC0383" w:rsidRPr="000B4210" w:rsidRDefault="00AC0383" w:rsidP="00567B74">
            <w:pPr>
              <w:spacing w:before="120" w:line="240" w:lineRule="auto"/>
              <w:rPr>
                <w:rFonts w:ascii="Arial Narrow" w:hAnsi="Arial Narrow" w:cs="Arial"/>
                <w:color w:val="000000" w:themeColor="text1"/>
                <w:kern w:val="24"/>
                <w:lang w:val="en-NZ"/>
              </w:rPr>
            </w:pPr>
          </w:p>
        </w:tc>
        <w:tc>
          <w:tcPr>
            <w:tcW w:w="1588" w:type="dxa"/>
          </w:tcPr>
          <w:p w:rsidR="00AC0383" w:rsidRPr="000B4210" w:rsidRDefault="00AC0383"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Annually by 30 June</w:t>
            </w:r>
          </w:p>
          <w:p w:rsidR="00AC0383" w:rsidRPr="000B4210" w:rsidRDefault="00AC0383" w:rsidP="00567B74">
            <w:pPr>
              <w:spacing w:before="120" w:line="240" w:lineRule="auto"/>
              <w:rPr>
                <w:rFonts w:ascii="Arial Narrow" w:hAnsi="Arial Narrow" w:cs="Arial"/>
                <w:color w:val="000000" w:themeColor="text1"/>
                <w:kern w:val="24"/>
                <w:lang w:val="en-NZ"/>
              </w:rPr>
            </w:pPr>
          </w:p>
          <w:p w:rsidR="00AC0383" w:rsidRPr="000B4210" w:rsidRDefault="00AC0383"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2 meetings per year</w:t>
            </w:r>
          </w:p>
          <w:p w:rsidR="00AC0383" w:rsidRPr="000B4210" w:rsidRDefault="00AC0383" w:rsidP="00567B74">
            <w:pPr>
              <w:spacing w:before="120" w:line="240" w:lineRule="auto"/>
              <w:rPr>
                <w:rFonts w:ascii="Arial Narrow" w:hAnsi="Arial Narrow" w:cs="Arial"/>
                <w:color w:val="000000" w:themeColor="text1"/>
                <w:kern w:val="24"/>
                <w:lang w:val="en-NZ"/>
              </w:rPr>
            </w:pPr>
          </w:p>
          <w:p w:rsidR="00AC0383" w:rsidRPr="000B4210" w:rsidRDefault="00AC0383" w:rsidP="00567B74">
            <w:pPr>
              <w:spacing w:before="120" w:line="240" w:lineRule="auto"/>
              <w:rPr>
                <w:rFonts w:ascii="Arial Narrow" w:hAnsi="Arial Narrow" w:cs="Arial"/>
                <w:color w:val="000000" w:themeColor="text1"/>
                <w:kern w:val="24"/>
                <w:lang w:val="en-NZ"/>
              </w:rPr>
            </w:pPr>
          </w:p>
          <w:p w:rsidR="00AC0383" w:rsidRPr="000B4210" w:rsidRDefault="00AC0383" w:rsidP="00FC1D8D">
            <w:pPr>
              <w:spacing w:before="7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2 meetings per year</w:t>
            </w:r>
          </w:p>
        </w:tc>
      </w:tr>
    </w:tbl>
    <w:p w:rsidR="00F3545B" w:rsidRDefault="00F3545B">
      <w:r>
        <w:br w:type="page"/>
      </w:r>
    </w:p>
    <w:tbl>
      <w:tblPr>
        <w:tblStyle w:val="TableGrid"/>
        <w:tblW w:w="9663" w:type="dxa"/>
        <w:tblLayout w:type="fixed"/>
        <w:tblCellMar>
          <w:top w:w="45" w:type="dxa"/>
        </w:tblCellMar>
        <w:tblLook w:val="04A0" w:firstRow="1" w:lastRow="0" w:firstColumn="1" w:lastColumn="0" w:noHBand="0" w:noVBand="1"/>
      </w:tblPr>
      <w:tblGrid>
        <w:gridCol w:w="1951"/>
        <w:gridCol w:w="1305"/>
        <w:gridCol w:w="1134"/>
        <w:gridCol w:w="1134"/>
        <w:gridCol w:w="1275"/>
        <w:gridCol w:w="1276"/>
        <w:gridCol w:w="1559"/>
        <w:gridCol w:w="29"/>
      </w:tblGrid>
      <w:tr w:rsidR="00AC0383" w:rsidRPr="000B4210" w:rsidTr="00557B26">
        <w:tc>
          <w:tcPr>
            <w:tcW w:w="1951" w:type="dxa"/>
          </w:tcPr>
          <w:p w:rsidR="00AC0383" w:rsidRPr="000B4210" w:rsidRDefault="00AC0383" w:rsidP="00DA4D34">
            <w:pPr>
              <w:spacing w:before="120" w:line="240" w:lineRule="auto"/>
              <w:rPr>
                <w:rFonts w:ascii="Arial Narrow" w:hAnsi="Arial Narrow" w:cs="Arial"/>
                <w:b/>
                <w:color w:val="000000" w:themeColor="text1"/>
                <w:kern w:val="24"/>
                <w:lang w:val="en-NZ"/>
              </w:rPr>
            </w:pPr>
            <w:r w:rsidRPr="000B4210">
              <w:rPr>
                <w:rFonts w:ascii="Arial Narrow" w:hAnsi="Arial Narrow" w:cs="Arial"/>
                <w:b/>
                <w:color w:val="000000" w:themeColor="text1"/>
                <w:kern w:val="24"/>
                <w:lang w:val="en-NZ"/>
              </w:rPr>
              <w:lastRenderedPageBreak/>
              <w:t>NPA monitors the Government’s actions to address UPR and other international treaty recommendations</w:t>
            </w:r>
          </w:p>
        </w:tc>
        <w:tc>
          <w:tcPr>
            <w:tcW w:w="1305" w:type="dxa"/>
          </w:tcPr>
          <w:p w:rsidR="00AC0383" w:rsidRPr="000B4210" w:rsidRDefault="00503321" w:rsidP="00DA4D34">
            <w:pPr>
              <w:spacing w:before="120" w:line="240" w:lineRule="auto"/>
              <w:rPr>
                <w:rFonts w:ascii="Arial Narrow" w:hAnsi="Arial Narrow" w:cs="Arial"/>
                <w:iCs/>
                <w:color w:val="000000" w:themeColor="text1"/>
                <w:kern w:val="24"/>
                <w:lang w:val="en-NZ"/>
              </w:rPr>
            </w:pPr>
            <w:r w:rsidRPr="000B4210">
              <w:rPr>
                <w:rFonts w:ascii="Arial Narrow" w:hAnsi="Arial Narrow" w:cs="Arial"/>
                <w:iCs/>
                <w:color w:val="000000" w:themeColor="text1"/>
                <w:kern w:val="24"/>
                <w:lang w:val="en-NZ"/>
              </w:rPr>
              <w:t xml:space="preserve">Number of updates to </w:t>
            </w:r>
            <w:r w:rsidR="00AC0383" w:rsidRPr="000B4210">
              <w:rPr>
                <w:rFonts w:ascii="Arial Narrow" w:hAnsi="Arial Narrow" w:cs="Arial"/>
                <w:iCs/>
                <w:color w:val="000000" w:themeColor="text1"/>
                <w:kern w:val="24"/>
                <w:lang w:val="en-NZ"/>
              </w:rPr>
              <w:t>NPA tool to reflect changes to actions</w:t>
            </w:r>
          </w:p>
          <w:p w:rsidR="00AC0383" w:rsidRPr="000B4210" w:rsidRDefault="00AC0383" w:rsidP="00DA4D34">
            <w:pPr>
              <w:spacing w:before="120" w:line="240" w:lineRule="auto"/>
              <w:rPr>
                <w:rFonts w:ascii="Arial Narrow" w:hAnsi="Arial Narrow" w:cs="Arial"/>
                <w:iCs/>
                <w:color w:val="000000" w:themeColor="text1"/>
                <w:kern w:val="24"/>
                <w:lang w:val="en-NZ"/>
              </w:rPr>
            </w:pPr>
            <w:r w:rsidRPr="000B4210">
              <w:rPr>
                <w:rFonts w:ascii="Arial Narrow" w:hAnsi="Arial Narrow" w:cs="Arial"/>
                <w:iCs/>
                <w:color w:val="000000" w:themeColor="text1"/>
                <w:kern w:val="24"/>
                <w:lang w:val="en-NZ"/>
              </w:rPr>
              <w:t>Report produced on the status of human rights based on the NPA</w:t>
            </w:r>
            <w:r w:rsidR="007847B6">
              <w:rPr>
                <w:rStyle w:val="FootnoteReference"/>
                <w:rFonts w:ascii="Arial Narrow" w:hAnsi="Arial Narrow" w:cs="Arial"/>
                <w:iCs/>
                <w:color w:val="000000" w:themeColor="text1"/>
                <w:kern w:val="24"/>
                <w:lang w:val="en-NZ"/>
              </w:rPr>
              <w:footnoteReference w:id="12"/>
            </w:r>
          </w:p>
        </w:tc>
        <w:tc>
          <w:tcPr>
            <w:tcW w:w="1134" w:type="dxa"/>
          </w:tcPr>
          <w:p w:rsidR="00AC0383" w:rsidRPr="000B4210" w:rsidRDefault="00AC0383" w:rsidP="00567B74">
            <w:pPr>
              <w:spacing w:before="120" w:line="240" w:lineRule="auto"/>
              <w:rPr>
                <w:rFonts w:ascii="Arial Narrow" w:hAnsi="Arial Narrow" w:cs="Arial"/>
                <w:color w:val="000000" w:themeColor="text1"/>
                <w:kern w:val="24"/>
                <w:lang w:val="en-NZ"/>
              </w:rPr>
            </w:pPr>
          </w:p>
        </w:tc>
        <w:tc>
          <w:tcPr>
            <w:tcW w:w="1134" w:type="dxa"/>
          </w:tcPr>
          <w:p w:rsidR="00AC0383" w:rsidRPr="000B4210" w:rsidRDefault="00AC0383"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Twice a year</w:t>
            </w:r>
          </w:p>
          <w:p w:rsidR="00AC0383" w:rsidRPr="000B4210" w:rsidRDefault="00AC0383" w:rsidP="00567B74">
            <w:pPr>
              <w:spacing w:before="120" w:line="240" w:lineRule="auto"/>
              <w:rPr>
                <w:rFonts w:ascii="Arial Narrow" w:hAnsi="Arial Narrow" w:cs="Arial"/>
                <w:color w:val="000000" w:themeColor="text1"/>
                <w:kern w:val="24"/>
                <w:lang w:val="en-NZ"/>
              </w:rPr>
            </w:pPr>
          </w:p>
          <w:p w:rsidR="00AC0383" w:rsidRPr="000B4210" w:rsidRDefault="00AC0383" w:rsidP="004A5800">
            <w:pPr>
              <w:spacing w:before="720" w:after="100" w:afterAutospacing="1"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Annually</w:t>
            </w:r>
          </w:p>
        </w:tc>
        <w:tc>
          <w:tcPr>
            <w:tcW w:w="1275" w:type="dxa"/>
          </w:tcPr>
          <w:p w:rsidR="00AC0383" w:rsidRPr="000B4210" w:rsidRDefault="00AC0383" w:rsidP="00567B74">
            <w:pPr>
              <w:pStyle w:val="NormalWeb"/>
              <w:spacing w:before="120" w:beforeAutospacing="0" w:after="240" w:afterAutospacing="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Twice a year</w:t>
            </w:r>
          </w:p>
          <w:p w:rsidR="00AC0383" w:rsidRPr="000B4210" w:rsidRDefault="00AC0383" w:rsidP="004A5800">
            <w:pPr>
              <w:pStyle w:val="NormalWeb"/>
              <w:spacing w:before="1440" w:beforeAutospacing="0" w:after="360" w:afterAutospacing="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Annually</w:t>
            </w:r>
          </w:p>
        </w:tc>
        <w:tc>
          <w:tcPr>
            <w:tcW w:w="1276" w:type="dxa"/>
          </w:tcPr>
          <w:p w:rsidR="00AC0383" w:rsidRPr="000B4210" w:rsidRDefault="00AC0383"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Twice a year</w:t>
            </w:r>
          </w:p>
          <w:p w:rsidR="00AC0383" w:rsidRPr="000B4210" w:rsidRDefault="00AC0383" w:rsidP="004A5800">
            <w:pPr>
              <w:spacing w:before="144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Annually</w:t>
            </w:r>
          </w:p>
        </w:tc>
        <w:tc>
          <w:tcPr>
            <w:tcW w:w="1588" w:type="dxa"/>
            <w:gridSpan w:val="2"/>
          </w:tcPr>
          <w:p w:rsidR="00AC0383" w:rsidRPr="000B4210" w:rsidRDefault="00AC0383"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Twice a year</w:t>
            </w:r>
          </w:p>
          <w:p w:rsidR="00AC0383" w:rsidRPr="000B4210" w:rsidRDefault="004A5800" w:rsidP="004A5800">
            <w:pPr>
              <w:spacing w:before="1440" w:line="240" w:lineRule="auto"/>
              <w:rPr>
                <w:rFonts w:ascii="Arial Narrow" w:hAnsi="Arial Narrow" w:cs="Arial"/>
                <w:color w:val="000000" w:themeColor="text1"/>
                <w:kern w:val="24"/>
                <w:lang w:val="en-NZ"/>
              </w:rPr>
            </w:pPr>
            <w:r>
              <w:rPr>
                <w:rFonts w:ascii="Arial Narrow" w:hAnsi="Arial Narrow" w:cs="Arial"/>
                <w:color w:val="000000" w:themeColor="text1"/>
                <w:kern w:val="24"/>
                <w:lang w:val="en-NZ"/>
              </w:rPr>
              <w:t>A</w:t>
            </w:r>
            <w:r w:rsidR="00AC0383" w:rsidRPr="000B4210">
              <w:rPr>
                <w:rFonts w:ascii="Arial Narrow" w:hAnsi="Arial Narrow" w:cs="Arial"/>
                <w:color w:val="000000" w:themeColor="text1"/>
                <w:kern w:val="24"/>
                <w:lang w:val="en-NZ"/>
              </w:rPr>
              <w:t>nnually</w:t>
            </w:r>
          </w:p>
        </w:tc>
      </w:tr>
      <w:tr w:rsidR="006A08E2" w:rsidRPr="000B4210" w:rsidTr="00557B26">
        <w:trPr>
          <w:gridAfter w:val="1"/>
          <w:wAfter w:w="29" w:type="dxa"/>
        </w:trPr>
        <w:tc>
          <w:tcPr>
            <w:tcW w:w="1951" w:type="dxa"/>
          </w:tcPr>
          <w:p w:rsidR="006A08E2" w:rsidRPr="000B4210" w:rsidRDefault="006A08E2" w:rsidP="00DA4D34">
            <w:pPr>
              <w:spacing w:before="120" w:line="240" w:lineRule="auto"/>
              <w:rPr>
                <w:rFonts w:ascii="Arial Narrow" w:hAnsi="Arial Narrow" w:cs="Arial"/>
                <w:b/>
                <w:color w:val="000000" w:themeColor="text1"/>
                <w:kern w:val="24"/>
                <w:lang w:val="en-NZ"/>
              </w:rPr>
            </w:pPr>
            <w:r w:rsidRPr="000B4210">
              <w:rPr>
                <w:rFonts w:ascii="Arial Narrow" w:hAnsi="Arial Narrow" w:cs="Arial"/>
                <w:b/>
                <w:color w:val="000000" w:themeColor="text1"/>
                <w:kern w:val="24"/>
                <w:lang w:val="en-NZ"/>
              </w:rPr>
              <w:t xml:space="preserve">International commitments, engagements and activities have a positive impact in the realisation of human rights </w:t>
            </w:r>
          </w:p>
        </w:tc>
        <w:tc>
          <w:tcPr>
            <w:tcW w:w="1305" w:type="dxa"/>
          </w:tcPr>
          <w:p w:rsidR="00FB5B01" w:rsidRPr="000B4210" w:rsidRDefault="00B879B2" w:rsidP="00E15D37">
            <w:pPr>
              <w:spacing w:before="120" w:line="240" w:lineRule="auto"/>
              <w:rPr>
                <w:rFonts w:ascii="Arial Narrow" w:hAnsi="Arial Narrow" w:cs="Arial"/>
                <w:iCs/>
                <w:color w:val="000000" w:themeColor="text1"/>
                <w:kern w:val="24"/>
                <w:lang w:val="en-NZ"/>
              </w:rPr>
            </w:pPr>
            <w:r w:rsidRPr="000B4210">
              <w:rPr>
                <w:rFonts w:ascii="Arial Narrow" w:hAnsi="Arial Narrow" w:cs="Arial"/>
                <w:iCs/>
                <w:color w:val="000000" w:themeColor="text1"/>
                <w:kern w:val="24"/>
                <w:lang w:val="en-NZ"/>
              </w:rPr>
              <w:t>Percentage</w:t>
            </w:r>
            <w:r w:rsidR="00FB5B01" w:rsidRPr="000B4210">
              <w:rPr>
                <w:rFonts w:ascii="Arial Narrow" w:hAnsi="Arial Narrow" w:cs="Arial"/>
                <w:iCs/>
                <w:color w:val="000000" w:themeColor="text1"/>
                <w:kern w:val="24"/>
                <w:lang w:val="en-NZ"/>
              </w:rPr>
              <w:t xml:space="preserve"> of international </w:t>
            </w:r>
            <w:r w:rsidR="00B042DF" w:rsidRPr="000B4210">
              <w:rPr>
                <w:rFonts w:ascii="Arial Narrow" w:hAnsi="Arial Narrow" w:cs="Arial"/>
                <w:iCs/>
                <w:color w:val="000000" w:themeColor="text1"/>
                <w:kern w:val="24"/>
                <w:lang w:val="en-NZ"/>
              </w:rPr>
              <w:t xml:space="preserve">interactions </w:t>
            </w:r>
            <w:r w:rsidR="00FB5B01" w:rsidRPr="000B4210">
              <w:rPr>
                <w:rFonts w:ascii="Arial Narrow" w:hAnsi="Arial Narrow" w:cs="Arial"/>
                <w:iCs/>
                <w:color w:val="000000" w:themeColor="text1"/>
                <w:kern w:val="24"/>
                <w:lang w:val="en-NZ"/>
              </w:rPr>
              <w:t>that ha</w:t>
            </w:r>
            <w:r w:rsidRPr="000B4210">
              <w:rPr>
                <w:rFonts w:ascii="Arial Narrow" w:hAnsi="Arial Narrow" w:cs="Arial"/>
                <w:iCs/>
                <w:color w:val="000000" w:themeColor="text1"/>
                <w:kern w:val="24"/>
                <w:lang w:val="en-NZ"/>
              </w:rPr>
              <w:t>ve</w:t>
            </w:r>
            <w:r w:rsidR="00B042DF" w:rsidRPr="000B4210">
              <w:rPr>
                <w:rFonts w:ascii="Arial Narrow" w:hAnsi="Arial Narrow" w:cs="Arial"/>
                <w:iCs/>
                <w:color w:val="000000" w:themeColor="text1"/>
                <w:kern w:val="24"/>
                <w:lang w:val="en-NZ"/>
              </w:rPr>
              <w:t xml:space="preserve"> </w:t>
            </w:r>
            <w:r w:rsidR="00FB5B01" w:rsidRPr="000B4210">
              <w:rPr>
                <w:rFonts w:ascii="Arial Narrow" w:hAnsi="Arial Narrow" w:cs="Arial"/>
                <w:iCs/>
                <w:color w:val="000000" w:themeColor="text1"/>
                <w:kern w:val="24"/>
                <w:lang w:val="en-NZ"/>
              </w:rPr>
              <w:t>a</w:t>
            </w:r>
            <w:r w:rsidR="00B042DF" w:rsidRPr="000B4210">
              <w:rPr>
                <w:rFonts w:ascii="Arial Narrow" w:hAnsi="Arial Narrow" w:cs="Arial"/>
                <w:iCs/>
                <w:color w:val="000000" w:themeColor="text1"/>
                <w:kern w:val="24"/>
                <w:lang w:val="en-NZ"/>
              </w:rPr>
              <w:t xml:space="preserve"> positive</w:t>
            </w:r>
            <w:r w:rsidR="00FB5B01" w:rsidRPr="000B4210">
              <w:rPr>
                <w:rFonts w:ascii="Arial Narrow" w:hAnsi="Arial Narrow" w:cs="Arial"/>
                <w:iCs/>
                <w:color w:val="000000" w:themeColor="text1"/>
                <w:kern w:val="24"/>
                <w:lang w:val="en-NZ"/>
              </w:rPr>
              <w:t xml:space="preserve"> impact</w:t>
            </w:r>
            <w:r w:rsidR="007847B6">
              <w:rPr>
                <w:rStyle w:val="FootnoteReference"/>
                <w:rFonts w:ascii="Arial Narrow" w:hAnsi="Arial Narrow" w:cs="Arial"/>
                <w:iCs/>
                <w:color w:val="000000" w:themeColor="text1"/>
                <w:kern w:val="24"/>
                <w:lang w:val="en-NZ"/>
              </w:rPr>
              <w:footnoteReference w:id="13"/>
            </w:r>
          </w:p>
          <w:p w:rsidR="006A08E2" w:rsidRPr="000B4210" w:rsidRDefault="006A08E2" w:rsidP="00E15D37">
            <w:pPr>
              <w:spacing w:before="120" w:line="240" w:lineRule="auto"/>
              <w:rPr>
                <w:rFonts w:ascii="Arial Narrow" w:hAnsi="Arial Narrow" w:cs="Arial"/>
                <w:iCs/>
                <w:color w:val="000000" w:themeColor="text1"/>
                <w:kern w:val="24"/>
                <w:lang w:val="en-NZ"/>
              </w:rPr>
            </w:pPr>
            <w:r w:rsidRPr="000B4210">
              <w:rPr>
                <w:rFonts w:ascii="Arial Narrow" w:hAnsi="Arial Narrow" w:cs="Arial"/>
                <w:iCs/>
                <w:color w:val="000000" w:themeColor="text1"/>
                <w:kern w:val="24"/>
                <w:lang w:val="en-NZ"/>
              </w:rPr>
              <w:t xml:space="preserve"> </w:t>
            </w:r>
          </w:p>
        </w:tc>
        <w:tc>
          <w:tcPr>
            <w:tcW w:w="1134" w:type="dxa"/>
          </w:tcPr>
          <w:p w:rsidR="006A08E2" w:rsidRPr="000B4210" w:rsidRDefault="00FB5B01"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70%</w:t>
            </w:r>
          </w:p>
        </w:tc>
        <w:tc>
          <w:tcPr>
            <w:tcW w:w="1134" w:type="dxa"/>
          </w:tcPr>
          <w:p w:rsidR="006A08E2" w:rsidRPr="000B4210" w:rsidRDefault="00B042DF"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70%</w:t>
            </w:r>
          </w:p>
        </w:tc>
        <w:tc>
          <w:tcPr>
            <w:tcW w:w="1275" w:type="dxa"/>
          </w:tcPr>
          <w:p w:rsidR="006A08E2" w:rsidRPr="000B4210" w:rsidRDefault="00B042DF" w:rsidP="00567B74">
            <w:pPr>
              <w:pStyle w:val="NormalWeb"/>
              <w:spacing w:before="120" w:beforeAutospacing="0" w:after="240" w:afterAutospacing="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70%</w:t>
            </w:r>
          </w:p>
        </w:tc>
        <w:tc>
          <w:tcPr>
            <w:tcW w:w="1276" w:type="dxa"/>
          </w:tcPr>
          <w:p w:rsidR="006A08E2" w:rsidRPr="000B4210" w:rsidRDefault="00B042DF"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70%</w:t>
            </w:r>
          </w:p>
        </w:tc>
        <w:tc>
          <w:tcPr>
            <w:tcW w:w="1559" w:type="dxa"/>
          </w:tcPr>
          <w:p w:rsidR="006A08E2" w:rsidRPr="000B4210" w:rsidRDefault="00B042DF"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70%</w:t>
            </w:r>
          </w:p>
        </w:tc>
      </w:tr>
    </w:tbl>
    <w:p w:rsidR="007847B6" w:rsidRDefault="007847B6">
      <w:r>
        <w:br w:type="page"/>
      </w:r>
    </w:p>
    <w:tbl>
      <w:tblPr>
        <w:tblStyle w:val="TableGrid"/>
        <w:tblW w:w="9634" w:type="dxa"/>
        <w:tblLayout w:type="fixed"/>
        <w:tblCellMar>
          <w:top w:w="45" w:type="dxa"/>
        </w:tblCellMar>
        <w:tblLook w:val="04A0" w:firstRow="1" w:lastRow="0" w:firstColumn="1" w:lastColumn="0" w:noHBand="0" w:noVBand="1"/>
      </w:tblPr>
      <w:tblGrid>
        <w:gridCol w:w="1951"/>
        <w:gridCol w:w="1305"/>
        <w:gridCol w:w="1134"/>
        <w:gridCol w:w="1134"/>
        <w:gridCol w:w="1275"/>
        <w:gridCol w:w="1276"/>
        <w:gridCol w:w="1559"/>
      </w:tblGrid>
      <w:tr w:rsidR="006A08E2" w:rsidRPr="000B4210" w:rsidTr="00210088">
        <w:tc>
          <w:tcPr>
            <w:tcW w:w="1951" w:type="dxa"/>
          </w:tcPr>
          <w:p w:rsidR="006A08E2" w:rsidRPr="000B4210" w:rsidRDefault="006A08E2" w:rsidP="00DA4D34">
            <w:pPr>
              <w:spacing w:before="120" w:line="240" w:lineRule="auto"/>
              <w:rPr>
                <w:rFonts w:ascii="Arial Narrow" w:hAnsi="Arial Narrow" w:cs="Arial"/>
                <w:b/>
                <w:color w:val="000000" w:themeColor="text1"/>
                <w:kern w:val="24"/>
                <w:lang w:val="en-NZ"/>
              </w:rPr>
            </w:pPr>
            <w:r w:rsidRPr="000B4210">
              <w:rPr>
                <w:rFonts w:ascii="Arial Narrow" w:hAnsi="Arial Narrow" w:cs="Arial"/>
                <w:b/>
                <w:color w:val="000000" w:themeColor="text1"/>
                <w:kern w:val="24"/>
                <w:lang w:val="en-NZ"/>
              </w:rPr>
              <w:lastRenderedPageBreak/>
              <w:t>Independence, credibility and effectiveness in discharging the functions of a NHRI</w:t>
            </w:r>
          </w:p>
        </w:tc>
        <w:tc>
          <w:tcPr>
            <w:tcW w:w="1305" w:type="dxa"/>
          </w:tcPr>
          <w:p w:rsidR="006A08E2" w:rsidRPr="000B4210" w:rsidRDefault="006A08E2" w:rsidP="00DC6597">
            <w:pPr>
              <w:spacing w:before="120" w:line="240" w:lineRule="auto"/>
              <w:rPr>
                <w:rFonts w:ascii="Arial Narrow" w:hAnsi="Arial Narrow" w:cs="Arial"/>
                <w:iCs/>
                <w:color w:val="000000" w:themeColor="text1"/>
                <w:kern w:val="24"/>
                <w:lang w:val="en-NZ"/>
              </w:rPr>
            </w:pPr>
            <w:r w:rsidRPr="000B4210">
              <w:rPr>
                <w:rFonts w:ascii="Arial Narrow" w:hAnsi="Arial Narrow" w:cs="Arial"/>
                <w:iCs/>
                <w:color w:val="000000" w:themeColor="text1"/>
                <w:kern w:val="24"/>
                <w:lang w:val="en-NZ"/>
              </w:rPr>
              <w:t xml:space="preserve">Maintaining International A-Status accreditation as </w:t>
            </w:r>
            <w:r w:rsidR="008672CF">
              <w:rPr>
                <w:rFonts w:ascii="Arial Narrow" w:hAnsi="Arial Narrow" w:cs="Arial"/>
                <w:iCs/>
                <w:color w:val="000000" w:themeColor="text1"/>
                <w:kern w:val="24"/>
                <w:lang w:val="en-NZ"/>
              </w:rPr>
              <w:t>National Human Rights Institution (</w:t>
            </w:r>
            <w:r w:rsidRPr="000B4210">
              <w:rPr>
                <w:rFonts w:ascii="Arial Narrow" w:hAnsi="Arial Narrow" w:cs="Arial"/>
                <w:iCs/>
                <w:color w:val="000000" w:themeColor="text1"/>
                <w:kern w:val="24"/>
                <w:lang w:val="en-NZ"/>
              </w:rPr>
              <w:t>NHRI</w:t>
            </w:r>
            <w:r w:rsidR="008672CF">
              <w:rPr>
                <w:rFonts w:ascii="Arial Narrow" w:hAnsi="Arial Narrow" w:cs="Arial"/>
                <w:iCs/>
                <w:color w:val="000000" w:themeColor="text1"/>
                <w:kern w:val="24"/>
                <w:lang w:val="en-NZ"/>
              </w:rPr>
              <w:t>)</w:t>
            </w:r>
            <w:r w:rsidR="007847B6">
              <w:rPr>
                <w:rStyle w:val="FootnoteReference"/>
                <w:rFonts w:ascii="Arial Narrow" w:hAnsi="Arial Narrow" w:cs="Arial"/>
                <w:iCs/>
                <w:color w:val="000000" w:themeColor="text1"/>
                <w:kern w:val="24"/>
                <w:lang w:val="en-NZ"/>
              </w:rPr>
              <w:footnoteReference w:id="14"/>
            </w:r>
          </w:p>
          <w:p w:rsidR="006A08E2" w:rsidRPr="000B4210" w:rsidRDefault="006A08E2" w:rsidP="00446E12">
            <w:pPr>
              <w:spacing w:before="120" w:line="240" w:lineRule="auto"/>
              <w:rPr>
                <w:rFonts w:ascii="Arial Narrow" w:hAnsi="Arial Narrow" w:cs="Arial"/>
                <w:iCs/>
                <w:color w:val="000000" w:themeColor="text1"/>
                <w:kern w:val="24"/>
                <w:lang w:val="en-NZ"/>
              </w:rPr>
            </w:pPr>
            <w:r w:rsidRPr="000B4210">
              <w:rPr>
                <w:rFonts w:ascii="Arial Narrow" w:hAnsi="Arial Narrow" w:cs="Arial"/>
                <w:iCs/>
                <w:color w:val="000000" w:themeColor="text1"/>
                <w:kern w:val="24"/>
                <w:lang w:val="en-NZ"/>
              </w:rPr>
              <w:t xml:space="preserve">NZs compliance with ratified human rights treaties </w:t>
            </w:r>
            <w:r w:rsidR="00446E12">
              <w:rPr>
                <w:rFonts w:ascii="Arial Narrow" w:hAnsi="Arial Narrow" w:cs="Arial"/>
                <w:iCs/>
                <w:color w:val="000000" w:themeColor="text1"/>
                <w:kern w:val="24"/>
                <w:lang w:val="en-NZ"/>
              </w:rPr>
              <w:t>is</w:t>
            </w:r>
            <w:r w:rsidRPr="000B4210">
              <w:rPr>
                <w:rFonts w:ascii="Arial Narrow" w:hAnsi="Arial Narrow" w:cs="Arial"/>
                <w:iCs/>
                <w:color w:val="000000" w:themeColor="text1"/>
                <w:kern w:val="24"/>
                <w:lang w:val="en-NZ"/>
              </w:rPr>
              <w:t xml:space="preserve"> reported on through timely monitoring reports to UN bodies</w:t>
            </w:r>
          </w:p>
        </w:tc>
        <w:tc>
          <w:tcPr>
            <w:tcW w:w="1134" w:type="dxa"/>
          </w:tcPr>
          <w:p w:rsidR="006A08E2" w:rsidRPr="000B4210" w:rsidRDefault="006A08E2" w:rsidP="00567B74">
            <w:pPr>
              <w:spacing w:before="120" w:line="240" w:lineRule="auto"/>
              <w:rPr>
                <w:rFonts w:ascii="Arial Narrow" w:hAnsi="Arial Narrow" w:cs="Arial"/>
                <w:color w:val="000000" w:themeColor="text1"/>
                <w:kern w:val="24"/>
                <w:lang w:val="en-NZ"/>
              </w:rPr>
            </w:pPr>
          </w:p>
        </w:tc>
        <w:tc>
          <w:tcPr>
            <w:tcW w:w="1134" w:type="dxa"/>
          </w:tcPr>
          <w:p w:rsidR="006A08E2" w:rsidRPr="000B4210" w:rsidRDefault="006A08E2"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Achieved</w:t>
            </w:r>
          </w:p>
          <w:p w:rsidR="006A08E2" w:rsidRPr="000B4210" w:rsidRDefault="006A08E2" w:rsidP="00567B74">
            <w:pPr>
              <w:spacing w:before="120" w:line="240" w:lineRule="auto"/>
              <w:rPr>
                <w:rFonts w:ascii="Arial Narrow" w:hAnsi="Arial Narrow" w:cs="Arial"/>
                <w:color w:val="000000" w:themeColor="text1"/>
                <w:kern w:val="24"/>
                <w:lang w:val="en-NZ"/>
              </w:rPr>
            </w:pPr>
          </w:p>
          <w:p w:rsidR="006A08E2" w:rsidRPr="000B4210" w:rsidRDefault="006A08E2" w:rsidP="00567B74">
            <w:pPr>
              <w:spacing w:before="120" w:line="240" w:lineRule="auto"/>
              <w:rPr>
                <w:rFonts w:ascii="Arial Narrow" w:hAnsi="Arial Narrow" w:cs="Arial"/>
                <w:color w:val="000000" w:themeColor="text1"/>
                <w:kern w:val="24"/>
                <w:lang w:val="en-NZ"/>
              </w:rPr>
            </w:pPr>
          </w:p>
          <w:p w:rsidR="00DC661F" w:rsidRDefault="00DC661F" w:rsidP="00567B74">
            <w:pPr>
              <w:spacing w:before="120" w:line="240" w:lineRule="auto"/>
              <w:rPr>
                <w:rFonts w:ascii="Arial Narrow" w:hAnsi="Arial Narrow" w:cs="Arial"/>
                <w:color w:val="000000" w:themeColor="text1"/>
                <w:kern w:val="24"/>
                <w:lang w:val="en-NZ"/>
              </w:rPr>
            </w:pPr>
          </w:p>
          <w:p w:rsidR="006A08E2" w:rsidRPr="000B4210" w:rsidRDefault="006A08E2" w:rsidP="00F3545B">
            <w:pPr>
              <w:spacing w:before="36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Achieved</w:t>
            </w:r>
          </w:p>
        </w:tc>
        <w:tc>
          <w:tcPr>
            <w:tcW w:w="1275" w:type="dxa"/>
          </w:tcPr>
          <w:p w:rsidR="006A08E2" w:rsidRPr="000B4210" w:rsidRDefault="006A08E2" w:rsidP="00567B74">
            <w:pPr>
              <w:pStyle w:val="NormalWeb"/>
              <w:spacing w:before="120" w:beforeAutospacing="0" w:after="240" w:afterAutospacing="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N/A</w:t>
            </w:r>
          </w:p>
          <w:p w:rsidR="006A08E2" w:rsidRPr="000B4210" w:rsidRDefault="006A08E2" w:rsidP="00567B74">
            <w:pPr>
              <w:pStyle w:val="NormalWeb"/>
              <w:spacing w:before="120" w:beforeAutospacing="0" w:after="240" w:afterAutospacing="0" w:line="240" w:lineRule="auto"/>
              <w:rPr>
                <w:rFonts w:ascii="Arial Narrow" w:hAnsi="Arial Narrow" w:cs="Arial"/>
                <w:color w:val="000000" w:themeColor="text1"/>
                <w:kern w:val="24"/>
                <w:lang w:val="en-NZ"/>
              </w:rPr>
            </w:pPr>
          </w:p>
          <w:p w:rsidR="006A08E2" w:rsidRPr="000B4210" w:rsidRDefault="006A08E2" w:rsidP="00567B74">
            <w:pPr>
              <w:pStyle w:val="NormalWeb"/>
              <w:spacing w:before="120" w:beforeAutospacing="0" w:after="240" w:afterAutospacing="0" w:line="240" w:lineRule="auto"/>
              <w:rPr>
                <w:rFonts w:ascii="Arial Narrow" w:hAnsi="Arial Narrow" w:cs="Arial"/>
                <w:color w:val="000000" w:themeColor="text1"/>
                <w:kern w:val="24"/>
                <w:lang w:val="en-NZ"/>
              </w:rPr>
            </w:pPr>
          </w:p>
          <w:p w:rsidR="00DC661F" w:rsidRDefault="00DC661F" w:rsidP="00567B74">
            <w:pPr>
              <w:pStyle w:val="NormalWeb"/>
              <w:spacing w:before="120" w:beforeAutospacing="0" w:after="240" w:afterAutospacing="0" w:line="240" w:lineRule="auto"/>
              <w:rPr>
                <w:rFonts w:ascii="Arial Narrow" w:hAnsi="Arial Narrow" w:cs="Arial"/>
                <w:color w:val="000000" w:themeColor="text1"/>
                <w:kern w:val="24"/>
                <w:lang w:val="en-NZ"/>
              </w:rPr>
            </w:pPr>
          </w:p>
          <w:p w:rsidR="006A08E2" w:rsidRPr="000B4210" w:rsidRDefault="006A08E2" w:rsidP="00F3545B">
            <w:pPr>
              <w:pStyle w:val="NormalWeb"/>
              <w:spacing w:before="360" w:beforeAutospacing="0" w:after="240" w:afterAutospacing="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Achieved</w:t>
            </w:r>
          </w:p>
        </w:tc>
        <w:tc>
          <w:tcPr>
            <w:tcW w:w="1276" w:type="dxa"/>
          </w:tcPr>
          <w:p w:rsidR="006A08E2" w:rsidRPr="000B4210" w:rsidRDefault="006A08E2"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N/A</w:t>
            </w:r>
          </w:p>
          <w:p w:rsidR="006A08E2" w:rsidRPr="000B4210" w:rsidRDefault="006A08E2" w:rsidP="00567B74">
            <w:pPr>
              <w:spacing w:before="120" w:line="240" w:lineRule="auto"/>
              <w:rPr>
                <w:rFonts w:ascii="Arial Narrow" w:hAnsi="Arial Narrow" w:cs="Arial"/>
                <w:color w:val="000000" w:themeColor="text1"/>
                <w:kern w:val="24"/>
                <w:lang w:val="en-NZ"/>
              </w:rPr>
            </w:pPr>
          </w:p>
          <w:p w:rsidR="006A08E2" w:rsidRPr="000B4210" w:rsidRDefault="006A08E2" w:rsidP="00567B74">
            <w:pPr>
              <w:spacing w:before="120" w:line="240" w:lineRule="auto"/>
              <w:rPr>
                <w:rFonts w:ascii="Arial Narrow" w:hAnsi="Arial Narrow" w:cs="Arial"/>
                <w:color w:val="000000" w:themeColor="text1"/>
                <w:kern w:val="24"/>
                <w:lang w:val="en-NZ"/>
              </w:rPr>
            </w:pPr>
          </w:p>
          <w:p w:rsidR="00DC661F" w:rsidRDefault="00DC661F" w:rsidP="00567B74">
            <w:pPr>
              <w:spacing w:before="120" w:line="240" w:lineRule="auto"/>
              <w:rPr>
                <w:rFonts w:ascii="Arial Narrow" w:hAnsi="Arial Narrow" w:cs="Arial"/>
                <w:color w:val="000000" w:themeColor="text1"/>
                <w:kern w:val="24"/>
                <w:lang w:val="en-NZ"/>
              </w:rPr>
            </w:pPr>
          </w:p>
          <w:p w:rsidR="006A08E2" w:rsidRPr="000B4210" w:rsidRDefault="006A08E2" w:rsidP="00F3545B">
            <w:pPr>
              <w:spacing w:before="36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Achieved</w:t>
            </w:r>
          </w:p>
        </w:tc>
        <w:tc>
          <w:tcPr>
            <w:tcW w:w="1559" w:type="dxa"/>
          </w:tcPr>
          <w:p w:rsidR="006A08E2" w:rsidRPr="000B4210" w:rsidRDefault="006A08E2" w:rsidP="00567B74">
            <w:pPr>
              <w:spacing w:before="12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N/A</w:t>
            </w:r>
          </w:p>
          <w:p w:rsidR="006A08E2" w:rsidRPr="000B4210" w:rsidRDefault="006A08E2" w:rsidP="00567B74">
            <w:pPr>
              <w:spacing w:before="120" w:line="240" w:lineRule="auto"/>
              <w:rPr>
                <w:rFonts w:ascii="Arial Narrow" w:hAnsi="Arial Narrow" w:cs="Arial"/>
                <w:color w:val="000000" w:themeColor="text1"/>
                <w:kern w:val="24"/>
                <w:lang w:val="en-NZ"/>
              </w:rPr>
            </w:pPr>
          </w:p>
          <w:p w:rsidR="006A08E2" w:rsidRPr="000B4210" w:rsidRDefault="006A08E2" w:rsidP="00567B74">
            <w:pPr>
              <w:spacing w:before="120" w:line="240" w:lineRule="auto"/>
              <w:rPr>
                <w:rFonts w:ascii="Arial Narrow" w:hAnsi="Arial Narrow" w:cs="Arial"/>
                <w:color w:val="000000" w:themeColor="text1"/>
                <w:kern w:val="24"/>
                <w:lang w:val="en-NZ"/>
              </w:rPr>
            </w:pPr>
          </w:p>
          <w:p w:rsidR="00DC661F" w:rsidRDefault="00DC661F" w:rsidP="00567B74">
            <w:pPr>
              <w:spacing w:before="120" w:line="240" w:lineRule="auto"/>
              <w:rPr>
                <w:rFonts w:ascii="Arial Narrow" w:hAnsi="Arial Narrow" w:cs="Arial"/>
                <w:color w:val="000000" w:themeColor="text1"/>
                <w:kern w:val="24"/>
                <w:lang w:val="en-NZ"/>
              </w:rPr>
            </w:pPr>
          </w:p>
          <w:p w:rsidR="006A08E2" w:rsidRPr="000B4210" w:rsidRDefault="006A08E2" w:rsidP="00F3545B">
            <w:pPr>
              <w:spacing w:before="360" w:line="240" w:lineRule="auto"/>
              <w:rPr>
                <w:rFonts w:ascii="Arial Narrow" w:hAnsi="Arial Narrow" w:cs="Arial"/>
                <w:color w:val="000000" w:themeColor="text1"/>
                <w:kern w:val="24"/>
                <w:lang w:val="en-NZ"/>
              </w:rPr>
            </w:pPr>
            <w:r w:rsidRPr="000B4210">
              <w:rPr>
                <w:rFonts w:ascii="Arial Narrow" w:hAnsi="Arial Narrow" w:cs="Arial"/>
                <w:color w:val="000000" w:themeColor="text1"/>
                <w:kern w:val="24"/>
                <w:lang w:val="en-NZ"/>
              </w:rPr>
              <w:t>Achieved</w:t>
            </w:r>
          </w:p>
        </w:tc>
      </w:tr>
    </w:tbl>
    <w:p w:rsidR="00D14C36" w:rsidRDefault="00D14C36">
      <w:pPr>
        <w:spacing w:after="200" w:line="276" w:lineRule="auto"/>
        <w:rPr>
          <w:rFonts w:cs="Arial"/>
          <w:b/>
          <w:lang w:val="en-NZ"/>
        </w:rPr>
      </w:pPr>
      <w:r>
        <w:rPr>
          <w:rFonts w:cs="Arial"/>
          <w:b/>
          <w:lang w:val="en-NZ"/>
        </w:rPr>
        <w:br w:type="page"/>
      </w:r>
    </w:p>
    <w:p w:rsidR="001602FB" w:rsidRPr="000B4210" w:rsidRDefault="004C5B67" w:rsidP="00456E7D">
      <w:pPr>
        <w:spacing w:before="240" w:after="120"/>
        <w:jc w:val="both"/>
        <w:rPr>
          <w:rFonts w:cs="Arial"/>
          <w:b/>
          <w:lang w:val="en-NZ"/>
        </w:rPr>
      </w:pPr>
      <w:r w:rsidRPr="000B4210">
        <w:rPr>
          <w:rFonts w:cs="Arial"/>
          <w:b/>
          <w:lang w:val="en-NZ"/>
        </w:rPr>
        <w:lastRenderedPageBreak/>
        <w:t xml:space="preserve">Output 5: </w:t>
      </w:r>
      <w:r w:rsidR="00FF3128" w:rsidRPr="000B4210">
        <w:rPr>
          <w:rFonts w:cs="Arial"/>
          <w:b/>
          <w:lang w:val="en-NZ"/>
        </w:rPr>
        <w:t>Human rights enquiries and complaints received are advanced and concluded within agreed timeframes and standards</w:t>
      </w:r>
    </w:p>
    <w:tbl>
      <w:tblPr>
        <w:tblStyle w:val="TableGrid"/>
        <w:tblW w:w="9634" w:type="dxa"/>
        <w:tblLayout w:type="fixed"/>
        <w:tblCellMar>
          <w:top w:w="45" w:type="dxa"/>
        </w:tblCellMar>
        <w:tblLook w:val="04A0" w:firstRow="1" w:lastRow="0" w:firstColumn="1" w:lastColumn="0" w:noHBand="0" w:noVBand="1"/>
      </w:tblPr>
      <w:tblGrid>
        <w:gridCol w:w="1951"/>
        <w:gridCol w:w="1276"/>
        <w:gridCol w:w="1304"/>
        <w:gridCol w:w="1304"/>
        <w:gridCol w:w="1418"/>
        <w:gridCol w:w="1134"/>
        <w:gridCol w:w="1247"/>
      </w:tblGrid>
      <w:tr w:rsidR="006A08E2" w:rsidRPr="000B4210" w:rsidTr="006A08E2">
        <w:trPr>
          <w:trHeight w:val="454"/>
          <w:tblHeader/>
        </w:trPr>
        <w:tc>
          <w:tcPr>
            <w:tcW w:w="1951"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Objective</w:t>
            </w:r>
          </w:p>
        </w:tc>
        <w:tc>
          <w:tcPr>
            <w:tcW w:w="1276"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Measure</w:t>
            </w:r>
          </w:p>
        </w:tc>
        <w:tc>
          <w:tcPr>
            <w:tcW w:w="1304"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Baseline</w:t>
            </w:r>
          </w:p>
        </w:tc>
        <w:tc>
          <w:tcPr>
            <w:tcW w:w="1304"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2016/17</w:t>
            </w:r>
          </w:p>
        </w:tc>
        <w:tc>
          <w:tcPr>
            <w:tcW w:w="1418"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2017/18</w:t>
            </w:r>
          </w:p>
        </w:tc>
        <w:tc>
          <w:tcPr>
            <w:tcW w:w="1134"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2018/19</w:t>
            </w:r>
          </w:p>
        </w:tc>
        <w:tc>
          <w:tcPr>
            <w:tcW w:w="1247"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2019/20</w:t>
            </w:r>
          </w:p>
        </w:tc>
      </w:tr>
      <w:tr w:rsidR="006A08E2" w:rsidRPr="000B4210" w:rsidTr="006A08E2">
        <w:trPr>
          <w:trHeight w:val="2520"/>
        </w:trPr>
        <w:tc>
          <w:tcPr>
            <w:tcW w:w="1951" w:type="dxa"/>
          </w:tcPr>
          <w:p w:rsidR="006A08E2" w:rsidRPr="000B4210" w:rsidRDefault="006A08E2" w:rsidP="00E27844">
            <w:pPr>
              <w:spacing w:before="120" w:line="240" w:lineRule="auto"/>
              <w:rPr>
                <w:rFonts w:ascii="Arial Narrow" w:hAnsi="Arial Narrow" w:cs="Arial"/>
                <w:b/>
                <w:kern w:val="24"/>
                <w:lang w:val="en-NZ"/>
              </w:rPr>
            </w:pPr>
            <w:r w:rsidRPr="000B4210">
              <w:rPr>
                <w:rFonts w:ascii="Arial Narrow" w:hAnsi="Arial Narrow" w:cs="Arial"/>
                <w:b/>
                <w:kern w:val="24"/>
                <w:lang w:val="en-NZ"/>
              </w:rPr>
              <w:t>Human rights enquiries and complaints are provided with a responsive and effective dispute resolution service</w:t>
            </w:r>
          </w:p>
          <w:p w:rsidR="006A08E2" w:rsidRPr="000B4210" w:rsidRDefault="006A08E2" w:rsidP="00FF3128">
            <w:pPr>
              <w:spacing w:before="120" w:line="240" w:lineRule="auto"/>
              <w:rPr>
                <w:rFonts w:ascii="Arial Narrow" w:hAnsi="Arial Narrow" w:cs="Arial"/>
                <w:kern w:val="24"/>
                <w:lang w:val="en-NZ"/>
              </w:rPr>
            </w:pPr>
          </w:p>
        </w:tc>
        <w:tc>
          <w:tcPr>
            <w:tcW w:w="1276" w:type="dxa"/>
          </w:tcPr>
          <w:p w:rsidR="006A08E2" w:rsidRPr="000B4210" w:rsidRDefault="006A08E2" w:rsidP="00E27844">
            <w:pPr>
              <w:spacing w:before="120" w:line="240" w:lineRule="auto"/>
              <w:rPr>
                <w:rFonts w:ascii="Arial Narrow" w:hAnsi="Arial Narrow" w:cs="Arial"/>
                <w:kern w:val="24"/>
                <w:lang w:val="en-NZ"/>
              </w:rPr>
            </w:pPr>
            <w:r w:rsidRPr="000B4210">
              <w:rPr>
                <w:rFonts w:ascii="Arial Narrow" w:hAnsi="Arial Narrow" w:cs="Arial"/>
                <w:kern w:val="24"/>
                <w:lang w:val="en-NZ"/>
              </w:rPr>
              <w:t>Percentage of customers satisfied with the mediation process</w:t>
            </w:r>
          </w:p>
          <w:p w:rsidR="006A08E2" w:rsidRPr="000B4210" w:rsidRDefault="006A08E2" w:rsidP="00E27844">
            <w:pPr>
              <w:spacing w:before="120" w:line="240" w:lineRule="auto"/>
              <w:rPr>
                <w:rFonts w:ascii="Arial Narrow" w:hAnsi="Arial Narrow" w:cs="Arial"/>
                <w:kern w:val="24"/>
                <w:lang w:val="en-NZ"/>
              </w:rPr>
            </w:pPr>
            <w:r w:rsidRPr="000B4210">
              <w:rPr>
                <w:rFonts w:ascii="Arial Narrow" w:hAnsi="Arial Narrow" w:cs="Arial"/>
                <w:kern w:val="24"/>
                <w:lang w:val="en-NZ"/>
              </w:rPr>
              <w:t>Percentage of complaints of unlawful discrimination that are closed within one year</w:t>
            </w:r>
          </w:p>
        </w:tc>
        <w:tc>
          <w:tcPr>
            <w:tcW w:w="1304" w:type="dxa"/>
          </w:tcPr>
          <w:p w:rsidR="006A08E2" w:rsidRPr="000B4210" w:rsidRDefault="00FB5B01" w:rsidP="00FF3128">
            <w:pPr>
              <w:spacing w:before="120" w:line="240" w:lineRule="auto"/>
              <w:rPr>
                <w:rFonts w:ascii="Arial Narrow" w:hAnsi="Arial Narrow" w:cs="Arial"/>
                <w:kern w:val="24"/>
                <w:lang w:val="en-NZ"/>
              </w:rPr>
            </w:pPr>
            <w:r w:rsidRPr="000B4210">
              <w:rPr>
                <w:rFonts w:ascii="Arial Narrow" w:hAnsi="Arial Narrow" w:cs="Arial"/>
                <w:kern w:val="24"/>
                <w:lang w:val="en-NZ"/>
              </w:rPr>
              <w:t>90%</w:t>
            </w:r>
          </w:p>
          <w:p w:rsidR="00FB5B01" w:rsidRPr="000B4210" w:rsidRDefault="00FB5B01" w:rsidP="00FF3128">
            <w:pPr>
              <w:spacing w:before="120" w:line="240" w:lineRule="auto"/>
              <w:rPr>
                <w:rFonts w:ascii="Arial Narrow" w:hAnsi="Arial Narrow" w:cs="Arial"/>
                <w:kern w:val="24"/>
                <w:lang w:val="en-NZ"/>
              </w:rPr>
            </w:pPr>
          </w:p>
          <w:p w:rsidR="00FB5B01" w:rsidRPr="000B4210" w:rsidRDefault="00FB5B01" w:rsidP="00FF3128">
            <w:pPr>
              <w:spacing w:before="120" w:line="240" w:lineRule="auto"/>
              <w:rPr>
                <w:rFonts w:ascii="Arial Narrow" w:hAnsi="Arial Narrow" w:cs="Arial"/>
                <w:kern w:val="24"/>
                <w:lang w:val="en-NZ"/>
              </w:rPr>
            </w:pPr>
          </w:p>
          <w:p w:rsidR="00FB5B01" w:rsidRPr="000B4210" w:rsidRDefault="00FB5B01" w:rsidP="00FF3128">
            <w:pPr>
              <w:spacing w:before="120" w:line="240" w:lineRule="auto"/>
              <w:rPr>
                <w:rFonts w:ascii="Arial Narrow" w:hAnsi="Arial Narrow" w:cs="Arial"/>
                <w:kern w:val="24"/>
                <w:lang w:val="en-NZ"/>
              </w:rPr>
            </w:pPr>
            <w:r w:rsidRPr="000B4210">
              <w:rPr>
                <w:rFonts w:ascii="Arial Narrow" w:hAnsi="Arial Narrow" w:cs="Arial"/>
                <w:kern w:val="24"/>
                <w:lang w:val="en-NZ"/>
              </w:rPr>
              <w:t>80%</w:t>
            </w:r>
          </w:p>
          <w:p w:rsidR="00FB5B01" w:rsidRPr="000B4210" w:rsidRDefault="00FB5B01" w:rsidP="00FF3128">
            <w:pPr>
              <w:spacing w:before="120" w:line="240" w:lineRule="auto"/>
              <w:rPr>
                <w:rFonts w:ascii="Arial Narrow" w:hAnsi="Arial Narrow" w:cs="Arial"/>
                <w:kern w:val="24"/>
                <w:lang w:val="en-NZ"/>
              </w:rPr>
            </w:pPr>
          </w:p>
        </w:tc>
        <w:tc>
          <w:tcPr>
            <w:tcW w:w="1304" w:type="dxa"/>
          </w:tcPr>
          <w:p w:rsidR="006A08E2" w:rsidRPr="000B4210" w:rsidRDefault="006A08E2" w:rsidP="00FF3128">
            <w:pPr>
              <w:spacing w:before="120" w:line="240" w:lineRule="auto"/>
              <w:rPr>
                <w:rFonts w:ascii="Arial Narrow" w:hAnsi="Arial Narrow" w:cs="Arial"/>
                <w:kern w:val="24"/>
                <w:lang w:val="en-NZ"/>
              </w:rPr>
            </w:pPr>
            <w:r w:rsidRPr="000B4210">
              <w:rPr>
                <w:rFonts w:ascii="Arial Narrow" w:hAnsi="Arial Narrow" w:cs="Arial"/>
                <w:kern w:val="24"/>
                <w:lang w:val="en-NZ"/>
              </w:rPr>
              <w:t>90%</w:t>
            </w:r>
          </w:p>
          <w:p w:rsidR="006A08E2" w:rsidRPr="000B4210" w:rsidRDefault="006A08E2" w:rsidP="00FF3128">
            <w:pPr>
              <w:spacing w:before="120" w:line="240" w:lineRule="auto"/>
              <w:rPr>
                <w:rFonts w:ascii="Arial Narrow" w:hAnsi="Arial Narrow" w:cs="Arial"/>
                <w:kern w:val="24"/>
                <w:lang w:val="en-NZ"/>
              </w:rPr>
            </w:pPr>
          </w:p>
          <w:p w:rsidR="006A08E2" w:rsidRPr="000B4210" w:rsidRDefault="006A08E2" w:rsidP="00FF3128">
            <w:pPr>
              <w:spacing w:before="120" w:line="240" w:lineRule="auto"/>
              <w:rPr>
                <w:rFonts w:ascii="Arial Narrow" w:hAnsi="Arial Narrow" w:cs="Arial"/>
                <w:kern w:val="24"/>
                <w:lang w:val="en-NZ"/>
              </w:rPr>
            </w:pPr>
          </w:p>
          <w:p w:rsidR="006A08E2" w:rsidRPr="000B4210" w:rsidRDefault="006A08E2" w:rsidP="00FF3128">
            <w:pPr>
              <w:spacing w:before="120" w:line="240" w:lineRule="auto"/>
              <w:rPr>
                <w:rFonts w:ascii="Arial Narrow" w:hAnsi="Arial Narrow" w:cs="Arial"/>
                <w:kern w:val="24"/>
                <w:lang w:val="en-NZ"/>
              </w:rPr>
            </w:pPr>
            <w:r w:rsidRPr="000B4210">
              <w:rPr>
                <w:rFonts w:ascii="Arial Narrow" w:hAnsi="Arial Narrow" w:cs="Arial"/>
                <w:kern w:val="24"/>
                <w:lang w:val="en-NZ"/>
              </w:rPr>
              <w:t>80%</w:t>
            </w:r>
          </w:p>
        </w:tc>
        <w:tc>
          <w:tcPr>
            <w:tcW w:w="1418" w:type="dxa"/>
          </w:tcPr>
          <w:p w:rsidR="006A08E2" w:rsidRPr="000B4210" w:rsidRDefault="006A08E2" w:rsidP="00FF3128">
            <w:pPr>
              <w:spacing w:before="120" w:line="240" w:lineRule="auto"/>
              <w:rPr>
                <w:rFonts w:ascii="Arial Narrow" w:hAnsi="Arial Narrow" w:cs="Arial"/>
                <w:kern w:val="24"/>
                <w:lang w:val="en-NZ"/>
              </w:rPr>
            </w:pPr>
            <w:r w:rsidRPr="000B4210">
              <w:rPr>
                <w:rFonts w:ascii="Arial Narrow" w:hAnsi="Arial Narrow" w:cs="Arial"/>
                <w:kern w:val="24"/>
                <w:lang w:val="en-NZ"/>
              </w:rPr>
              <w:t>90%</w:t>
            </w:r>
          </w:p>
          <w:p w:rsidR="006A08E2" w:rsidRPr="000B4210" w:rsidRDefault="006A08E2" w:rsidP="00FF3128">
            <w:pPr>
              <w:spacing w:before="120" w:line="240" w:lineRule="auto"/>
              <w:rPr>
                <w:rFonts w:ascii="Arial Narrow" w:hAnsi="Arial Narrow" w:cs="Arial"/>
                <w:kern w:val="24"/>
                <w:lang w:val="en-NZ"/>
              </w:rPr>
            </w:pPr>
          </w:p>
          <w:p w:rsidR="006A08E2" w:rsidRPr="000B4210" w:rsidRDefault="006A08E2" w:rsidP="00FF3128">
            <w:pPr>
              <w:spacing w:before="120" w:line="240" w:lineRule="auto"/>
              <w:rPr>
                <w:rFonts w:ascii="Arial Narrow" w:hAnsi="Arial Narrow" w:cs="Arial"/>
                <w:kern w:val="24"/>
                <w:lang w:val="en-NZ"/>
              </w:rPr>
            </w:pPr>
          </w:p>
          <w:p w:rsidR="006A08E2" w:rsidRPr="000B4210" w:rsidRDefault="006A08E2" w:rsidP="00FF3128">
            <w:pPr>
              <w:spacing w:before="120" w:line="240" w:lineRule="auto"/>
              <w:rPr>
                <w:rFonts w:ascii="Arial Narrow" w:hAnsi="Arial Narrow" w:cs="Arial"/>
                <w:kern w:val="24"/>
                <w:lang w:val="en-NZ"/>
              </w:rPr>
            </w:pPr>
            <w:r w:rsidRPr="000B4210">
              <w:rPr>
                <w:rFonts w:ascii="Arial Narrow" w:hAnsi="Arial Narrow" w:cs="Arial"/>
                <w:kern w:val="24"/>
                <w:lang w:val="en-NZ"/>
              </w:rPr>
              <w:t>80%</w:t>
            </w:r>
          </w:p>
        </w:tc>
        <w:tc>
          <w:tcPr>
            <w:tcW w:w="1134" w:type="dxa"/>
          </w:tcPr>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r w:rsidRPr="000B4210">
              <w:rPr>
                <w:rFonts w:ascii="Arial Narrow" w:hAnsi="Arial Narrow" w:cs="Arial"/>
                <w:kern w:val="24"/>
                <w:lang w:val="en-NZ"/>
              </w:rPr>
              <w:t>90%</w:t>
            </w:r>
          </w:p>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p>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p>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p>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r w:rsidRPr="000B4210">
              <w:rPr>
                <w:rFonts w:ascii="Arial Narrow" w:hAnsi="Arial Narrow" w:cs="Arial"/>
                <w:kern w:val="24"/>
                <w:lang w:val="en-NZ"/>
              </w:rPr>
              <w:t>80%</w:t>
            </w:r>
          </w:p>
        </w:tc>
        <w:tc>
          <w:tcPr>
            <w:tcW w:w="1247" w:type="dxa"/>
          </w:tcPr>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r w:rsidRPr="000B4210">
              <w:rPr>
                <w:rFonts w:ascii="Arial Narrow" w:hAnsi="Arial Narrow" w:cs="Arial"/>
                <w:kern w:val="24"/>
                <w:lang w:val="en-NZ"/>
              </w:rPr>
              <w:t>90%</w:t>
            </w:r>
          </w:p>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p>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p>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p>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r w:rsidRPr="000B4210">
              <w:rPr>
                <w:rFonts w:ascii="Arial Narrow" w:hAnsi="Arial Narrow" w:cs="Arial"/>
                <w:kern w:val="24"/>
                <w:lang w:val="en-NZ"/>
              </w:rPr>
              <w:t>80%</w:t>
            </w:r>
          </w:p>
        </w:tc>
      </w:tr>
    </w:tbl>
    <w:p w:rsidR="00E27844" w:rsidRPr="000B4210" w:rsidRDefault="00E27844" w:rsidP="001602FB">
      <w:pPr>
        <w:spacing w:after="200" w:line="276" w:lineRule="auto"/>
        <w:rPr>
          <w:rFonts w:cs="Arial"/>
          <w:b/>
          <w:lang w:val="en-NZ"/>
        </w:rPr>
      </w:pPr>
    </w:p>
    <w:p w:rsidR="00E27844" w:rsidRPr="000B4210" w:rsidRDefault="00E27844" w:rsidP="001602FB">
      <w:pPr>
        <w:spacing w:after="200" w:line="276" w:lineRule="auto"/>
        <w:rPr>
          <w:rFonts w:cs="Arial"/>
          <w:b/>
          <w:lang w:val="en-NZ"/>
        </w:rPr>
      </w:pPr>
    </w:p>
    <w:p w:rsidR="00E27844" w:rsidRPr="000B4210" w:rsidRDefault="004C5B67" w:rsidP="00456E7D">
      <w:pPr>
        <w:jc w:val="both"/>
        <w:rPr>
          <w:rFonts w:cs="Arial"/>
          <w:b/>
          <w:lang w:val="en-NZ"/>
        </w:rPr>
      </w:pPr>
      <w:r w:rsidRPr="000B4210">
        <w:rPr>
          <w:rFonts w:cs="Arial"/>
          <w:b/>
          <w:lang w:val="en-NZ"/>
        </w:rPr>
        <w:t xml:space="preserve">Output 6: </w:t>
      </w:r>
      <w:r w:rsidR="00FF3128" w:rsidRPr="000B4210">
        <w:rPr>
          <w:rFonts w:cs="Arial"/>
          <w:b/>
          <w:lang w:val="en-NZ"/>
        </w:rPr>
        <w:t xml:space="preserve">Applications for legal representation under the Human Rights Act 1993 and referrals received under the Privacy Act 1993, and associated litigation are progressed within the agreed timeframes and in accordance with </w:t>
      </w:r>
      <w:r w:rsidR="00DC661F">
        <w:rPr>
          <w:rFonts w:cs="Arial"/>
          <w:b/>
          <w:lang w:val="en-NZ"/>
        </w:rPr>
        <w:t xml:space="preserve">expected </w:t>
      </w:r>
      <w:r w:rsidR="00FF3128" w:rsidRPr="000B4210">
        <w:rPr>
          <w:rFonts w:cs="Arial"/>
          <w:b/>
          <w:lang w:val="en-NZ"/>
        </w:rPr>
        <w:t xml:space="preserve">professional </w:t>
      </w:r>
      <w:r w:rsidR="00456419">
        <w:rPr>
          <w:rFonts w:cs="Arial"/>
          <w:b/>
          <w:lang w:val="en-NZ"/>
        </w:rPr>
        <w:t xml:space="preserve">legal </w:t>
      </w:r>
      <w:r w:rsidR="00FF3128" w:rsidRPr="000B4210">
        <w:rPr>
          <w:rFonts w:cs="Arial"/>
          <w:b/>
          <w:lang w:val="en-NZ"/>
        </w:rPr>
        <w:t>standards</w:t>
      </w:r>
    </w:p>
    <w:tbl>
      <w:tblPr>
        <w:tblStyle w:val="TableGrid"/>
        <w:tblW w:w="9493" w:type="dxa"/>
        <w:tblLayout w:type="fixed"/>
        <w:tblCellMar>
          <w:top w:w="45" w:type="dxa"/>
        </w:tblCellMar>
        <w:tblLook w:val="04A0" w:firstRow="1" w:lastRow="0" w:firstColumn="1" w:lastColumn="0" w:noHBand="0" w:noVBand="1"/>
      </w:tblPr>
      <w:tblGrid>
        <w:gridCol w:w="1951"/>
        <w:gridCol w:w="1276"/>
        <w:gridCol w:w="1304"/>
        <w:gridCol w:w="1276"/>
        <w:gridCol w:w="1418"/>
        <w:gridCol w:w="1134"/>
        <w:gridCol w:w="1134"/>
      </w:tblGrid>
      <w:tr w:rsidR="006A08E2" w:rsidRPr="000B4210" w:rsidTr="008A4A6D">
        <w:trPr>
          <w:trHeight w:val="454"/>
          <w:tblHeader/>
        </w:trPr>
        <w:tc>
          <w:tcPr>
            <w:tcW w:w="1951"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Objective</w:t>
            </w:r>
          </w:p>
        </w:tc>
        <w:tc>
          <w:tcPr>
            <w:tcW w:w="1276"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Measure</w:t>
            </w:r>
          </w:p>
        </w:tc>
        <w:tc>
          <w:tcPr>
            <w:tcW w:w="1304"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Baseline</w:t>
            </w:r>
          </w:p>
        </w:tc>
        <w:tc>
          <w:tcPr>
            <w:tcW w:w="1276"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2016/17</w:t>
            </w:r>
          </w:p>
        </w:tc>
        <w:tc>
          <w:tcPr>
            <w:tcW w:w="1418"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2017/18</w:t>
            </w:r>
          </w:p>
        </w:tc>
        <w:tc>
          <w:tcPr>
            <w:tcW w:w="1134"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2018/19</w:t>
            </w:r>
          </w:p>
        </w:tc>
        <w:tc>
          <w:tcPr>
            <w:tcW w:w="1134" w:type="dxa"/>
            <w:shd w:val="clear" w:color="auto" w:fill="DDD9C3" w:themeFill="background2" w:themeFillShade="E6"/>
          </w:tcPr>
          <w:p w:rsidR="006A08E2" w:rsidRPr="000B4210" w:rsidRDefault="006A08E2" w:rsidP="00003B2D">
            <w:pPr>
              <w:spacing w:before="120" w:after="120" w:line="240" w:lineRule="auto"/>
              <w:jc w:val="center"/>
              <w:rPr>
                <w:rFonts w:ascii="Arial Narrow" w:hAnsi="Arial Narrow" w:cs="Arial"/>
                <w:b/>
                <w:lang w:val="en-NZ"/>
              </w:rPr>
            </w:pPr>
            <w:r w:rsidRPr="000B4210">
              <w:rPr>
                <w:rFonts w:ascii="Arial Narrow" w:hAnsi="Arial Narrow" w:cs="Arial"/>
                <w:b/>
                <w:lang w:val="en-NZ"/>
              </w:rPr>
              <w:t>2019/20</w:t>
            </w:r>
          </w:p>
        </w:tc>
      </w:tr>
      <w:tr w:rsidR="006A08E2" w:rsidRPr="000B4210" w:rsidTr="008A4A6D">
        <w:trPr>
          <w:trHeight w:val="1325"/>
        </w:trPr>
        <w:tc>
          <w:tcPr>
            <w:tcW w:w="1951" w:type="dxa"/>
          </w:tcPr>
          <w:p w:rsidR="006A08E2" w:rsidRPr="000B4210" w:rsidRDefault="006A08E2" w:rsidP="00FF3128">
            <w:pPr>
              <w:spacing w:before="120" w:line="240" w:lineRule="auto"/>
              <w:rPr>
                <w:rFonts w:ascii="Arial Narrow" w:hAnsi="Arial Narrow" w:cs="Arial"/>
                <w:b/>
                <w:kern w:val="24"/>
                <w:lang w:val="en-NZ"/>
              </w:rPr>
            </w:pPr>
            <w:r w:rsidRPr="000B4210">
              <w:rPr>
                <w:rFonts w:ascii="Arial Narrow" w:hAnsi="Arial Narrow" w:cs="Arial"/>
                <w:b/>
                <w:kern w:val="24"/>
                <w:lang w:val="en-NZ"/>
              </w:rPr>
              <w:t>Responsive and timely decision making</w:t>
            </w:r>
          </w:p>
        </w:tc>
        <w:tc>
          <w:tcPr>
            <w:tcW w:w="1276" w:type="dxa"/>
          </w:tcPr>
          <w:p w:rsidR="006A08E2" w:rsidRPr="000B4210" w:rsidRDefault="006A08E2" w:rsidP="00FF3128">
            <w:pPr>
              <w:spacing w:before="120" w:line="240" w:lineRule="auto"/>
              <w:rPr>
                <w:rFonts w:ascii="Arial Narrow" w:hAnsi="Arial Narrow" w:cs="Arial"/>
                <w:kern w:val="24"/>
                <w:lang w:val="en-NZ"/>
              </w:rPr>
            </w:pPr>
            <w:r w:rsidRPr="000B4210">
              <w:rPr>
                <w:rFonts w:ascii="Arial Narrow" w:hAnsi="Arial Narrow" w:cs="Arial"/>
                <w:kern w:val="24"/>
                <w:lang w:val="en-NZ"/>
              </w:rPr>
              <w:t>Percentage of applications decided within 4 months</w:t>
            </w:r>
          </w:p>
        </w:tc>
        <w:tc>
          <w:tcPr>
            <w:tcW w:w="1304" w:type="dxa"/>
          </w:tcPr>
          <w:p w:rsidR="006A08E2" w:rsidRPr="000B4210" w:rsidRDefault="00FB5B01" w:rsidP="00FF3128">
            <w:pPr>
              <w:spacing w:before="120" w:line="240" w:lineRule="auto"/>
              <w:rPr>
                <w:rFonts w:ascii="Arial Narrow" w:hAnsi="Arial Narrow" w:cs="Arial"/>
                <w:kern w:val="24"/>
                <w:lang w:val="en-NZ"/>
              </w:rPr>
            </w:pPr>
            <w:r w:rsidRPr="000B4210">
              <w:rPr>
                <w:rFonts w:ascii="Arial Narrow" w:hAnsi="Arial Narrow" w:cs="Arial"/>
                <w:kern w:val="24"/>
                <w:lang w:val="en-NZ"/>
              </w:rPr>
              <w:t>80%</w:t>
            </w:r>
          </w:p>
        </w:tc>
        <w:tc>
          <w:tcPr>
            <w:tcW w:w="1276" w:type="dxa"/>
          </w:tcPr>
          <w:p w:rsidR="006A08E2" w:rsidRPr="000B4210" w:rsidRDefault="006A08E2" w:rsidP="00FF3128">
            <w:pPr>
              <w:spacing w:before="120" w:line="240" w:lineRule="auto"/>
              <w:rPr>
                <w:rFonts w:ascii="Arial Narrow" w:hAnsi="Arial Narrow" w:cs="Arial"/>
                <w:kern w:val="24"/>
                <w:lang w:val="en-NZ"/>
              </w:rPr>
            </w:pPr>
            <w:r w:rsidRPr="000B4210">
              <w:rPr>
                <w:rFonts w:ascii="Arial Narrow" w:hAnsi="Arial Narrow" w:cs="Arial"/>
                <w:kern w:val="24"/>
                <w:lang w:val="en-NZ"/>
              </w:rPr>
              <w:t>80%</w:t>
            </w:r>
          </w:p>
        </w:tc>
        <w:tc>
          <w:tcPr>
            <w:tcW w:w="1418" w:type="dxa"/>
          </w:tcPr>
          <w:p w:rsidR="006A08E2" w:rsidRPr="000B4210" w:rsidRDefault="006A08E2" w:rsidP="00FF3128">
            <w:pPr>
              <w:spacing w:before="120" w:line="240" w:lineRule="auto"/>
              <w:rPr>
                <w:rFonts w:ascii="Arial Narrow" w:hAnsi="Arial Narrow" w:cs="Arial"/>
                <w:kern w:val="24"/>
                <w:lang w:val="en-NZ"/>
              </w:rPr>
            </w:pPr>
            <w:r w:rsidRPr="000B4210">
              <w:rPr>
                <w:rFonts w:ascii="Arial Narrow" w:hAnsi="Arial Narrow" w:cs="Arial"/>
                <w:kern w:val="24"/>
                <w:lang w:val="en-NZ"/>
              </w:rPr>
              <w:t>80%</w:t>
            </w:r>
          </w:p>
        </w:tc>
        <w:tc>
          <w:tcPr>
            <w:tcW w:w="1134" w:type="dxa"/>
          </w:tcPr>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r w:rsidRPr="000B4210">
              <w:rPr>
                <w:rFonts w:ascii="Arial Narrow" w:hAnsi="Arial Narrow" w:cs="Arial"/>
                <w:kern w:val="24"/>
                <w:lang w:val="en-NZ"/>
              </w:rPr>
              <w:t>80%</w:t>
            </w:r>
          </w:p>
        </w:tc>
        <w:tc>
          <w:tcPr>
            <w:tcW w:w="1134" w:type="dxa"/>
          </w:tcPr>
          <w:p w:rsidR="006A08E2" w:rsidRPr="000B4210" w:rsidRDefault="006A08E2" w:rsidP="00FF3128">
            <w:pPr>
              <w:pStyle w:val="NormalWeb"/>
              <w:spacing w:before="120" w:beforeAutospacing="0" w:after="0" w:afterAutospacing="0" w:line="240" w:lineRule="auto"/>
              <w:rPr>
                <w:rFonts w:ascii="Arial Narrow" w:hAnsi="Arial Narrow" w:cs="Arial"/>
                <w:kern w:val="24"/>
                <w:lang w:val="en-NZ"/>
              </w:rPr>
            </w:pPr>
            <w:r w:rsidRPr="000B4210">
              <w:rPr>
                <w:rFonts w:ascii="Arial Narrow" w:hAnsi="Arial Narrow" w:cs="Arial"/>
                <w:kern w:val="24"/>
                <w:lang w:val="en-NZ"/>
              </w:rPr>
              <w:t>80%</w:t>
            </w:r>
          </w:p>
        </w:tc>
      </w:tr>
    </w:tbl>
    <w:p w:rsidR="00346271" w:rsidRPr="000B4210" w:rsidRDefault="001602FB" w:rsidP="00346271">
      <w:pPr>
        <w:spacing w:before="240" w:after="120"/>
        <w:rPr>
          <w:b/>
        </w:rPr>
      </w:pPr>
      <w:r w:rsidRPr="000B4210">
        <w:rPr>
          <w:rFonts w:cs="Arial"/>
          <w:b/>
          <w:lang w:val="en-NZ"/>
        </w:rPr>
        <w:br w:type="page"/>
      </w:r>
      <w:r w:rsidR="00346271" w:rsidRPr="000B4210">
        <w:rPr>
          <w:b/>
        </w:rPr>
        <w:lastRenderedPageBreak/>
        <w:t>Forecast Financial Statements 201</w:t>
      </w:r>
      <w:r w:rsidR="00A656D9">
        <w:rPr>
          <w:b/>
        </w:rPr>
        <w:t>6</w:t>
      </w:r>
      <w:r w:rsidR="00346271" w:rsidRPr="000B4210">
        <w:rPr>
          <w:b/>
        </w:rPr>
        <w:t>/1</w:t>
      </w:r>
      <w:r w:rsidR="00A656D9">
        <w:rPr>
          <w:b/>
        </w:rPr>
        <w:t>7</w:t>
      </w:r>
      <w:r w:rsidR="00346271" w:rsidRPr="000B4210">
        <w:rPr>
          <w:b/>
        </w:rPr>
        <w:t>-2019/20</w:t>
      </w:r>
    </w:p>
    <w:p w:rsidR="00346271" w:rsidRPr="000B4210" w:rsidRDefault="00346271" w:rsidP="00346271">
      <w:pPr>
        <w:pStyle w:val="Heading3"/>
        <w:rPr>
          <w:rFonts w:cs="Arial"/>
          <w:b w:val="0"/>
          <w:sz w:val="28"/>
          <w:szCs w:val="28"/>
        </w:rPr>
      </w:pPr>
      <w:bookmarkStart w:id="8" w:name="_Toc390680427"/>
      <w:r w:rsidRPr="000B4210">
        <w:rPr>
          <w:rFonts w:cs="Arial"/>
          <w:b w:val="0"/>
          <w:sz w:val="28"/>
          <w:szCs w:val="28"/>
        </w:rPr>
        <w:t>Forecast Statement of Comprehensive Revenue and Expense</w:t>
      </w:r>
      <w:bookmarkEnd w:id="8"/>
    </w:p>
    <w:tbl>
      <w:tblPr>
        <w:tblW w:w="9781" w:type="dxa"/>
        <w:tblInd w:w="108" w:type="dxa"/>
        <w:tblLayout w:type="fixed"/>
        <w:tblLook w:val="04A0" w:firstRow="1" w:lastRow="0" w:firstColumn="1" w:lastColumn="0" w:noHBand="0" w:noVBand="1"/>
      </w:tblPr>
      <w:tblGrid>
        <w:gridCol w:w="3716"/>
        <w:gridCol w:w="1213"/>
        <w:gridCol w:w="1213"/>
        <w:gridCol w:w="1213"/>
        <w:gridCol w:w="1213"/>
        <w:gridCol w:w="1213"/>
      </w:tblGrid>
      <w:tr w:rsidR="00346271" w:rsidRPr="000B4210" w:rsidTr="00BF04EA">
        <w:trPr>
          <w:trHeight w:val="630"/>
        </w:trPr>
        <w:tc>
          <w:tcPr>
            <w:tcW w:w="3716" w:type="dxa"/>
            <w:tcBorders>
              <w:top w:val="nil"/>
              <w:left w:val="nil"/>
              <w:bottom w:val="nil"/>
              <w:right w:val="nil"/>
            </w:tcBorders>
            <w:shd w:val="clear" w:color="000000" w:fill="C0C0C0"/>
            <w:noWrap/>
            <w:vAlign w:val="bottom"/>
            <w:hideMark/>
          </w:tcPr>
          <w:p w:rsidR="00346271" w:rsidRPr="000B4210" w:rsidRDefault="00346271" w:rsidP="00BF04EA">
            <w:pPr>
              <w:spacing w:after="0" w:line="240" w:lineRule="auto"/>
              <w:jc w:val="right"/>
              <w:rPr>
                <w:rFonts w:cs="Arial"/>
                <w:b/>
                <w:bCs/>
                <w:sz w:val="22"/>
                <w:szCs w:val="22"/>
                <w:lang w:eastAsia="en-NZ"/>
              </w:rPr>
            </w:pPr>
            <w:r w:rsidRPr="000B4210">
              <w:rPr>
                <w:rFonts w:cs="Arial"/>
                <w:b/>
                <w:bCs/>
                <w:sz w:val="22"/>
                <w:szCs w:val="22"/>
                <w:lang w:eastAsia="en-NZ"/>
              </w:rPr>
              <w:t> </w:t>
            </w:r>
          </w:p>
        </w:tc>
        <w:tc>
          <w:tcPr>
            <w:tcW w:w="1213"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Estimated Actual</w:t>
            </w:r>
          </w:p>
        </w:tc>
        <w:tc>
          <w:tcPr>
            <w:tcW w:w="1213"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c>
          <w:tcPr>
            <w:tcW w:w="1213"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c>
          <w:tcPr>
            <w:tcW w:w="1213"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c>
          <w:tcPr>
            <w:tcW w:w="1213" w:type="dxa"/>
            <w:tcBorders>
              <w:top w:val="nil"/>
              <w:left w:val="nil"/>
              <w:bottom w:val="nil"/>
              <w:right w:val="nil"/>
            </w:tcBorders>
            <w:shd w:val="clear" w:color="000000" w:fill="C0C0C0"/>
            <w:vAlign w:val="bottom"/>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r>
      <w:tr w:rsidR="00346271" w:rsidRPr="000B4210" w:rsidTr="00BF04EA">
        <w:trPr>
          <w:trHeight w:val="315"/>
        </w:trPr>
        <w:tc>
          <w:tcPr>
            <w:tcW w:w="3716"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2"/>
                <w:szCs w:val="22"/>
                <w:lang w:eastAsia="en-NZ"/>
              </w:rPr>
            </w:pPr>
            <w:r w:rsidRPr="000B4210">
              <w:rPr>
                <w:rFonts w:cs="Arial"/>
                <w:b/>
                <w:bCs/>
                <w:sz w:val="22"/>
                <w:szCs w:val="22"/>
                <w:lang w:eastAsia="en-NZ"/>
              </w:rPr>
              <w:t> </w:t>
            </w:r>
          </w:p>
        </w:tc>
        <w:tc>
          <w:tcPr>
            <w:tcW w:w="1213"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2015/16</w:t>
            </w:r>
          </w:p>
        </w:tc>
        <w:tc>
          <w:tcPr>
            <w:tcW w:w="1213"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2016/17</w:t>
            </w:r>
          </w:p>
        </w:tc>
        <w:tc>
          <w:tcPr>
            <w:tcW w:w="1213"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2017/18</w:t>
            </w:r>
          </w:p>
        </w:tc>
        <w:tc>
          <w:tcPr>
            <w:tcW w:w="1213"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2018/19</w:t>
            </w:r>
          </w:p>
        </w:tc>
        <w:tc>
          <w:tcPr>
            <w:tcW w:w="1213" w:type="dxa"/>
            <w:tcBorders>
              <w:top w:val="nil"/>
              <w:left w:val="nil"/>
              <w:bottom w:val="nil"/>
              <w:right w:val="nil"/>
            </w:tcBorders>
            <w:shd w:val="clear" w:color="000000" w:fill="C0C0C0"/>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2019/20</w:t>
            </w:r>
          </w:p>
        </w:tc>
      </w:tr>
      <w:tr w:rsidR="00346271" w:rsidRPr="000B4210" w:rsidTr="00BF04EA">
        <w:trPr>
          <w:trHeight w:val="315"/>
        </w:trPr>
        <w:tc>
          <w:tcPr>
            <w:tcW w:w="3716" w:type="dxa"/>
            <w:tcBorders>
              <w:top w:val="nil"/>
              <w:left w:val="nil"/>
              <w:bottom w:val="nil"/>
              <w:right w:val="nil"/>
            </w:tcBorders>
            <w:shd w:val="clear" w:color="000000" w:fill="C0C0C0"/>
            <w:noWrap/>
            <w:hideMark/>
          </w:tcPr>
          <w:p w:rsidR="00346271" w:rsidRPr="000B4210" w:rsidRDefault="00346271" w:rsidP="00BF04EA">
            <w:pPr>
              <w:spacing w:after="0" w:line="240" w:lineRule="auto"/>
              <w:jc w:val="center"/>
              <w:rPr>
                <w:rFonts w:cs="Arial"/>
                <w:sz w:val="22"/>
                <w:szCs w:val="22"/>
                <w:lang w:eastAsia="en-NZ"/>
              </w:rPr>
            </w:pPr>
            <w:r w:rsidRPr="000B4210">
              <w:rPr>
                <w:rFonts w:cs="Arial"/>
                <w:sz w:val="22"/>
                <w:szCs w:val="22"/>
                <w:lang w:eastAsia="en-NZ"/>
              </w:rPr>
              <w:t> </w:t>
            </w:r>
          </w:p>
        </w:tc>
        <w:tc>
          <w:tcPr>
            <w:tcW w:w="1213" w:type="dxa"/>
            <w:tcBorders>
              <w:top w:val="nil"/>
              <w:left w:val="nil"/>
              <w:bottom w:val="nil"/>
              <w:right w:val="nil"/>
            </w:tcBorders>
            <w:shd w:val="clear" w:color="000000" w:fill="C0C0C0"/>
            <w:noWrap/>
            <w:hideMark/>
          </w:tcPr>
          <w:p w:rsidR="00346271" w:rsidRPr="000B4210" w:rsidRDefault="00346271">
            <w:pPr>
              <w:spacing w:after="0" w:line="240" w:lineRule="auto"/>
              <w:jc w:val="right"/>
              <w:rPr>
                <w:rFonts w:cs="Arial"/>
                <w:b/>
                <w:bCs/>
                <w:sz w:val="20"/>
                <w:szCs w:val="20"/>
                <w:lang w:eastAsia="en-NZ"/>
              </w:rPr>
            </w:pPr>
            <w:r w:rsidRPr="000B4210">
              <w:rPr>
                <w:rFonts w:cs="Arial"/>
                <w:b/>
                <w:bCs/>
                <w:sz w:val="20"/>
                <w:szCs w:val="20"/>
                <w:lang w:eastAsia="en-NZ"/>
              </w:rPr>
              <w:t>$000</w:t>
            </w:r>
          </w:p>
        </w:tc>
        <w:tc>
          <w:tcPr>
            <w:tcW w:w="1213"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c>
          <w:tcPr>
            <w:tcW w:w="1213"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c>
          <w:tcPr>
            <w:tcW w:w="1213"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c>
          <w:tcPr>
            <w:tcW w:w="1213" w:type="dxa"/>
            <w:tcBorders>
              <w:top w:val="nil"/>
              <w:left w:val="nil"/>
              <w:bottom w:val="nil"/>
              <w:right w:val="nil"/>
            </w:tcBorders>
            <w:shd w:val="clear" w:color="000000" w:fill="C0C0C0"/>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r>
      <w:tr w:rsidR="00346271" w:rsidRPr="000B4210" w:rsidTr="00BF04EA">
        <w:trPr>
          <w:trHeight w:val="315"/>
        </w:trPr>
        <w:tc>
          <w:tcPr>
            <w:tcW w:w="3716" w:type="dxa"/>
            <w:tcBorders>
              <w:top w:val="nil"/>
              <w:left w:val="nil"/>
              <w:bottom w:val="nil"/>
              <w:right w:val="nil"/>
            </w:tcBorders>
            <w:shd w:val="clear" w:color="auto" w:fill="auto"/>
            <w:noWrap/>
            <w:hideMark/>
          </w:tcPr>
          <w:p w:rsidR="00346271" w:rsidRPr="000B4210" w:rsidRDefault="00346271" w:rsidP="00BF04EA">
            <w:pPr>
              <w:spacing w:after="0" w:line="240" w:lineRule="auto"/>
              <w:jc w:val="center"/>
              <w:rPr>
                <w:rFonts w:cs="Arial"/>
                <w:sz w:val="22"/>
                <w:szCs w:val="22"/>
                <w:lang w:eastAsia="en-NZ"/>
              </w:rPr>
            </w:pPr>
          </w:p>
        </w:tc>
        <w:tc>
          <w:tcPr>
            <w:tcW w:w="1213"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p>
        </w:tc>
        <w:tc>
          <w:tcPr>
            <w:tcW w:w="1213"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p>
        </w:tc>
        <w:tc>
          <w:tcPr>
            <w:tcW w:w="1213"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p>
        </w:tc>
        <w:tc>
          <w:tcPr>
            <w:tcW w:w="1213" w:type="dxa"/>
            <w:tcBorders>
              <w:top w:val="nil"/>
              <w:left w:val="nil"/>
              <w:bottom w:val="nil"/>
              <w:right w:val="nil"/>
            </w:tcBorders>
            <w:shd w:val="clear" w:color="auto" w:fill="auto"/>
            <w:noWrap/>
            <w:hideMark/>
          </w:tcPr>
          <w:p w:rsidR="00346271" w:rsidRPr="000B4210" w:rsidRDefault="00346271" w:rsidP="007923F8">
            <w:pPr>
              <w:spacing w:after="0" w:line="240" w:lineRule="auto"/>
              <w:ind w:firstLineChars="100" w:firstLine="201"/>
              <w:jc w:val="right"/>
              <w:rPr>
                <w:rFonts w:cs="Arial"/>
                <w:b/>
                <w:bCs/>
                <w:sz w:val="20"/>
                <w:szCs w:val="20"/>
                <w:lang w:eastAsia="en-NZ"/>
              </w:rPr>
            </w:pPr>
          </w:p>
        </w:tc>
        <w:tc>
          <w:tcPr>
            <w:tcW w:w="1213" w:type="dxa"/>
            <w:tcBorders>
              <w:top w:val="nil"/>
              <w:left w:val="nil"/>
              <w:bottom w:val="nil"/>
              <w:right w:val="nil"/>
            </w:tcBorders>
          </w:tcPr>
          <w:p w:rsidR="00346271" w:rsidRPr="000B4210" w:rsidRDefault="00346271" w:rsidP="007923F8">
            <w:pPr>
              <w:spacing w:after="0" w:line="240" w:lineRule="auto"/>
              <w:ind w:firstLineChars="100" w:firstLine="201"/>
              <w:jc w:val="right"/>
              <w:rPr>
                <w:rFonts w:cs="Arial"/>
                <w:b/>
                <w:bCs/>
                <w:sz w:val="20"/>
                <w:szCs w:val="20"/>
                <w:lang w:eastAsia="en-NZ"/>
              </w:rPr>
            </w:pPr>
          </w:p>
        </w:tc>
      </w:tr>
      <w:tr w:rsidR="00346271" w:rsidRPr="000B4210" w:rsidTr="00BF04EA">
        <w:trPr>
          <w:trHeight w:val="315"/>
        </w:trPr>
        <w:tc>
          <w:tcPr>
            <w:tcW w:w="3716"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Revenue</w:t>
            </w:r>
          </w:p>
        </w:tc>
        <w:tc>
          <w:tcPr>
            <w:tcW w:w="1213"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346271" w:rsidRPr="000B4210" w:rsidRDefault="00346271" w:rsidP="00BF04EA">
            <w:pPr>
              <w:spacing w:after="0" w:line="240" w:lineRule="auto"/>
              <w:ind w:firstLineChars="100" w:firstLine="200"/>
              <w:jc w:val="right"/>
              <w:rPr>
                <w:rFonts w:cs="Arial"/>
                <w:sz w:val="20"/>
                <w:szCs w:val="20"/>
                <w:lang w:eastAsia="en-NZ"/>
              </w:rPr>
            </w:pPr>
          </w:p>
        </w:tc>
        <w:tc>
          <w:tcPr>
            <w:tcW w:w="1213" w:type="dxa"/>
            <w:tcBorders>
              <w:top w:val="nil"/>
              <w:left w:val="nil"/>
              <w:bottom w:val="nil"/>
              <w:right w:val="nil"/>
            </w:tcBorders>
          </w:tcPr>
          <w:p w:rsidR="00346271" w:rsidRPr="000B4210" w:rsidRDefault="00346271" w:rsidP="00BF04EA">
            <w:pPr>
              <w:spacing w:after="0" w:line="240" w:lineRule="auto"/>
              <w:ind w:firstLineChars="100" w:firstLine="200"/>
              <w:jc w:val="right"/>
              <w:rPr>
                <w:rFonts w:cs="Arial"/>
                <w:sz w:val="20"/>
                <w:szCs w:val="20"/>
                <w:lang w:eastAsia="en-NZ"/>
              </w:rPr>
            </w:pP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sz w:val="20"/>
                <w:szCs w:val="20"/>
                <w:lang w:eastAsia="en-NZ"/>
              </w:rPr>
            </w:pPr>
            <w:r w:rsidRPr="000B4210">
              <w:rPr>
                <w:rFonts w:cs="Arial"/>
                <w:sz w:val="20"/>
                <w:szCs w:val="20"/>
                <w:lang w:eastAsia="en-NZ"/>
              </w:rPr>
              <w:t>Revenue from the Crown</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9,</w:t>
            </w:r>
            <w:r>
              <w:rPr>
                <w:rFonts w:cs="Arial"/>
                <w:sz w:val="20"/>
                <w:szCs w:val="20"/>
                <w:lang w:eastAsia="en-NZ"/>
              </w:rPr>
              <w:t>4</w:t>
            </w:r>
            <w:r w:rsidRPr="000B4210">
              <w:rPr>
                <w:rFonts w:cs="Arial"/>
                <w:sz w:val="20"/>
                <w:szCs w:val="20"/>
                <w:lang w:eastAsia="en-NZ"/>
              </w:rPr>
              <w:t>96</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9,</w:t>
            </w:r>
            <w:r>
              <w:rPr>
                <w:rFonts w:cs="Arial"/>
                <w:sz w:val="20"/>
                <w:szCs w:val="20"/>
                <w:lang w:eastAsia="en-NZ"/>
              </w:rPr>
              <w:t>4</w:t>
            </w:r>
            <w:r w:rsidRPr="000B4210">
              <w:rPr>
                <w:rFonts w:cs="Arial"/>
                <w:sz w:val="20"/>
                <w:szCs w:val="20"/>
                <w:lang w:eastAsia="en-NZ"/>
              </w:rPr>
              <w:t>96</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9,</w:t>
            </w:r>
            <w:r>
              <w:rPr>
                <w:rFonts w:cs="Arial"/>
                <w:sz w:val="20"/>
                <w:szCs w:val="20"/>
                <w:lang w:eastAsia="en-NZ"/>
              </w:rPr>
              <w:t>3</w:t>
            </w:r>
            <w:r w:rsidRPr="000B4210">
              <w:rPr>
                <w:rFonts w:cs="Arial"/>
                <w:sz w:val="20"/>
                <w:szCs w:val="20"/>
                <w:lang w:eastAsia="en-NZ"/>
              </w:rPr>
              <w:t>96</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9,396</w:t>
            </w:r>
          </w:p>
        </w:tc>
        <w:tc>
          <w:tcPr>
            <w:tcW w:w="1213" w:type="dxa"/>
            <w:tcBorders>
              <w:top w:val="nil"/>
              <w:left w:val="nil"/>
              <w:bottom w:val="nil"/>
              <w:right w:val="nil"/>
            </w:tcBorders>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9,396</w:t>
            </w: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sz w:val="20"/>
                <w:szCs w:val="20"/>
                <w:lang w:eastAsia="en-NZ"/>
              </w:rPr>
            </w:pPr>
            <w:r w:rsidRPr="000B4210">
              <w:rPr>
                <w:rFonts w:cs="Arial"/>
                <w:sz w:val="20"/>
                <w:szCs w:val="20"/>
                <w:lang w:eastAsia="en-NZ"/>
              </w:rPr>
              <w:t>Interest received</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1</w:t>
            </w:r>
            <w:r>
              <w:rPr>
                <w:rFonts w:cs="Arial"/>
                <w:sz w:val="20"/>
                <w:szCs w:val="20"/>
                <w:lang w:eastAsia="en-NZ"/>
              </w:rPr>
              <w:t>61</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1</w:t>
            </w:r>
            <w:r>
              <w:rPr>
                <w:rFonts w:cs="Arial"/>
                <w:sz w:val="20"/>
                <w:szCs w:val="20"/>
                <w:lang w:eastAsia="en-NZ"/>
              </w:rPr>
              <w:t>46</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1</w:t>
            </w:r>
            <w:r>
              <w:rPr>
                <w:rFonts w:cs="Arial"/>
                <w:sz w:val="20"/>
                <w:szCs w:val="20"/>
                <w:lang w:eastAsia="en-NZ"/>
              </w:rPr>
              <w:t>38</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1</w:t>
            </w:r>
            <w:r>
              <w:rPr>
                <w:rFonts w:cs="Arial"/>
                <w:sz w:val="20"/>
                <w:szCs w:val="20"/>
                <w:lang w:eastAsia="en-NZ"/>
              </w:rPr>
              <w:t>65</w:t>
            </w:r>
          </w:p>
        </w:tc>
        <w:tc>
          <w:tcPr>
            <w:tcW w:w="1213" w:type="dxa"/>
            <w:tcBorders>
              <w:top w:val="nil"/>
              <w:left w:val="nil"/>
              <w:bottom w:val="nil"/>
              <w:right w:val="nil"/>
            </w:tcBorders>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1</w:t>
            </w:r>
            <w:r>
              <w:rPr>
                <w:rFonts w:cs="Arial"/>
                <w:sz w:val="20"/>
                <w:szCs w:val="20"/>
                <w:lang w:eastAsia="en-NZ"/>
              </w:rPr>
              <w:t>93</w:t>
            </w:r>
          </w:p>
        </w:tc>
      </w:tr>
      <w:tr w:rsidR="00420F63" w:rsidRPr="000B4210" w:rsidTr="00BF04EA">
        <w:trPr>
          <w:trHeight w:val="330"/>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sz w:val="20"/>
                <w:szCs w:val="20"/>
                <w:lang w:eastAsia="en-NZ"/>
              </w:rPr>
            </w:pPr>
            <w:r w:rsidRPr="000B4210">
              <w:rPr>
                <w:rFonts w:cs="Arial"/>
                <w:sz w:val="20"/>
                <w:szCs w:val="20"/>
                <w:lang w:eastAsia="en-NZ"/>
              </w:rPr>
              <w:t>Other revenue</w:t>
            </w:r>
          </w:p>
        </w:tc>
        <w:tc>
          <w:tcPr>
            <w:tcW w:w="1213" w:type="dxa"/>
            <w:tcBorders>
              <w:top w:val="nil"/>
              <w:left w:val="nil"/>
              <w:bottom w:val="single" w:sz="4" w:space="0" w:color="auto"/>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Pr>
                <w:rFonts w:cs="Arial"/>
                <w:sz w:val="20"/>
                <w:szCs w:val="20"/>
                <w:lang w:eastAsia="en-NZ"/>
              </w:rPr>
              <w:t>223</w:t>
            </w:r>
          </w:p>
        </w:tc>
        <w:tc>
          <w:tcPr>
            <w:tcW w:w="1213" w:type="dxa"/>
            <w:tcBorders>
              <w:top w:val="nil"/>
              <w:left w:val="nil"/>
              <w:bottom w:val="single" w:sz="4" w:space="0" w:color="auto"/>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589</w:t>
            </w:r>
          </w:p>
        </w:tc>
        <w:tc>
          <w:tcPr>
            <w:tcW w:w="1213" w:type="dxa"/>
            <w:tcBorders>
              <w:top w:val="nil"/>
              <w:left w:val="nil"/>
              <w:bottom w:val="single" w:sz="4" w:space="0" w:color="auto"/>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176</w:t>
            </w:r>
          </w:p>
        </w:tc>
        <w:tc>
          <w:tcPr>
            <w:tcW w:w="1213" w:type="dxa"/>
            <w:tcBorders>
              <w:top w:val="nil"/>
              <w:left w:val="nil"/>
              <w:bottom w:val="single" w:sz="4" w:space="0" w:color="auto"/>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176</w:t>
            </w:r>
          </w:p>
        </w:tc>
        <w:tc>
          <w:tcPr>
            <w:tcW w:w="1213" w:type="dxa"/>
            <w:tcBorders>
              <w:top w:val="nil"/>
              <w:left w:val="nil"/>
              <w:bottom w:val="single" w:sz="4" w:space="0" w:color="auto"/>
              <w:right w:val="nil"/>
            </w:tcBorders>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176</w:t>
            </w: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b/>
                <w:bCs/>
                <w:sz w:val="20"/>
                <w:szCs w:val="20"/>
                <w:lang w:eastAsia="en-NZ"/>
              </w:rPr>
            </w:pPr>
            <w:r w:rsidRPr="000B4210">
              <w:rPr>
                <w:rFonts w:cs="Arial"/>
                <w:b/>
                <w:bCs/>
                <w:sz w:val="20"/>
                <w:szCs w:val="20"/>
                <w:lang w:eastAsia="en-NZ"/>
              </w:rPr>
              <w:t>Total revenue</w:t>
            </w:r>
          </w:p>
        </w:tc>
        <w:tc>
          <w:tcPr>
            <w:tcW w:w="1213" w:type="dxa"/>
            <w:tcBorders>
              <w:top w:val="single" w:sz="4" w:space="0" w:color="auto"/>
              <w:left w:val="nil"/>
              <w:bottom w:val="nil"/>
              <w:right w:val="nil"/>
            </w:tcBorders>
            <w:shd w:val="clear" w:color="auto" w:fill="auto"/>
            <w:noWrap/>
            <w:hideMark/>
          </w:tcPr>
          <w:p w:rsidR="00420F63" w:rsidRPr="000B4210" w:rsidRDefault="00420F63" w:rsidP="00420F63">
            <w:pPr>
              <w:spacing w:after="0" w:line="240" w:lineRule="auto"/>
              <w:jc w:val="right"/>
              <w:rPr>
                <w:rFonts w:cs="Arial"/>
                <w:b/>
                <w:bCs/>
                <w:sz w:val="20"/>
                <w:szCs w:val="20"/>
                <w:lang w:eastAsia="en-NZ"/>
              </w:rPr>
            </w:pPr>
            <w:r>
              <w:rPr>
                <w:rFonts w:cs="Arial"/>
                <w:b/>
                <w:bCs/>
                <w:sz w:val="20"/>
                <w:szCs w:val="20"/>
                <w:lang w:eastAsia="en-NZ"/>
              </w:rPr>
              <w:t>9,880</w:t>
            </w:r>
          </w:p>
        </w:tc>
        <w:tc>
          <w:tcPr>
            <w:tcW w:w="1213" w:type="dxa"/>
            <w:tcBorders>
              <w:top w:val="single" w:sz="4" w:space="0" w:color="auto"/>
              <w:left w:val="nil"/>
              <w:bottom w:val="nil"/>
              <w:right w:val="nil"/>
            </w:tcBorders>
            <w:shd w:val="clear" w:color="auto" w:fill="auto"/>
            <w:noWrap/>
            <w:hideMark/>
          </w:tcPr>
          <w:p w:rsidR="00420F63" w:rsidRPr="000B4210" w:rsidRDefault="00420F63">
            <w:pPr>
              <w:spacing w:after="0" w:line="240" w:lineRule="auto"/>
              <w:jc w:val="right"/>
              <w:rPr>
                <w:rFonts w:cs="Arial"/>
                <w:b/>
                <w:bCs/>
                <w:sz w:val="20"/>
                <w:szCs w:val="20"/>
                <w:lang w:eastAsia="en-NZ"/>
              </w:rPr>
            </w:pPr>
            <w:r w:rsidRPr="000B4210">
              <w:rPr>
                <w:rFonts w:cs="Arial"/>
                <w:b/>
                <w:bCs/>
                <w:sz w:val="20"/>
                <w:szCs w:val="20"/>
                <w:lang w:eastAsia="en-NZ"/>
              </w:rPr>
              <w:t>10,</w:t>
            </w:r>
            <w:r>
              <w:rPr>
                <w:rFonts w:cs="Arial"/>
                <w:b/>
                <w:bCs/>
                <w:sz w:val="20"/>
                <w:szCs w:val="20"/>
                <w:lang w:eastAsia="en-NZ"/>
              </w:rPr>
              <w:t>231</w:t>
            </w:r>
          </w:p>
        </w:tc>
        <w:tc>
          <w:tcPr>
            <w:tcW w:w="1213" w:type="dxa"/>
            <w:tcBorders>
              <w:top w:val="single" w:sz="4" w:space="0" w:color="auto"/>
              <w:left w:val="nil"/>
              <w:bottom w:val="nil"/>
              <w:right w:val="nil"/>
            </w:tcBorders>
            <w:shd w:val="clear" w:color="auto" w:fill="auto"/>
            <w:noWrap/>
            <w:hideMark/>
          </w:tcPr>
          <w:p w:rsidR="00420F63" w:rsidRPr="000B4210" w:rsidRDefault="00420F63">
            <w:pPr>
              <w:spacing w:after="0" w:line="240" w:lineRule="auto"/>
              <w:jc w:val="right"/>
              <w:rPr>
                <w:rFonts w:cs="Arial"/>
                <w:b/>
                <w:bCs/>
                <w:sz w:val="20"/>
                <w:szCs w:val="20"/>
                <w:lang w:eastAsia="en-NZ"/>
              </w:rPr>
            </w:pPr>
            <w:r w:rsidRPr="000B4210">
              <w:rPr>
                <w:rFonts w:cs="Arial"/>
                <w:b/>
                <w:bCs/>
                <w:sz w:val="20"/>
                <w:szCs w:val="20"/>
                <w:lang w:eastAsia="en-NZ"/>
              </w:rPr>
              <w:t>9,7</w:t>
            </w:r>
            <w:r>
              <w:rPr>
                <w:rFonts w:cs="Arial"/>
                <w:b/>
                <w:bCs/>
                <w:sz w:val="20"/>
                <w:szCs w:val="20"/>
                <w:lang w:eastAsia="en-NZ"/>
              </w:rPr>
              <w:t>10</w:t>
            </w:r>
          </w:p>
        </w:tc>
        <w:tc>
          <w:tcPr>
            <w:tcW w:w="1213" w:type="dxa"/>
            <w:tcBorders>
              <w:top w:val="single" w:sz="4" w:space="0" w:color="auto"/>
              <w:left w:val="nil"/>
              <w:bottom w:val="nil"/>
              <w:right w:val="nil"/>
            </w:tcBorders>
            <w:shd w:val="clear" w:color="auto" w:fill="auto"/>
            <w:noWrap/>
            <w:hideMark/>
          </w:tcPr>
          <w:p w:rsidR="00420F63" w:rsidRPr="000B4210" w:rsidRDefault="00420F63">
            <w:pPr>
              <w:spacing w:after="0" w:line="240" w:lineRule="auto"/>
              <w:jc w:val="right"/>
              <w:rPr>
                <w:rFonts w:cs="Arial"/>
                <w:b/>
                <w:bCs/>
                <w:sz w:val="20"/>
                <w:szCs w:val="20"/>
                <w:lang w:eastAsia="en-NZ"/>
              </w:rPr>
            </w:pPr>
            <w:r w:rsidRPr="000B4210">
              <w:rPr>
                <w:rFonts w:cs="Arial"/>
                <w:b/>
                <w:bCs/>
                <w:sz w:val="20"/>
                <w:szCs w:val="20"/>
                <w:lang w:eastAsia="en-NZ"/>
              </w:rPr>
              <w:t>9,7</w:t>
            </w:r>
            <w:r>
              <w:rPr>
                <w:rFonts w:cs="Arial"/>
                <w:b/>
                <w:bCs/>
                <w:sz w:val="20"/>
                <w:szCs w:val="20"/>
                <w:lang w:eastAsia="en-NZ"/>
              </w:rPr>
              <w:t>37</w:t>
            </w:r>
          </w:p>
        </w:tc>
        <w:tc>
          <w:tcPr>
            <w:tcW w:w="1213" w:type="dxa"/>
            <w:tcBorders>
              <w:top w:val="single" w:sz="4" w:space="0" w:color="auto"/>
              <w:left w:val="nil"/>
              <w:bottom w:val="nil"/>
              <w:right w:val="nil"/>
            </w:tcBorders>
          </w:tcPr>
          <w:p w:rsidR="00420F63" w:rsidRPr="000B4210" w:rsidRDefault="00420F63">
            <w:pPr>
              <w:spacing w:after="0" w:line="240" w:lineRule="auto"/>
              <w:jc w:val="right"/>
              <w:rPr>
                <w:rFonts w:cs="Arial"/>
                <w:b/>
                <w:bCs/>
                <w:sz w:val="20"/>
                <w:szCs w:val="20"/>
                <w:lang w:eastAsia="en-NZ"/>
              </w:rPr>
            </w:pPr>
            <w:r w:rsidRPr="000B4210">
              <w:rPr>
                <w:rFonts w:cs="Arial"/>
                <w:b/>
                <w:bCs/>
                <w:sz w:val="20"/>
                <w:szCs w:val="20"/>
                <w:lang w:eastAsia="en-NZ"/>
              </w:rPr>
              <w:t>9,7</w:t>
            </w:r>
            <w:r>
              <w:rPr>
                <w:rFonts w:cs="Arial"/>
                <w:b/>
                <w:bCs/>
                <w:sz w:val="20"/>
                <w:szCs w:val="20"/>
                <w:lang w:eastAsia="en-NZ"/>
              </w:rPr>
              <w:t>65</w:t>
            </w: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tcPr>
          <w:p w:rsidR="00420F63" w:rsidRPr="000B4210" w:rsidRDefault="00420F63" w:rsidP="00420F63">
            <w:pPr>
              <w:spacing w:after="0" w:line="240" w:lineRule="auto"/>
              <w:jc w:val="right"/>
              <w:rPr>
                <w:rFonts w:cs="Arial"/>
                <w:sz w:val="20"/>
                <w:szCs w:val="20"/>
                <w:lang w:eastAsia="en-NZ"/>
              </w:rPr>
            </w:pP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b/>
                <w:bCs/>
                <w:sz w:val="20"/>
                <w:szCs w:val="20"/>
                <w:lang w:eastAsia="en-NZ"/>
              </w:rPr>
            </w:pPr>
            <w:r w:rsidRPr="000B4210">
              <w:rPr>
                <w:rFonts w:cs="Arial"/>
                <w:b/>
                <w:bCs/>
                <w:sz w:val="20"/>
                <w:szCs w:val="20"/>
                <w:lang w:eastAsia="en-NZ"/>
              </w:rPr>
              <w:t>Expenses</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tcPr>
          <w:p w:rsidR="00420F63" w:rsidRPr="000B4210" w:rsidRDefault="00420F63" w:rsidP="00420F63">
            <w:pPr>
              <w:spacing w:after="0" w:line="240" w:lineRule="auto"/>
              <w:jc w:val="right"/>
              <w:rPr>
                <w:rFonts w:cs="Arial"/>
                <w:sz w:val="20"/>
                <w:szCs w:val="20"/>
                <w:lang w:eastAsia="en-NZ"/>
              </w:rPr>
            </w:pP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sz w:val="20"/>
                <w:szCs w:val="20"/>
                <w:lang w:eastAsia="en-NZ"/>
              </w:rPr>
            </w:pPr>
            <w:r w:rsidRPr="000B4210">
              <w:rPr>
                <w:rFonts w:cs="Arial"/>
                <w:sz w:val="20"/>
                <w:szCs w:val="20"/>
                <w:lang w:eastAsia="en-NZ"/>
              </w:rPr>
              <w:t>Personnel costs</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6,</w:t>
            </w:r>
            <w:r>
              <w:rPr>
                <w:rFonts w:cs="Arial"/>
                <w:sz w:val="20"/>
                <w:szCs w:val="20"/>
                <w:lang w:eastAsia="en-NZ"/>
              </w:rPr>
              <w:t>678</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7,351</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6,8</w:t>
            </w:r>
            <w:r>
              <w:rPr>
                <w:rFonts w:cs="Arial"/>
                <w:sz w:val="20"/>
                <w:szCs w:val="20"/>
                <w:lang w:eastAsia="en-NZ"/>
              </w:rPr>
              <w:t>82</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6,662</w:t>
            </w:r>
          </w:p>
        </w:tc>
        <w:tc>
          <w:tcPr>
            <w:tcW w:w="1213" w:type="dxa"/>
            <w:tcBorders>
              <w:top w:val="nil"/>
              <w:left w:val="nil"/>
              <w:bottom w:val="nil"/>
              <w:right w:val="nil"/>
            </w:tcBorders>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6,934</w:t>
            </w: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sz w:val="20"/>
                <w:szCs w:val="20"/>
                <w:lang w:eastAsia="en-NZ"/>
              </w:rPr>
            </w:pPr>
            <w:r w:rsidRPr="000B4210">
              <w:rPr>
                <w:rFonts w:cs="Arial"/>
                <w:sz w:val="20"/>
                <w:szCs w:val="20"/>
                <w:lang w:eastAsia="en-NZ"/>
              </w:rPr>
              <w:t>Other expenses</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1,</w:t>
            </w:r>
            <w:r>
              <w:rPr>
                <w:rFonts w:cs="Arial"/>
                <w:sz w:val="20"/>
                <w:szCs w:val="20"/>
                <w:lang w:eastAsia="en-NZ"/>
              </w:rPr>
              <w:t>784</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2,182</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1,4</w:t>
            </w:r>
            <w:r>
              <w:rPr>
                <w:rFonts w:cs="Arial"/>
                <w:sz w:val="20"/>
                <w:szCs w:val="20"/>
                <w:lang w:eastAsia="en-NZ"/>
              </w:rPr>
              <w:t>56</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1,4</w:t>
            </w:r>
            <w:r>
              <w:rPr>
                <w:rFonts w:cs="Arial"/>
                <w:sz w:val="20"/>
                <w:szCs w:val="20"/>
                <w:lang w:eastAsia="en-NZ"/>
              </w:rPr>
              <w:t>87</w:t>
            </w:r>
          </w:p>
        </w:tc>
        <w:tc>
          <w:tcPr>
            <w:tcW w:w="1213" w:type="dxa"/>
            <w:tcBorders>
              <w:top w:val="nil"/>
              <w:left w:val="nil"/>
              <w:bottom w:val="nil"/>
              <w:right w:val="nil"/>
            </w:tcBorders>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1,</w:t>
            </w:r>
            <w:r>
              <w:rPr>
                <w:rFonts w:cs="Arial"/>
                <w:sz w:val="20"/>
                <w:szCs w:val="20"/>
                <w:lang w:eastAsia="en-NZ"/>
              </w:rPr>
              <w:t>507</w:t>
            </w: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sz w:val="20"/>
                <w:szCs w:val="20"/>
                <w:lang w:eastAsia="en-NZ"/>
              </w:rPr>
            </w:pPr>
            <w:r w:rsidRPr="000B4210">
              <w:rPr>
                <w:rFonts w:cs="Arial"/>
                <w:sz w:val="20"/>
                <w:szCs w:val="20"/>
                <w:lang w:eastAsia="en-NZ"/>
              </w:rPr>
              <w:t>Projects and programmes</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644</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999</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800</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800</w:t>
            </w:r>
          </w:p>
        </w:tc>
        <w:tc>
          <w:tcPr>
            <w:tcW w:w="1213" w:type="dxa"/>
            <w:tcBorders>
              <w:top w:val="nil"/>
              <w:left w:val="nil"/>
              <w:bottom w:val="nil"/>
              <w:right w:val="nil"/>
            </w:tcBorders>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800</w:t>
            </w: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sz w:val="20"/>
                <w:szCs w:val="20"/>
                <w:lang w:eastAsia="en-NZ"/>
              </w:rPr>
            </w:pPr>
            <w:r w:rsidRPr="000B4210">
              <w:rPr>
                <w:rFonts w:cs="Arial"/>
                <w:sz w:val="20"/>
                <w:szCs w:val="20"/>
                <w:lang w:eastAsia="en-NZ"/>
              </w:rPr>
              <w:t>Travel costs</w:t>
            </w:r>
          </w:p>
        </w:tc>
        <w:tc>
          <w:tcPr>
            <w:tcW w:w="1213" w:type="dxa"/>
            <w:tcBorders>
              <w:top w:val="nil"/>
              <w:left w:val="nil"/>
              <w:bottom w:val="nil"/>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3</w:t>
            </w:r>
            <w:r>
              <w:rPr>
                <w:rFonts w:cs="Arial"/>
                <w:sz w:val="20"/>
                <w:szCs w:val="20"/>
                <w:lang w:eastAsia="en-NZ"/>
              </w:rPr>
              <w:t>15</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425</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427</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433</w:t>
            </w:r>
          </w:p>
        </w:tc>
        <w:tc>
          <w:tcPr>
            <w:tcW w:w="1213" w:type="dxa"/>
            <w:tcBorders>
              <w:top w:val="nil"/>
              <w:left w:val="nil"/>
              <w:bottom w:val="nil"/>
              <w:right w:val="nil"/>
            </w:tcBorders>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437</w:t>
            </w: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sz w:val="20"/>
                <w:szCs w:val="20"/>
                <w:lang w:eastAsia="en-NZ"/>
              </w:rPr>
            </w:pPr>
            <w:r w:rsidRPr="000B4210">
              <w:rPr>
                <w:rFonts w:cs="Arial"/>
                <w:sz w:val="20"/>
                <w:szCs w:val="20"/>
                <w:lang w:eastAsia="en-NZ"/>
              </w:rPr>
              <w:t>Depreciation and amortisation</w:t>
            </w:r>
          </w:p>
        </w:tc>
        <w:tc>
          <w:tcPr>
            <w:tcW w:w="1213" w:type="dxa"/>
            <w:tcBorders>
              <w:top w:val="nil"/>
              <w:left w:val="nil"/>
              <w:bottom w:val="single" w:sz="4" w:space="0" w:color="auto"/>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1</w:t>
            </w:r>
            <w:r>
              <w:rPr>
                <w:rFonts w:cs="Arial"/>
                <w:sz w:val="20"/>
                <w:szCs w:val="20"/>
                <w:lang w:eastAsia="en-NZ"/>
              </w:rPr>
              <w:t>23</w:t>
            </w:r>
          </w:p>
        </w:tc>
        <w:tc>
          <w:tcPr>
            <w:tcW w:w="1213" w:type="dxa"/>
            <w:tcBorders>
              <w:top w:val="nil"/>
              <w:left w:val="nil"/>
              <w:bottom w:val="single" w:sz="4" w:space="0" w:color="auto"/>
              <w:right w:val="nil"/>
            </w:tcBorders>
            <w:shd w:val="clear" w:color="auto" w:fill="auto"/>
            <w:noWrap/>
            <w:hideMark/>
          </w:tcPr>
          <w:p w:rsidR="00420F63" w:rsidRPr="000B4210" w:rsidRDefault="00420F63">
            <w:pPr>
              <w:spacing w:after="0" w:line="240" w:lineRule="auto"/>
              <w:jc w:val="right"/>
              <w:rPr>
                <w:rFonts w:cs="Arial"/>
                <w:sz w:val="20"/>
                <w:szCs w:val="20"/>
                <w:lang w:eastAsia="en-NZ"/>
              </w:rPr>
            </w:pPr>
            <w:r w:rsidRPr="000B4210">
              <w:rPr>
                <w:rFonts w:cs="Arial"/>
                <w:sz w:val="20"/>
                <w:szCs w:val="20"/>
                <w:lang w:eastAsia="en-NZ"/>
              </w:rPr>
              <w:t>1</w:t>
            </w:r>
            <w:r>
              <w:rPr>
                <w:rFonts w:cs="Arial"/>
                <w:sz w:val="20"/>
                <w:szCs w:val="20"/>
                <w:lang w:eastAsia="en-NZ"/>
              </w:rPr>
              <w:t>62</w:t>
            </w:r>
          </w:p>
        </w:tc>
        <w:tc>
          <w:tcPr>
            <w:tcW w:w="1213" w:type="dxa"/>
            <w:tcBorders>
              <w:top w:val="nil"/>
              <w:left w:val="nil"/>
              <w:bottom w:val="single" w:sz="4" w:space="0" w:color="auto"/>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176</w:t>
            </w:r>
          </w:p>
        </w:tc>
        <w:tc>
          <w:tcPr>
            <w:tcW w:w="1213" w:type="dxa"/>
            <w:tcBorders>
              <w:top w:val="nil"/>
              <w:left w:val="nil"/>
              <w:bottom w:val="single" w:sz="4" w:space="0" w:color="auto"/>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169</w:t>
            </w:r>
          </w:p>
        </w:tc>
        <w:tc>
          <w:tcPr>
            <w:tcW w:w="1213" w:type="dxa"/>
            <w:tcBorders>
              <w:top w:val="nil"/>
              <w:left w:val="nil"/>
              <w:bottom w:val="single" w:sz="4" w:space="0" w:color="auto"/>
              <w:right w:val="nil"/>
            </w:tcBorders>
          </w:tcPr>
          <w:p w:rsidR="00420F63" w:rsidRPr="000B4210" w:rsidRDefault="00420F63" w:rsidP="00420F63">
            <w:pPr>
              <w:spacing w:after="0" w:line="240" w:lineRule="auto"/>
              <w:jc w:val="right"/>
              <w:rPr>
                <w:rFonts w:cs="Arial"/>
                <w:sz w:val="20"/>
                <w:szCs w:val="20"/>
                <w:lang w:eastAsia="en-NZ"/>
              </w:rPr>
            </w:pPr>
            <w:r>
              <w:rPr>
                <w:rFonts w:cs="Arial"/>
                <w:sz w:val="20"/>
                <w:szCs w:val="20"/>
                <w:lang w:eastAsia="en-NZ"/>
              </w:rPr>
              <w:t>161</w:t>
            </w: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b/>
                <w:bCs/>
                <w:sz w:val="20"/>
                <w:szCs w:val="20"/>
                <w:lang w:eastAsia="en-NZ"/>
              </w:rPr>
            </w:pPr>
            <w:r w:rsidRPr="000B4210">
              <w:rPr>
                <w:rFonts w:cs="Arial"/>
                <w:b/>
                <w:bCs/>
                <w:sz w:val="20"/>
                <w:szCs w:val="20"/>
                <w:lang w:eastAsia="en-NZ"/>
              </w:rPr>
              <w:t>Total expenses</w:t>
            </w:r>
          </w:p>
        </w:tc>
        <w:tc>
          <w:tcPr>
            <w:tcW w:w="1213" w:type="dxa"/>
            <w:tcBorders>
              <w:top w:val="single" w:sz="4" w:space="0" w:color="auto"/>
              <w:left w:val="nil"/>
              <w:bottom w:val="nil"/>
              <w:right w:val="nil"/>
            </w:tcBorders>
            <w:shd w:val="clear" w:color="auto" w:fill="auto"/>
            <w:noWrap/>
            <w:hideMark/>
          </w:tcPr>
          <w:p w:rsidR="00420F63" w:rsidRPr="000B4210" w:rsidRDefault="00420F63" w:rsidP="00420F63">
            <w:pPr>
              <w:spacing w:after="0" w:line="240" w:lineRule="auto"/>
              <w:jc w:val="right"/>
              <w:rPr>
                <w:rFonts w:cs="Arial"/>
                <w:b/>
                <w:bCs/>
                <w:sz w:val="20"/>
                <w:szCs w:val="20"/>
                <w:lang w:eastAsia="en-NZ"/>
              </w:rPr>
            </w:pPr>
            <w:r>
              <w:rPr>
                <w:rFonts w:cs="Arial"/>
                <w:b/>
                <w:bCs/>
                <w:sz w:val="20"/>
                <w:szCs w:val="20"/>
                <w:lang w:eastAsia="en-NZ"/>
              </w:rPr>
              <w:t>9,544</w:t>
            </w:r>
          </w:p>
        </w:tc>
        <w:tc>
          <w:tcPr>
            <w:tcW w:w="1213" w:type="dxa"/>
            <w:tcBorders>
              <w:top w:val="single" w:sz="4" w:space="0" w:color="auto"/>
              <w:left w:val="nil"/>
              <w:bottom w:val="nil"/>
              <w:right w:val="nil"/>
            </w:tcBorders>
            <w:shd w:val="clear" w:color="auto" w:fill="auto"/>
            <w:noWrap/>
            <w:hideMark/>
          </w:tcPr>
          <w:p w:rsidR="00420F63" w:rsidRPr="000B4210" w:rsidRDefault="00420F63" w:rsidP="00420F63">
            <w:pPr>
              <w:spacing w:after="0" w:line="240" w:lineRule="auto"/>
              <w:jc w:val="right"/>
              <w:rPr>
                <w:rFonts w:cs="Arial"/>
                <w:b/>
                <w:bCs/>
                <w:sz w:val="20"/>
                <w:szCs w:val="20"/>
                <w:lang w:eastAsia="en-NZ"/>
              </w:rPr>
            </w:pPr>
            <w:r>
              <w:rPr>
                <w:rFonts w:cs="Arial"/>
                <w:b/>
                <w:bCs/>
                <w:sz w:val="20"/>
                <w:szCs w:val="20"/>
                <w:lang w:eastAsia="en-NZ"/>
              </w:rPr>
              <w:t>11,119</w:t>
            </w:r>
          </w:p>
        </w:tc>
        <w:tc>
          <w:tcPr>
            <w:tcW w:w="1213" w:type="dxa"/>
            <w:tcBorders>
              <w:top w:val="single" w:sz="4" w:space="0" w:color="auto"/>
              <w:left w:val="nil"/>
              <w:bottom w:val="nil"/>
              <w:right w:val="nil"/>
            </w:tcBorders>
            <w:shd w:val="clear" w:color="auto" w:fill="auto"/>
            <w:noWrap/>
            <w:hideMark/>
          </w:tcPr>
          <w:p w:rsidR="00420F63" w:rsidRPr="000B4210" w:rsidRDefault="00420F63">
            <w:pPr>
              <w:spacing w:after="0" w:line="240" w:lineRule="auto"/>
              <w:jc w:val="right"/>
              <w:rPr>
                <w:rFonts w:cs="Arial"/>
                <w:b/>
                <w:bCs/>
                <w:sz w:val="20"/>
                <w:szCs w:val="20"/>
                <w:lang w:eastAsia="en-NZ"/>
              </w:rPr>
            </w:pPr>
            <w:r w:rsidRPr="000B4210">
              <w:rPr>
                <w:rFonts w:cs="Arial"/>
                <w:b/>
                <w:bCs/>
                <w:sz w:val="20"/>
                <w:szCs w:val="20"/>
                <w:lang w:eastAsia="en-NZ"/>
              </w:rPr>
              <w:t>9,7</w:t>
            </w:r>
            <w:r>
              <w:rPr>
                <w:rFonts w:cs="Arial"/>
                <w:b/>
                <w:bCs/>
                <w:sz w:val="20"/>
                <w:szCs w:val="20"/>
                <w:lang w:eastAsia="en-NZ"/>
              </w:rPr>
              <w:t>41</w:t>
            </w:r>
          </w:p>
        </w:tc>
        <w:tc>
          <w:tcPr>
            <w:tcW w:w="1213" w:type="dxa"/>
            <w:tcBorders>
              <w:top w:val="single" w:sz="4" w:space="0" w:color="auto"/>
              <w:left w:val="nil"/>
              <w:bottom w:val="nil"/>
              <w:right w:val="nil"/>
            </w:tcBorders>
            <w:shd w:val="clear" w:color="auto" w:fill="auto"/>
            <w:noWrap/>
            <w:hideMark/>
          </w:tcPr>
          <w:p w:rsidR="00420F63" w:rsidRPr="000B4210" w:rsidRDefault="00420F63">
            <w:pPr>
              <w:spacing w:after="0" w:line="240" w:lineRule="auto"/>
              <w:jc w:val="right"/>
              <w:rPr>
                <w:rFonts w:cs="Arial"/>
                <w:b/>
                <w:bCs/>
                <w:sz w:val="20"/>
                <w:szCs w:val="20"/>
                <w:lang w:eastAsia="en-NZ"/>
              </w:rPr>
            </w:pPr>
            <w:r w:rsidRPr="000B4210">
              <w:rPr>
                <w:rFonts w:cs="Arial"/>
                <w:b/>
                <w:bCs/>
                <w:sz w:val="20"/>
                <w:szCs w:val="20"/>
                <w:lang w:eastAsia="en-NZ"/>
              </w:rPr>
              <w:t>9,</w:t>
            </w:r>
            <w:r>
              <w:rPr>
                <w:rFonts w:cs="Arial"/>
                <w:b/>
                <w:bCs/>
                <w:sz w:val="20"/>
                <w:szCs w:val="20"/>
                <w:lang w:eastAsia="en-NZ"/>
              </w:rPr>
              <w:t>551</w:t>
            </w:r>
          </w:p>
        </w:tc>
        <w:tc>
          <w:tcPr>
            <w:tcW w:w="1213" w:type="dxa"/>
            <w:tcBorders>
              <w:top w:val="single" w:sz="4" w:space="0" w:color="auto"/>
              <w:left w:val="nil"/>
              <w:bottom w:val="nil"/>
              <w:right w:val="nil"/>
            </w:tcBorders>
          </w:tcPr>
          <w:p w:rsidR="00420F63" w:rsidRPr="000B4210" w:rsidRDefault="00420F63" w:rsidP="00420F63">
            <w:pPr>
              <w:spacing w:after="0" w:line="240" w:lineRule="auto"/>
              <w:jc w:val="right"/>
              <w:rPr>
                <w:rFonts w:cs="Arial"/>
                <w:b/>
                <w:bCs/>
                <w:sz w:val="20"/>
                <w:szCs w:val="20"/>
                <w:lang w:eastAsia="en-NZ"/>
              </w:rPr>
            </w:pPr>
            <w:r>
              <w:rPr>
                <w:rFonts w:cs="Arial"/>
                <w:b/>
                <w:bCs/>
                <w:sz w:val="20"/>
                <w:szCs w:val="20"/>
                <w:lang w:eastAsia="en-NZ"/>
              </w:rPr>
              <w:t>9,839</w:t>
            </w:r>
          </w:p>
        </w:tc>
      </w:tr>
      <w:tr w:rsidR="00420F63" w:rsidRPr="000B4210" w:rsidTr="00BF04EA">
        <w:trPr>
          <w:trHeight w:val="330"/>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b/>
                <w:bCs/>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tcPr>
          <w:p w:rsidR="00420F63" w:rsidRPr="000B4210" w:rsidRDefault="00420F63" w:rsidP="00420F63">
            <w:pPr>
              <w:spacing w:after="0" w:line="240" w:lineRule="auto"/>
              <w:jc w:val="right"/>
              <w:rPr>
                <w:rFonts w:cs="Arial"/>
                <w:sz w:val="20"/>
                <w:szCs w:val="20"/>
                <w:lang w:eastAsia="en-NZ"/>
              </w:rPr>
            </w:pP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b/>
                <w:bCs/>
                <w:sz w:val="20"/>
                <w:szCs w:val="20"/>
                <w:lang w:eastAsia="en-NZ"/>
              </w:rPr>
            </w:pPr>
            <w:r w:rsidRPr="000B4210">
              <w:rPr>
                <w:rFonts w:cs="Arial"/>
                <w:b/>
                <w:bCs/>
                <w:sz w:val="20"/>
                <w:szCs w:val="20"/>
                <w:lang w:eastAsia="en-NZ"/>
              </w:rPr>
              <w:t>Net surplus/(deficit)</w:t>
            </w:r>
          </w:p>
        </w:tc>
        <w:tc>
          <w:tcPr>
            <w:tcW w:w="1213" w:type="dxa"/>
            <w:tcBorders>
              <w:top w:val="single" w:sz="8" w:space="0" w:color="auto"/>
              <w:left w:val="nil"/>
              <w:bottom w:val="nil"/>
              <w:right w:val="nil"/>
            </w:tcBorders>
            <w:shd w:val="clear" w:color="auto" w:fill="auto"/>
            <w:noWrap/>
            <w:hideMark/>
          </w:tcPr>
          <w:p w:rsidR="00420F63" w:rsidRPr="000B4210" w:rsidRDefault="00420F63" w:rsidP="00420F63">
            <w:pPr>
              <w:spacing w:after="0" w:line="240" w:lineRule="auto"/>
              <w:jc w:val="right"/>
              <w:rPr>
                <w:rFonts w:cs="Arial"/>
                <w:b/>
                <w:bCs/>
                <w:sz w:val="20"/>
                <w:szCs w:val="20"/>
                <w:lang w:eastAsia="en-NZ"/>
              </w:rPr>
            </w:pPr>
            <w:r>
              <w:rPr>
                <w:rFonts w:cs="Arial"/>
                <w:b/>
                <w:bCs/>
                <w:sz w:val="20"/>
                <w:szCs w:val="20"/>
                <w:lang w:eastAsia="en-NZ"/>
              </w:rPr>
              <w:t>336</w:t>
            </w:r>
          </w:p>
        </w:tc>
        <w:tc>
          <w:tcPr>
            <w:tcW w:w="1213" w:type="dxa"/>
            <w:tcBorders>
              <w:top w:val="single" w:sz="8" w:space="0" w:color="auto"/>
              <w:left w:val="nil"/>
              <w:bottom w:val="nil"/>
              <w:right w:val="nil"/>
            </w:tcBorders>
            <w:shd w:val="clear" w:color="auto" w:fill="auto"/>
            <w:noWrap/>
            <w:hideMark/>
          </w:tcPr>
          <w:p w:rsidR="00420F63" w:rsidRPr="000B4210" w:rsidRDefault="00420F63" w:rsidP="00420F63">
            <w:pPr>
              <w:spacing w:after="0" w:line="240" w:lineRule="auto"/>
              <w:jc w:val="right"/>
              <w:rPr>
                <w:rFonts w:cs="Arial"/>
                <w:b/>
                <w:bCs/>
                <w:sz w:val="20"/>
                <w:szCs w:val="20"/>
                <w:lang w:eastAsia="en-NZ"/>
              </w:rPr>
            </w:pPr>
            <w:r>
              <w:rPr>
                <w:rFonts w:cs="Arial"/>
                <w:b/>
                <w:bCs/>
                <w:sz w:val="20"/>
                <w:szCs w:val="20"/>
                <w:lang w:eastAsia="en-NZ"/>
              </w:rPr>
              <w:t>(888)</w:t>
            </w:r>
          </w:p>
        </w:tc>
        <w:tc>
          <w:tcPr>
            <w:tcW w:w="1213" w:type="dxa"/>
            <w:tcBorders>
              <w:top w:val="single" w:sz="8" w:space="0" w:color="auto"/>
              <w:left w:val="nil"/>
              <w:bottom w:val="nil"/>
              <w:right w:val="nil"/>
            </w:tcBorders>
            <w:shd w:val="clear" w:color="auto" w:fill="auto"/>
            <w:noWrap/>
            <w:hideMark/>
          </w:tcPr>
          <w:p w:rsidR="00420F63" w:rsidRPr="000B4210" w:rsidRDefault="00420F63" w:rsidP="00420F63">
            <w:pPr>
              <w:spacing w:after="0" w:line="240" w:lineRule="auto"/>
              <w:jc w:val="right"/>
              <w:rPr>
                <w:rFonts w:cs="Arial"/>
                <w:b/>
                <w:bCs/>
                <w:sz w:val="20"/>
                <w:szCs w:val="20"/>
                <w:lang w:eastAsia="en-NZ"/>
              </w:rPr>
            </w:pPr>
            <w:r>
              <w:rPr>
                <w:rFonts w:cs="Arial"/>
                <w:b/>
                <w:bCs/>
                <w:sz w:val="20"/>
                <w:szCs w:val="20"/>
                <w:lang w:eastAsia="en-NZ"/>
              </w:rPr>
              <w:t>(31)</w:t>
            </w:r>
          </w:p>
        </w:tc>
        <w:tc>
          <w:tcPr>
            <w:tcW w:w="1213" w:type="dxa"/>
            <w:tcBorders>
              <w:top w:val="single" w:sz="8" w:space="0" w:color="auto"/>
              <w:left w:val="nil"/>
              <w:bottom w:val="nil"/>
              <w:right w:val="nil"/>
            </w:tcBorders>
            <w:shd w:val="clear" w:color="auto" w:fill="auto"/>
            <w:noWrap/>
            <w:hideMark/>
          </w:tcPr>
          <w:p w:rsidR="00420F63" w:rsidRPr="000B4210" w:rsidRDefault="00420F63" w:rsidP="00420F63">
            <w:pPr>
              <w:spacing w:after="0" w:line="240" w:lineRule="auto"/>
              <w:jc w:val="right"/>
              <w:rPr>
                <w:rFonts w:cs="Arial"/>
                <w:b/>
                <w:bCs/>
                <w:sz w:val="20"/>
                <w:szCs w:val="20"/>
                <w:lang w:eastAsia="en-NZ"/>
              </w:rPr>
            </w:pPr>
            <w:r>
              <w:rPr>
                <w:rFonts w:cs="Arial"/>
                <w:b/>
                <w:bCs/>
                <w:sz w:val="20"/>
                <w:szCs w:val="20"/>
                <w:lang w:eastAsia="en-NZ"/>
              </w:rPr>
              <w:t>186</w:t>
            </w:r>
          </w:p>
        </w:tc>
        <w:tc>
          <w:tcPr>
            <w:tcW w:w="1213" w:type="dxa"/>
            <w:tcBorders>
              <w:top w:val="single" w:sz="8" w:space="0" w:color="auto"/>
              <w:left w:val="nil"/>
              <w:bottom w:val="nil"/>
              <w:right w:val="nil"/>
            </w:tcBorders>
          </w:tcPr>
          <w:p w:rsidR="00420F63" w:rsidRPr="000B4210" w:rsidRDefault="00420F63">
            <w:pPr>
              <w:spacing w:after="0" w:line="240" w:lineRule="auto"/>
              <w:jc w:val="right"/>
              <w:rPr>
                <w:rFonts w:cs="Arial"/>
                <w:b/>
                <w:bCs/>
                <w:sz w:val="20"/>
                <w:szCs w:val="20"/>
                <w:lang w:eastAsia="en-NZ"/>
              </w:rPr>
            </w:pPr>
            <w:r w:rsidRPr="000B4210">
              <w:rPr>
                <w:rFonts w:cs="Arial"/>
                <w:b/>
                <w:bCs/>
                <w:sz w:val="20"/>
                <w:szCs w:val="20"/>
                <w:lang w:eastAsia="en-NZ"/>
              </w:rPr>
              <w:t>(</w:t>
            </w:r>
            <w:r>
              <w:rPr>
                <w:rFonts w:cs="Arial"/>
                <w:b/>
                <w:bCs/>
                <w:sz w:val="20"/>
                <w:szCs w:val="20"/>
                <w:lang w:eastAsia="en-NZ"/>
              </w:rPr>
              <w:t>74</w:t>
            </w:r>
            <w:r w:rsidRPr="000B4210">
              <w:rPr>
                <w:rFonts w:cs="Arial"/>
                <w:b/>
                <w:bCs/>
                <w:sz w:val="20"/>
                <w:szCs w:val="20"/>
                <w:lang w:eastAsia="en-NZ"/>
              </w:rPr>
              <w:t>)</w:t>
            </w: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b/>
                <w:bCs/>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b/>
                <w:bCs/>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b/>
                <w:bCs/>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b/>
                <w:bCs/>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b/>
                <w:bCs/>
                <w:sz w:val="20"/>
                <w:szCs w:val="20"/>
                <w:lang w:eastAsia="en-NZ"/>
              </w:rPr>
            </w:pPr>
          </w:p>
        </w:tc>
        <w:tc>
          <w:tcPr>
            <w:tcW w:w="1213" w:type="dxa"/>
            <w:tcBorders>
              <w:top w:val="nil"/>
              <w:left w:val="nil"/>
              <w:bottom w:val="nil"/>
              <w:right w:val="nil"/>
            </w:tcBorders>
          </w:tcPr>
          <w:p w:rsidR="00420F63" w:rsidRPr="000B4210" w:rsidRDefault="00420F63" w:rsidP="00420F63">
            <w:pPr>
              <w:spacing w:after="0" w:line="240" w:lineRule="auto"/>
              <w:jc w:val="right"/>
              <w:rPr>
                <w:rFonts w:cs="Arial"/>
                <w:b/>
                <w:bCs/>
                <w:sz w:val="20"/>
                <w:szCs w:val="20"/>
                <w:lang w:eastAsia="en-NZ"/>
              </w:rPr>
            </w:pPr>
          </w:p>
        </w:tc>
      </w:tr>
      <w:tr w:rsidR="00420F63" w:rsidRPr="000B4210" w:rsidTr="00BF04EA">
        <w:trPr>
          <w:trHeight w:val="315"/>
        </w:trPr>
        <w:tc>
          <w:tcPr>
            <w:tcW w:w="3716" w:type="dxa"/>
            <w:tcBorders>
              <w:top w:val="nil"/>
              <w:left w:val="nil"/>
              <w:bottom w:val="nil"/>
              <w:right w:val="nil"/>
            </w:tcBorders>
            <w:shd w:val="clear" w:color="auto" w:fill="auto"/>
            <w:noWrap/>
            <w:hideMark/>
          </w:tcPr>
          <w:p w:rsidR="00420F63" w:rsidRPr="000B4210" w:rsidRDefault="00420F63" w:rsidP="00420F63">
            <w:pPr>
              <w:spacing w:after="0" w:line="240" w:lineRule="auto"/>
              <w:rPr>
                <w:rFonts w:cs="Arial"/>
                <w:b/>
                <w:bCs/>
                <w:sz w:val="20"/>
                <w:szCs w:val="20"/>
                <w:lang w:eastAsia="en-NZ"/>
              </w:rPr>
            </w:pPr>
            <w:r w:rsidRPr="000B4210">
              <w:rPr>
                <w:rFonts w:cs="Arial"/>
                <w:b/>
                <w:bCs/>
                <w:sz w:val="20"/>
                <w:szCs w:val="20"/>
                <w:lang w:eastAsia="en-NZ"/>
              </w:rPr>
              <w:t>Other comprehensive revenue</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w:t>
            </w: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w:t>
            </w:r>
          </w:p>
        </w:tc>
        <w:tc>
          <w:tcPr>
            <w:tcW w:w="1213" w:type="dxa"/>
            <w:tcBorders>
              <w:top w:val="nil"/>
              <w:left w:val="nil"/>
              <w:bottom w:val="nil"/>
              <w:right w:val="nil"/>
            </w:tcBorders>
          </w:tcPr>
          <w:p w:rsidR="00420F63" w:rsidRPr="000B4210" w:rsidRDefault="00420F63" w:rsidP="00420F63">
            <w:pPr>
              <w:spacing w:after="0" w:line="240" w:lineRule="auto"/>
              <w:jc w:val="right"/>
              <w:rPr>
                <w:rFonts w:cs="Arial"/>
                <w:sz w:val="20"/>
                <w:szCs w:val="20"/>
                <w:lang w:eastAsia="en-NZ"/>
              </w:rPr>
            </w:pPr>
            <w:r w:rsidRPr="000B4210">
              <w:rPr>
                <w:rFonts w:cs="Arial"/>
                <w:sz w:val="20"/>
                <w:szCs w:val="20"/>
                <w:lang w:eastAsia="en-NZ"/>
              </w:rPr>
              <w:t>-</w:t>
            </w:r>
          </w:p>
        </w:tc>
      </w:tr>
      <w:tr w:rsidR="00420F63" w:rsidRPr="000B4210" w:rsidTr="00BF04EA">
        <w:trPr>
          <w:trHeight w:val="330"/>
        </w:trPr>
        <w:tc>
          <w:tcPr>
            <w:tcW w:w="3716" w:type="dxa"/>
            <w:tcBorders>
              <w:top w:val="nil"/>
              <w:left w:val="nil"/>
              <w:bottom w:val="nil"/>
              <w:right w:val="nil"/>
            </w:tcBorders>
            <w:shd w:val="clear" w:color="auto" w:fill="auto"/>
            <w:hideMark/>
          </w:tcPr>
          <w:p w:rsidR="00420F63" w:rsidRPr="000B4210" w:rsidRDefault="00420F63" w:rsidP="00420F63">
            <w:pPr>
              <w:spacing w:after="0" w:line="240" w:lineRule="auto"/>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420F63" w:rsidRPr="000B4210" w:rsidRDefault="00420F63" w:rsidP="00420F63">
            <w:pPr>
              <w:spacing w:after="0" w:line="240" w:lineRule="auto"/>
              <w:jc w:val="right"/>
              <w:rPr>
                <w:rFonts w:cs="Arial"/>
                <w:sz w:val="20"/>
                <w:szCs w:val="20"/>
                <w:lang w:eastAsia="en-NZ"/>
              </w:rPr>
            </w:pPr>
          </w:p>
        </w:tc>
        <w:tc>
          <w:tcPr>
            <w:tcW w:w="1213" w:type="dxa"/>
            <w:tcBorders>
              <w:top w:val="nil"/>
              <w:left w:val="nil"/>
              <w:bottom w:val="nil"/>
              <w:right w:val="nil"/>
            </w:tcBorders>
          </w:tcPr>
          <w:p w:rsidR="00420F63" w:rsidRPr="000B4210" w:rsidRDefault="00420F63" w:rsidP="00420F63">
            <w:pPr>
              <w:spacing w:after="0" w:line="240" w:lineRule="auto"/>
              <w:jc w:val="right"/>
              <w:rPr>
                <w:rFonts w:cs="Arial"/>
                <w:sz w:val="20"/>
                <w:szCs w:val="20"/>
                <w:lang w:eastAsia="en-NZ"/>
              </w:rPr>
            </w:pPr>
          </w:p>
        </w:tc>
      </w:tr>
      <w:tr w:rsidR="00420F63" w:rsidRPr="000B4210" w:rsidTr="00BF04EA">
        <w:trPr>
          <w:trHeight w:val="380"/>
        </w:trPr>
        <w:tc>
          <w:tcPr>
            <w:tcW w:w="3716" w:type="dxa"/>
            <w:tcBorders>
              <w:top w:val="nil"/>
              <w:left w:val="nil"/>
              <w:bottom w:val="nil"/>
              <w:right w:val="nil"/>
            </w:tcBorders>
            <w:shd w:val="clear" w:color="auto" w:fill="auto"/>
            <w:hideMark/>
          </w:tcPr>
          <w:p w:rsidR="00420F63" w:rsidRPr="000B4210" w:rsidRDefault="00420F63" w:rsidP="00420F63">
            <w:pPr>
              <w:spacing w:after="0" w:line="240" w:lineRule="auto"/>
              <w:rPr>
                <w:rFonts w:cs="Arial"/>
                <w:b/>
                <w:bCs/>
                <w:sz w:val="20"/>
                <w:szCs w:val="20"/>
                <w:lang w:eastAsia="en-NZ"/>
              </w:rPr>
            </w:pPr>
            <w:r w:rsidRPr="000B4210">
              <w:rPr>
                <w:rFonts w:cs="Arial"/>
                <w:b/>
                <w:bCs/>
                <w:sz w:val="20"/>
                <w:szCs w:val="20"/>
                <w:lang w:eastAsia="en-NZ"/>
              </w:rPr>
              <w:t>Total comprehensive revenue and expense</w:t>
            </w:r>
          </w:p>
        </w:tc>
        <w:tc>
          <w:tcPr>
            <w:tcW w:w="1213" w:type="dxa"/>
            <w:tcBorders>
              <w:top w:val="single" w:sz="8" w:space="0" w:color="auto"/>
              <w:left w:val="nil"/>
              <w:bottom w:val="double" w:sz="6" w:space="0" w:color="auto"/>
              <w:right w:val="nil"/>
            </w:tcBorders>
            <w:shd w:val="clear" w:color="000000" w:fill="FFFF99"/>
            <w:noWrap/>
            <w:hideMark/>
          </w:tcPr>
          <w:p w:rsidR="00420F63" w:rsidRPr="000B4210" w:rsidRDefault="00790EFE" w:rsidP="00420F63">
            <w:pPr>
              <w:spacing w:after="0" w:line="240" w:lineRule="auto"/>
              <w:jc w:val="right"/>
              <w:rPr>
                <w:rFonts w:cs="Arial"/>
                <w:b/>
                <w:bCs/>
                <w:sz w:val="20"/>
                <w:szCs w:val="20"/>
                <w:lang w:eastAsia="en-NZ"/>
              </w:rPr>
            </w:pPr>
            <w:r>
              <w:rPr>
                <w:rFonts w:cs="Arial"/>
                <w:b/>
                <w:bCs/>
                <w:sz w:val="20"/>
                <w:szCs w:val="20"/>
                <w:lang w:eastAsia="en-NZ"/>
              </w:rPr>
              <w:t>336</w:t>
            </w:r>
          </w:p>
        </w:tc>
        <w:tc>
          <w:tcPr>
            <w:tcW w:w="1213" w:type="dxa"/>
            <w:tcBorders>
              <w:top w:val="single" w:sz="8" w:space="0" w:color="auto"/>
              <w:left w:val="nil"/>
              <w:bottom w:val="double" w:sz="6" w:space="0" w:color="auto"/>
              <w:right w:val="nil"/>
            </w:tcBorders>
            <w:shd w:val="clear" w:color="000000" w:fill="FFFF99"/>
            <w:noWrap/>
            <w:hideMark/>
          </w:tcPr>
          <w:p w:rsidR="00420F63" w:rsidRPr="000B4210" w:rsidRDefault="00790EFE" w:rsidP="00420F63">
            <w:pPr>
              <w:spacing w:after="0" w:line="240" w:lineRule="auto"/>
              <w:jc w:val="right"/>
              <w:rPr>
                <w:rFonts w:cs="Arial"/>
                <w:b/>
                <w:bCs/>
                <w:sz w:val="20"/>
                <w:szCs w:val="20"/>
                <w:lang w:eastAsia="en-NZ"/>
              </w:rPr>
            </w:pPr>
            <w:r>
              <w:rPr>
                <w:rFonts w:cs="Arial"/>
                <w:b/>
                <w:bCs/>
                <w:sz w:val="20"/>
                <w:szCs w:val="20"/>
                <w:lang w:eastAsia="en-NZ"/>
              </w:rPr>
              <w:t>(888)</w:t>
            </w:r>
          </w:p>
        </w:tc>
        <w:tc>
          <w:tcPr>
            <w:tcW w:w="1213" w:type="dxa"/>
            <w:tcBorders>
              <w:top w:val="single" w:sz="8" w:space="0" w:color="auto"/>
              <w:left w:val="nil"/>
              <w:bottom w:val="double" w:sz="6" w:space="0" w:color="auto"/>
              <w:right w:val="nil"/>
            </w:tcBorders>
            <w:shd w:val="clear" w:color="000000" w:fill="FFFF99"/>
            <w:noWrap/>
            <w:hideMark/>
          </w:tcPr>
          <w:p w:rsidR="00420F63" w:rsidRPr="000B4210" w:rsidRDefault="00790EFE" w:rsidP="00420F63">
            <w:pPr>
              <w:spacing w:after="0" w:line="240" w:lineRule="auto"/>
              <w:jc w:val="right"/>
              <w:rPr>
                <w:rFonts w:cs="Arial"/>
                <w:b/>
                <w:bCs/>
                <w:sz w:val="20"/>
                <w:szCs w:val="20"/>
                <w:lang w:eastAsia="en-NZ"/>
              </w:rPr>
            </w:pPr>
            <w:r>
              <w:rPr>
                <w:rFonts w:cs="Arial"/>
                <w:b/>
                <w:bCs/>
                <w:sz w:val="20"/>
                <w:szCs w:val="20"/>
                <w:lang w:eastAsia="en-NZ"/>
              </w:rPr>
              <w:t>(31)</w:t>
            </w:r>
          </w:p>
        </w:tc>
        <w:tc>
          <w:tcPr>
            <w:tcW w:w="1213" w:type="dxa"/>
            <w:tcBorders>
              <w:top w:val="single" w:sz="8" w:space="0" w:color="auto"/>
              <w:left w:val="nil"/>
              <w:bottom w:val="double" w:sz="6" w:space="0" w:color="auto"/>
              <w:right w:val="nil"/>
            </w:tcBorders>
            <w:shd w:val="clear" w:color="000000" w:fill="FFFF99"/>
            <w:noWrap/>
            <w:hideMark/>
          </w:tcPr>
          <w:p w:rsidR="00420F63" w:rsidRPr="000B4210" w:rsidRDefault="00790EFE" w:rsidP="00420F63">
            <w:pPr>
              <w:spacing w:after="0" w:line="240" w:lineRule="auto"/>
              <w:jc w:val="right"/>
              <w:rPr>
                <w:rFonts w:cs="Arial"/>
                <w:b/>
                <w:bCs/>
                <w:sz w:val="20"/>
                <w:szCs w:val="20"/>
                <w:lang w:eastAsia="en-NZ"/>
              </w:rPr>
            </w:pPr>
            <w:r>
              <w:rPr>
                <w:rFonts w:cs="Arial"/>
                <w:b/>
                <w:bCs/>
                <w:sz w:val="20"/>
                <w:szCs w:val="20"/>
                <w:lang w:eastAsia="en-NZ"/>
              </w:rPr>
              <w:t>186</w:t>
            </w:r>
          </w:p>
        </w:tc>
        <w:tc>
          <w:tcPr>
            <w:tcW w:w="1213" w:type="dxa"/>
            <w:tcBorders>
              <w:top w:val="single" w:sz="8" w:space="0" w:color="auto"/>
              <w:left w:val="nil"/>
              <w:bottom w:val="double" w:sz="6" w:space="0" w:color="auto"/>
              <w:right w:val="nil"/>
            </w:tcBorders>
            <w:shd w:val="clear" w:color="000000" w:fill="FFFF99"/>
          </w:tcPr>
          <w:p w:rsidR="00420F63" w:rsidRPr="000B4210" w:rsidRDefault="00420F63">
            <w:pPr>
              <w:spacing w:after="0" w:line="240" w:lineRule="auto"/>
              <w:jc w:val="right"/>
              <w:rPr>
                <w:rFonts w:cs="Arial"/>
                <w:b/>
                <w:bCs/>
                <w:sz w:val="20"/>
                <w:szCs w:val="20"/>
                <w:lang w:eastAsia="en-NZ"/>
              </w:rPr>
            </w:pPr>
            <w:r w:rsidRPr="000B4210">
              <w:rPr>
                <w:rFonts w:cs="Arial"/>
                <w:b/>
                <w:bCs/>
                <w:sz w:val="20"/>
                <w:szCs w:val="20"/>
                <w:lang w:eastAsia="en-NZ"/>
              </w:rPr>
              <w:t>(</w:t>
            </w:r>
            <w:r w:rsidR="00790EFE">
              <w:rPr>
                <w:rFonts w:cs="Arial"/>
                <w:b/>
                <w:bCs/>
                <w:sz w:val="20"/>
                <w:szCs w:val="20"/>
                <w:lang w:eastAsia="en-NZ"/>
              </w:rPr>
              <w:t>74</w:t>
            </w:r>
            <w:r w:rsidRPr="000B4210">
              <w:rPr>
                <w:rFonts w:cs="Arial"/>
                <w:b/>
                <w:bCs/>
                <w:sz w:val="20"/>
                <w:szCs w:val="20"/>
                <w:lang w:eastAsia="en-NZ"/>
              </w:rPr>
              <w:t>)</w:t>
            </w:r>
          </w:p>
        </w:tc>
      </w:tr>
      <w:tr w:rsidR="00346271" w:rsidRPr="000B4210" w:rsidTr="00BF04EA">
        <w:trPr>
          <w:trHeight w:val="330"/>
        </w:trPr>
        <w:tc>
          <w:tcPr>
            <w:tcW w:w="3716"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p>
        </w:tc>
        <w:tc>
          <w:tcPr>
            <w:tcW w:w="1213"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213"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213"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bl>
    <w:p w:rsidR="00346271" w:rsidRPr="000B4210" w:rsidRDefault="00346271" w:rsidP="00346271">
      <w:pPr>
        <w:spacing w:after="0" w:line="240" w:lineRule="auto"/>
      </w:pPr>
      <w:r w:rsidRPr="000B4210">
        <w:br w:type="page"/>
      </w:r>
    </w:p>
    <w:p w:rsidR="00346271" w:rsidRPr="000B4210" w:rsidRDefault="00346271" w:rsidP="00346271">
      <w:pPr>
        <w:pStyle w:val="Heading3"/>
        <w:rPr>
          <w:rFonts w:cs="Arial"/>
          <w:b w:val="0"/>
          <w:sz w:val="28"/>
          <w:szCs w:val="28"/>
        </w:rPr>
      </w:pPr>
      <w:bookmarkStart w:id="9" w:name="_Toc390680428"/>
      <w:r w:rsidRPr="000B4210">
        <w:rPr>
          <w:rFonts w:cs="Arial"/>
          <w:b w:val="0"/>
          <w:sz w:val="28"/>
          <w:szCs w:val="28"/>
        </w:rPr>
        <w:lastRenderedPageBreak/>
        <w:t>Forecast Statement of Financial Position</w:t>
      </w:r>
      <w:bookmarkEnd w:id="9"/>
    </w:p>
    <w:tbl>
      <w:tblPr>
        <w:tblW w:w="9838" w:type="dxa"/>
        <w:tblInd w:w="108" w:type="dxa"/>
        <w:tblLayout w:type="fixed"/>
        <w:tblLook w:val="04A0" w:firstRow="1" w:lastRow="0" w:firstColumn="1" w:lastColumn="0" w:noHBand="0" w:noVBand="1"/>
      </w:tblPr>
      <w:tblGrid>
        <w:gridCol w:w="3261"/>
        <w:gridCol w:w="1315"/>
        <w:gridCol w:w="1315"/>
        <w:gridCol w:w="1316"/>
        <w:gridCol w:w="1315"/>
        <w:gridCol w:w="1316"/>
      </w:tblGrid>
      <w:tr w:rsidR="00346271" w:rsidRPr="000B4210" w:rsidTr="00BF04EA">
        <w:trPr>
          <w:trHeight w:val="630"/>
        </w:trPr>
        <w:tc>
          <w:tcPr>
            <w:tcW w:w="3261"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lang w:eastAsia="en-NZ"/>
              </w:rPr>
            </w:pPr>
            <w:r w:rsidRPr="000B4210">
              <w:rPr>
                <w:rFonts w:cs="Arial"/>
                <w:b/>
                <w:bCs/>
                <w:lang w:eastAsia="en-NZ"/>
              </w:rPr>
              <w:t> </w:t>
            </w:r>
          </w:p>
        </w:tc>
        <w:tc>
          <w:tcPr>
            <w:tcW w:w="1315"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Estimated Actual</w:t>
            </w:r>
          </w:p>
        </w:tc>
        <w:tc>
          <w:tcPr>
            <w:tcW w:w="1315"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c>
          <w:tcPr>
            <w:tcW w:w="1316"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c>
          <w:tcPr>
            <w:tcW w:w="1315"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c>
          <w:tcPr>
            <w:tcW w:w="1316" w:type="dxa"/>
            <w:tcBorders>
              <w:top w:val="nil"/>
              <w:left w:val="nil"/>
              <w:bottom w:val="nil"/>
              <w:right w:val="nil"/>
            </w:tcBorders>
            <w:shd w:val="clear" w:color="000000" w:fill="C0C0C0"/>
            <w:vAlign w:val="bottom"/>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r>
      <w:tr w:rsidR="00346271" w:rsidRPr="000B4210" w:rsidTr="00BF04EA">
        <w:trPr>
          <w:trHeight w:val="315"/>
        </w:trPr>
        <w:tc>
          <w:tcPr>
            <w:tcW w:w="3261"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lang w:eastAsia="en-NZ"/>
              </w:rPr>
            </w:pPr>
            <w:r w:rsidRPr="000B4210">
              <w:rPr>
                <w:rFonts w:cs="Arial"/>
                <w:b/>
                <w:bCs/>
                <w:lang w:eastAsia="en-NZ"/>
              </w:rPr>
              <w:t> </w:t>
            </w:r>
          </w:p>
        </w:tc>
        <w:tc>
          <w:tcPr>
            <w:tcW w:w="1315"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2015/16</w:t>
            </w:r>
          </w:p>
        </w:tc>
        <w:tc>
          <w:tcPr>
            <w:tcW w:w="1315"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2016/17</w:t>
            </w:r>
          </w:p>
        </w:tc>
        <w:tc>
          <w:tcPr>
            <w:tcW w:w="1316"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2017/18</w:t>
            </w:r>
          </w:p>
        </w:tc>
        <w:tc>
          <w:tcPr>
            <w:tcW w:w="1315"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2018/19</w:t>
            </w:r>
          </w:p>
        </w:tc>
        <w:tc>
          <w:tcPr>
            <w:tcW w:w="1316" w:type="dxa"/>
            <w:tcBorders>
              <w:top w:val="nil"/>
              <w:left w:val="nil"/>
              <w:bottom w:val="nil"/>
              <w:right w:val="nil"/>
            </w:tcBorders>
            <w:shd w:val="clear" w:color="000000" w:fill="C0C0C0"/>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2019/20</w:t>
            </w:r>
          </w:p>
        </w:tc>
      </w:tr>
      <w:tr w:rsidR="00346271" w:rsidRPr="000B4210" w:rsidTr="00BF04EA">
        <w:trPr>
          <w:trHeight w:val="315"/>
        </w:trPr>
        <w:tc>
          <w:tcPr>
            <w:tcW w:w="3261" w:type="dxa"/>
            <w:tcBorders>
              <w:top w:val="nil"/>
              <w:left w:val="nil"/>
              <w:bottom w:val="nil"/>
              <w:right w:val="nil"/>
            </w:tcBorders>
            <w:shd w:val="clear" w:color="000000" w:fill="C0C0C0"/>
            <w:noWrap/>
            <w:hideMark/>
          </w:tcPr>
          <w:p w:rsidR="00346271" w:rsidRPr="000B4210" w:rsidRDefault="00346271" w:rsidP="00BF04EA">
            <w:pPr>
              <w:spacing w:after="0" w:line="240" w:lineRule="auto"/>
              <w:jc w:val="center"/>
              <w:rPr>
                <w:rFonts w:cs="Arial"/>
                <w:lang w:eastAsia="en-NZ"/>
              </w:rPr>
            </w:pPr>
            <w:r w:rsidRPr="000B4210">
              <w:rPr>
                <w:rFonts w:cs="Arial"/>
                <w:lang w:eastAsia="en-NZ"/>
              </w:rPr>
              <w:t> </w:t>
            </w:r>
          </w:p>
        </w:tc>
        <w:tc>
          <w:tcPr>
            <w:tcW w:w="1315"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c>
          <w:tcPr>
            <w:tcW w:w="1315"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c>
          <w:tcPr>
            <w:tcW w:w="1316"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c>
          <w:tcPr>
            <w:tcW w:w="1315"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c>
          <w:tcPr>
            <w:tcW w:w="1316" w:type="dxa"/>
            <w:tcBorders>
              <w:top w:val="nil"/>
              <w:left w:val="nil"/>
              <w:bottom w:val="nil"/>
              <w:right w:val="nil"/>
            </w:tcBorders>
            <w:shd w:val="clear" w:color="000000" w:fill="C0C0C0"/>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jc w:val="center"/>
              <w:rPr>
                <w:rFonts w:cs="Arial"/>
                <w:b/>
                <w:bCs/>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7923F8">
            <w:pPr>
              <w:spacing w:after="0" w:line="240" w:lineRule="auto"/>
              <w:ind w:firstLineChars="100" w:firstLine="201"/>
              <w:jc w:val="right"/>
              <w:rPr>
                <w:rFonts w:cs="Arial"/>
                <w:b/>
                <w:bCs/>
                <w:sz w:val="20"/>
                <w:szCs w:val="20"/>
                <w:lang w:eastAsia="en-NZ"/>
              </w:rPr>
            </w:pPr>
          </w:p>
        </w:tc>
        <w:tc>
          <w:tcPr>
            <w:tcW w:w="1316" w:type="dxa"/>
            <w:tcBorders>
              <w:top w:val="nil"/>
              <w:left w:val="nil"/>
              <w:bottom w:val="nil"/>
              <w:right w:val="nil"/>
            </w:tcBorders>
          </w:tcPr>
          <w:p w:rsidR="00346271" w:rsidRPr="000B4210" w:rsidRDefault="00346271" w:rsidP="007923F8">
            <w:pPr>
              <w:spacing w:after="0" w:line="240" w:lineRule="auto"/>
              <w:ind w:firstLineChars="100" w:firstLine="201"/>
              <w:jc w:val="right"/>
              <w:rPr>
                <w:rFonts w:cs="Arial"/>
                <w:b/>
                <w:bCs/>
                <w:sz w:val="20"/>
                <w:szCs w:val="20"/>
                <w:lang w:eastAsia="en-NZ"/>
              </w:rPr>
            </w:pP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Equity</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r w:rsidR="00346271" w:rsidRPr="000B4210" w:rsidTr="00BF04EA">
        <w:trPr>
          <w:trHeight w:val="330"/>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Accumulated funds</w:t>
            </w:r>
          </w:p>
        </w:tc>
        <w:tc>
          <w:tcPr>
            <w:tcW w:w="1315"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2,476</w:t>
            </w:r>
          </w:p>
        </w:tc>
        <w:tc>
          <w:tcPr>
            <w:tcW w:w="1315"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1,588</w:t>
            </w:r>
          </w:p>
        </w:tc>
        <w:tc>
          <w:tcPr>
            <w:tcW w:w="1316" w:type="dxa"/>
            <w:tcBorders>
              <w:top w:val="nil"/>
              <w:left w:val="nil"/>
              <w:bottom w:val="nil"/>
              <w:right w:val="nil"/>
            </w:tcBorders>
            <w:shd w:val="clear" w:color="auto" w:fill="auto"/>
            <w:noWrap/>
            <w:hideMark/>
          </w:tcPr>
          <w:p w:rsidR="00346271" w:rsidRPr="000B4210" w:rsidRDefault="00346271">
            <w:pPr>
              <w:spacing w:after="0" w:line="240" w:lineRule="auto"/>
              <w:jc w:val="right"/>
              <w:rPr>
                <w:rFonts w:cs="Arial"/>
                <w:sz w:val="20"/>
                <w:szCs w:val="20"/>
                <w:lang w:eastAsia="en-NZ"/>
              </w:rPr>
            </w:pPr>
            <w:r w:rsidRPr="000B4210">
              <w:rPr>
                <w:rFonts w:cs="Arial"/>
                <w:sz w:val="20"/>
                <w:szCs w:val="20"/>
                <w:lang w:eastAsia="en-NZ"/>
              </w:rPr>
              <w:t>1,</w:t>
            </w:r>
            <w:r w:rsidR="00420F63">
              <w:rPr>
                <w:rFonts w:cs="Arial"/>
                <w:sz w:val="20"/>
                <w:szCs w:val="20"/>
                <w:lang w:eastAsia="en-NZ"/>
              </w:rPr>
              <w:t>5</w:t>
            </w:r>
            <w:r w:rsidR="00337F3B">
              <w:rPr>
                <w:rFonts w:cs="Arial"/>
                <w:sz w:val="20"/>
                <w:szCs w:val="20"/>
                <w:lang w:eastAsia="en-NZ"/>
              </w:rPr>
              <w:t>57</w:t>
            </w:r>
          </w:p>
        </w:tc>
        <w:tc>
          <w:tcPr>
            <w:tcW w:w="1315" w:type="dxa"/>
            <w:tcBorders>
              <w:top w:val="nil"/>
              <w:left w:val="nil"/>
              <w:bottom w:val="nil"/>
              <w:right w:val="nil"/>
            </w:tcBorders>
            <w:shd w:val="clear" w:color="auto" w:fill="auto"/>
            <w:noWrap/>
            <w:hideMark/>
          </w:tcPr>
          <w:p w:rsidR="00346271" w:rsidRPr="000B4210" w:rsidRDefault="00346271">
            <w:pPr>
              <w:spacing w:after="0" w:line="240" w:lineRule="auto"/>
              <w:jc w:val="right"/>
              <w:rPr>
                <w:rFonts w:cs="Arial"/>
                <w:sz w:val="20"/>
                <w:szCs w:val="20"/>
                <w:lang w:eastAsia="en-NZ"/>
              </w:rPr>
            </w:pPr>
            <w:r w:rsidRPr="000B4210">
              <w:rPr>
                <w:rFonts w:cs="Arial"/>
                <w:sz w:val="20"/>
                <w:szCs w:val="20"/>
                <w:lang w:eastAsia="en-NZ"/>
              </w:rPr>
              <w:t>1,</w:t>
            </w:r>
            <w:r w:rsidR="00337F3B">
              <w:rPr>
                <w:rFonts w:cs="Arial"/>
                <w:sz w:val="20"/>
                <w:szCs w:val="20"/>
                <w:lang w:eastAsia="en-NZ"/>
              </w:rPr>
              <w:t>743</w:t>
            </w:r>
          </w:p>
        </w:tc>
        <w:tc>
          <w:tcPr>
            <w:tcW w:w="1316" w:type="dxa"/>
            <w:tcBorders>
              <w:top w:val="nil"/>
              <w:left w:val="nil"/>
              <w:bottom w:val="nil"/>
              <w:right w:val="nil"/>
            </w:tcBorders>
          </w:tcPr>
          <w:p w:rsidR="00346271" w:rsidRPr="000B4210" w:rsidRDefault="00346271">
            <w:pPr>
              <w:spacing w:after="0" w:line="240" w:lineRule="auto"/>
              <w:jc w:val="right"/>
              <w:rPr>
                <w:rFonts w:cs="Arial"/>
                <w:sz w:val="20"/>
                <w:szCs w:val="20"/>
                <w:lang w:eastAsia="en-NZ"/>
              </w:rPr>
            </w:pPr>
            <w:r w:rsidRPr="000B4210">
              <w:rPr>
                <w:rFonts w:cs="Arial"/>
                <w:sz w:val="20"/>
                <w:szCs w:val="20"/>
                <w:lang w:eastAsia="en-NZ"/>
              </w:rPr>
              <w:t>1</w:t>
            </w:r>
            <w:r w:rsidR="00337F3B">
              <w:rPr>
                <w:rFonts w:cs="Arial"/>
                <w:sz w:val="20"/>
                <w:szCs w:val="20"/>
                <w:lang w:eastAsia="en-NZ"/>
              </w:rPr>
              <w:t>,669</w:t>
            </w:r>
          </w:p>
        </w:tc>
      </w:tr>
      <w:tr w:rsidR="00346271" w:rsidRPr="000B4210" w:rsidTr="00BF04EA">
        <w:trPr>
          <w:trHeight w:val="330"/>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Total equity</w:t>
            </w:r>
          </w:p>
        </w:tc>
        <w:tc>
          <w:tcPr>
            <w:tcW w:w="1315" w:type="dxa"/>
            <w:tcBorders>
              <w:top w:val="single" w:sz="8" w:space="0" w:color="auto"/>
              <w:left w:val="nil"/>
              <w:bottom w:val="double" w:sz="6" w:space="0" w:color="auto"/>
              <w:right w:val="nil"/>
            </w:tcBorders>
            <w:shd w:val="clear" w:color="000000" w:fill="FFFF99"/>
            <w:noWrap/>
            <w:hideMark/>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2,476</w:t>
            </w:r>
          </w:p>
        </w:tc>
        <w:tc>
          <w:tcPr>
            <w:tcW w:w="1315" w:type="dxa"/>
            <w:tcBorders>
              <w:top w:val="single" w:sz="8" w:space="0" w:color="auto"/>
              <w:left w:val="nil"/>
              <w:bottom w:val="double" w:sz="6" w:space="0" w:color="auto"/>
              <w:right w:val="nil"/>
            </w:tcBorders>
            <w:shd w:val="clear" w:color="000000" w:fill="FFFF99"/>
            <w:noWrap/>
            <w:hideMark/>
          </w:tcPr>
          <w:p w:rsidR="00346271" w:rsidRPr="000B4210" w:rsidRDefault="00346271">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588</w:t>
            </w:r>
          </w:p>
        </w:tc>
        <w:tc>
          <w:tcPr>
            <w:tcW w:w="1316" w:type="dxa"/>
            <w:tcBorders>
              <w:top w:val="single" w:sz="8" w:space="0" w:color="auto"/>
              <w:left w:val="nil"/>
              <w:bottom w:val="double" w:sz="6" w:space="0" w:color="auto"/>
              <w:right w:val="nil"/>
            </w:tcBorders>
            <w:shd w:val="clear" w:color="000000" w:fill="FFFF99"/>
            <w:noWrap/>
            <w:hideMark/>
          </w:tcPr>
          <w:p w:rsidR="00346271" w:rsidRPr="000B4210" w:rsidRDefault="00346271">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557</w:t>
            </w:r>
          </w:p>
        </w:tc>
        <w:tc>
          <w:tcPr>
            <w:tcW w:w="1315" w:type="dxa"/>
            <w:tcBorders>
              <w:top w:val="single" w:sz="8" w:space="0" w:color="auto"/>
              <w:left w:val="nil"/>
              <w:bottom w:val="double" w:sz="6" w:space="0" w:color="auto"/>
              <w:right w:val="nil"/>
            </w:tcBorders>
            <w:shd w:val="clear" w:color="000000" w:fill="FFFF99"/>
            <w:noWrap/>
            <w:hideMark/>
          </w:tcPr>
          <w:p w:rsidR="00346271" w:rsidRPr="000B4210" w:rsidRDefault="00346271">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743</w:t>
            </w:r>
          </w:p>
        </w:tc>
        <w:tc>
          <w:tcPr>
            <w:tcW w:w="1316" w:type="dxa"/>
            <w:tcBorders>
              <w:top w:val="single" w:sz="8" w:space="0" w:color="auto"/>
              <w:left w:val="nil"/>
              <w:bottom w:val="double" w:sz="6" w:space="0" w:color="auto"/>
              <w:right w:val="nil"/>
            </w:tcBorders>
            <w:shd w:val="clear" w:color="000000" w:fill="FFFF99"/>
          </w:tcPr>
          <w:p w:rsidR="00346271" w:rsidRPr="000B4210" w:rsidRDefault="00346271">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669</w:t>
            </w:r>
          </w:p>
        </w:tc>
      </w:tr>
      <w:tr w:rsidR="00346271" w:rsidRPr="000B4210" w:rsidTr="00BF04EA">
        <w:trPr>
          <w:trHeight w:val="330"/>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Current assets</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Cash and cash equivalents</w:t>
            </w:r>
          </w:p>
        </w:tc>
        <w:tc>
          <w:tcPr>
            <w:tcW w:w="1315"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426</w:t>
            </w:r>
          </w:p>
        </w:tc>
        <w:tc>
          <w:tcPr>
            <w:tcW w:w="1315"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384</w:t>
            </w:r>
          </w:p>
        </w:tc>
        <w:tc>
          <w:tcPr>
            <w:tcW w:w="1316"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526</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8</w:t>
            </w:r>
            <w:r w:rsidR="00337F3B">
              <w:rPr>
                <w:rFonts w:cs="Arial"/>
                <w:sz w:val="20"/>
                <w:szCs w:val="20"/>
                <w:lang w:eastAsia="en-NZ"/>
              </w:rPr>
              <w:t>44</w:t>
            </w:r>
          </w:p>
        </w:tc>
        <w:tc>
          <w:tcPr>
            <w:tcW w:w="1316" w:type="dxa"/>
            <w:tcBorders>
              <w:top w:val="nil"/>
              <w:left w:val="nil"/>
              <w:bottom w:val="nil"/>
              <w:right w:val="nil"/>
            </w:tcBorders>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938</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Short-term deposits</w:t>
            </w:r>
          </w:p>
        </w:tc>
        <w:tc>
          <w:tcPr>
            <w:tcW w:w="1315"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2,400</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1,000</w:t>
            </w: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1,000</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1,000</w:t>
            </w: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1,000</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Receivables</w:t>
            </w:r>
          </w:p>
        </w:tc>
        <w:tc>
          <w:tcPr>
            <w:tcW w:w="1315"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76</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23</w:t>
            </w: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23</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23</w:t>
            </w: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23</w:t>
            </w:r>
          </w:p>
        </w:tc>
      </w:tr>
      <w:tr w:rsidR="00346271" w:rsidRPr="000B4210" w:rsidTr="00BF04EA">
        <w:trPr>
          <w:trHeight w:val="330"/>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Prepayments</w:t>
            </w:r>
          </w:p>
        </w:tc>
        <w:tc>
          <w:tcPr>
            <w:tcW w:w="1315"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57</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57</w:t>
            </w: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57</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57</w:t>
            </w: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57</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Total current assets</w:t>
            </w:r>
          </w:p>
        </w:tc>
        <w:tc>
          <w:tcPr>
            <w:tcW w:w="1315" w:type="dxa"/>
            <w:tcBorders>
              <w:top w:val="single" w:sz="8" w:space="0" w:color="auto"/>
              <w:left w:val="nil"/>
              <w:bottom w:val="nil"/>
              <w:right w:val="nil"/>
            </w:tcBorders>
            <w:shd w:val="clear" w:color="auto" w:fill="auto"/>
            <w:noWrap/>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2,959</w:t>
            </w:r>
          </w:p>
        </w:tc>
        <w:tc>
          <w:tcPr>
            <w:tcW w:w="1315" w:type="dxa"/>
            <w:tcBorders>
              <w:top w:val="single" w:sz="8" w:space="0" w:color="auto"/>
              <w:left w:val="nil"/>
              <w:bottom w:val="nil"/>
              <w:right w:val="nil"/>
            </w:tcBorders>
            <w:shd w:val="clear" w:color="auto" w:fill="auto"/>
            <w:noWrap/>
            <w:hideMark/>
          </w:tcPr>
          <w:p w:rsidR="00346271" w:rsidRPr="000B4210" w:rsidRDefault="00346271">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464</w:t>
            </w:r>
          </w:p>
        </w:tc>
        <w:tc>
          <w:tcPr>
            <w:tcW w:w="1316" w:type="dxa"/>
            <w:tcBorders>
              <w:top w:val="single" w:sz="8" w:space="0" w:color="auto"/>
              <w:left w:val="nil"/>
              <w:bottom w:val="nil"/>
              <w:right w:val="nil"/>
            </w:tcBorders>
            <w:shd w:val="clear" w:color="auto" w:fill="auto"/>
            <w:noWrap/>
            <w:hideMark/>
          </w:tcPr>
          <w:p w:rsidR="00346271" w:rsidRPr="000B4210" w:rsidRDefault="00346271">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606</w:t>
            </w:r>
          </w:p>
        </w:tc>
        <w:tc>
          <w:tcPr>
            <w:tcW w:w="1315" w:type="dxa"/>
            <w:tcBorders>
              <w:top w:val="single" w:sz="8" w:space="0" w:color="auto"/>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,92</w:t>
            </w:r>
            <w:r w:rsidRPr="000B4210">
              <w:rPr>
                <w:rFonts w:cs="Arial"/>
                <w:b/>
                <w:bCs/>
                <w:sz w:val="20"/>
                <w:szCs w:val="20"/>
                <w:lang w:eastAsia="en-NZ"/>
              </w:rPr>
              <w:t>4</w:t>
            </w:r>
          </w:p>
        </w:tc>
        <w:tc>
          <w:tcPr>
            <w:tcW w:w="1316" w:type="dxa"/>
            <w:tcBorders>
              <w:top w:val="single" w:sz="8" w:space="0" w:color="auto"/>
              <w:left w:val="nil"/>
              <w:bottom w:val="nil"/>
              <w:right w:val="nil"/>
            </w:tcBorders>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2,018</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p>
        </w:tc>
        <w:tc>
          <w:tcPr>
            <w:tcW w:w="1315"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Current liabilities</w:t>
            </w:r>
          </w:p>
        </w:tc>
        <w:tc>
          <w:tcPr>
            <w:tcW w:w="1315"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Payables</w:t>
            </w:r>
          </w:p>
        </w:tc>
        <w:tc>
          <w:tcPr>
            <w:tcW w:w="1315" w:type="dxa"/>
            <w:tcBorders>
              <w:top w:val="nil"/>
              <w:left w:val="nil"/>
              <w:bottom w:val="nil"/>
              <w:right w:val="nil"/>
            </w:tcBorders>
            <w:shd w:val="clear" w:color="auto" w:fill="auto"/>
            <w:noWrap/>
          </w:tcPr>
          <w:p w:rsidR="00346271" w:rsidRPr="000B4210" w:rsidRDefault="00337F3B">
            <w:pPr>
              <w:spacing w:after="0" w:line="240" w:lineRule="auto"/>
              <w:jc w:val="right"/>
              <w:rPr>
                <w:rFonts w:cs="Arial"/>
                <w:sz w:val="20"/>
                <w:szCs w:val="20"/>
                <w:lang w:eastAsia="en-NZ"/>
              </w:rPr>
            </w:pPr>
            <w:r>
              <w:rPr>
                <w:rFonts w:cs="Arial"/>
                <w:sz w:val="20"/>
                <w:szCs w:val="20"/>
                <w:lang w:eastAsia="en-NZ"/>
              </w:rPr>
              <w:t>45</w:t>
            </w:r>
            <w:r w:rsidR="00790EFE">
              <w:rPr>
                <w:rFonts w:cs="Arial"/>
                <w:sz w:val="20"/>
                <w:szCs w:val="20"/>
                <w:lang w:eastAsia="en-NZ"/>
              </w:rPr>
              <w:t>2</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282</w:t>
            </w: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282</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28</w:t>
            </w:r>
            <w:r w:rsidR="00337F3B">
              <w:rPr>
                <w:rFonts w:cs="Arial"/>
                <w:sz w:val="20"/>
                <w:szCs w:val="20"/>
                <w:lang w:eastAsia="en-NZ"/>
              </w:rPr>
              <w:t>1</w:t>
            </w:r>
          </w:p>
        </w:tc>
        <w:tc>
          <w:tcPr>
            <w:tcW w:w="1316" w:type="dxa"/>
            <w:tcBorders>
              <w:top w:val="nil"/>
              <w:left w:val="nil"/>
              <w:bottom w:val="nil"/>
              <w:right w:val="nil"/>
            </w:tcBorders>
          </w:tcPr>
          <w:p w:rsidR="00346271" w:rsidRPr="000B4210" w:rsidRDefault="00346271">
            <w:pPr>
              <w:spacing w:after="0" w:line="240" w:lineRule="auto"/>
              <w:jc w:val="right"/>
              <w:rPr>
                <w:rFonts w:cs="Arial"/>
                <w:sz w:val="20"/>
                <w:szCs w:val="20"/>
                <w:lang w:eastAsia="en-NZ"/>
              </w:rPr>
            </w:pPr>
            <w:r w:rsidRPr="000B4210">
              <w:rPr>
                <w:rFonts w:cs="Arial"/>
                <w:sz w:val="20"/>
                <w:szCs w:val="20"/>
                <w:lang w:eastAsia="en-NZ"/>
              </w:rPr>
              <w:t>28</w:t>
            </w:r>
            <w:r w:rsidR="00790EFE">
              <w:rPr>
                <w:rFonts w:cs="Arial"/>
                <w:sz w:val="20"/>
                <w:szCs w:val="20"/>
                <w:lang w:eastAsia="en-NZ"/>
              </w:rPr>
              <w:t>2</w:t>
            </w:r>
          </w:p>
        </w:tc>
      </w:tr>
      <w:tr w:rsidR="00346271" w:rsidRPr="000B4210" w:rsidTr="00BF04EA">
        <w:trPr>
          <w:trHeight w:val="330"/>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GST payable</w:t>
            </w:r>
          </w:p>
        </w:tc>
        <w:tc>
          <w:tcPr>
            <w:tcW w:w="1315"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160</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160</w:t>
            </w: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160</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160</w:t>
            </w: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160</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Employee entitlements</w:t>
            </w:r>
          </w:p>
        </w:tc>
        <w:tc>
          <w:tcPr>
            <w:tcW w:w="1315"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379</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4</w:t>
            </w:r>
            <w:r w:rsidR="00337F3B">
              <w:rPr>
                <w:rFonts w:cs="Arial"/>
                <w:sz w:val="20"/>
                <w:szCs w:val="20"/>
                <w:lang w:eastAsia="en-NZ"/>
              </w:rPr>
              <w:t>01</w:t>
            </w: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43</w:t>
            </w:r>
            <w:r w:rsidR="00337F3B">
              <w:rPr>
                <w:rFonts w:cs="Arial"/>
                <w:sz w:val="20"/>
                <w:szCs w:val="20"/>
                <w:lang w:eastAsia="en-NZ"/>
              </w:rPr>
              <w:t>1</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443</w:t>
            </w: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501</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Total current liabilities</w:t>
            </w:r>
          </w:p>
        </w:tc>
        <w:tc>
          <w:tcPr>
            <w:tcW w:w="1315" w:type="dxa"/>
            <w:tcBorders>
              <w:top w:val="single" w:sz="8" w:space="0" w:color="auto"/>
              <w:left w:val="nil"/>
              <w:bottom w:val="nil"/>
              <w:right w:val="nil"/>
            </w:tcBorders>
            <w:shd w:val="clear" w:color="auto" w:fill="auto"/>
            <w:noWrap/>
          </w:tcPr>
          <w:p w:rsidR="00346271" w:rsidRPr="000B4210" w:rsidRDefault="00452ACA">
            <w:pPr>
              <w:spacing w:after="0" w:line="240" w:lineRule="auto"/>
              <w:jc w:val="right"/>
              <w:rPr>
                <w:rFonts w:cs="Arial"/>
                <w:b/>
                <w:bCs/>
                <w:sz w:val="20"/>
                <w:szCs w:val="20"/>
                <w:lang w:eastAsia="en-NZ"/>
              </w:rPr>
            </w:pPr>
            <w:r>
              <w:rPr>
                <w:rFonts w:cs="Arial"/>
                <w:b/>
                <w:bCs/>
                <w:sz w:val="20"/>
                <w:szCs w:val="20"/>
                <w:lang w:eastAsia="en-NZ"/>
              </w:rPr>
              <w:t>99</w:t>
            </w:r>
            <w:r w:rsidR="00790EFE">
              <w:rPr>
                <w:rFonts w:cs="Arial"/>
                <w:b/>
                <w:bCs/>
                <w:sz w:val="20"/>
                <w:szCs w:val="20"/>
                <w:lang w:eastAsia="en-NZ"/>
              </w:rPr>
              <w:t>1</w:t>
            </w:r>
          </w:p>
        </w:tc>
        <w:tc>
          <w:tcPr>
            <w:tcW w:w="1315" w:type="dxa"/>
            <w:tcBorders>
              <w:top w:val="single" w:sz="8" w:space="0" w:color="auto"/>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8</w:t>
            </w:r>
            <w:r w:rsidR="00337F3B">
              <w:rPr>
                <w:rFonts w:cs="Arial"/>
                <w:b/>
                <w:bCs/>
                <w:sz w:val="20"/>
                <w:szCs w:val="20"/>
                <w:lang w:eastAsia="en-NZ"/>
              </w:rPr>
              <w:t>43</w:t>
            </w:r>
          </w:p>
        </w:tc>
        <w:tc>
          <w:tcPr>
            <w:tcW w:w="1316" w:type="dxa"/>
            <w:tcBorders>
              <w:top w:val="single" w:sz="8" w:space="0" w:color="auto"/>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87</w:t>
            </w:r>
            <w:r w:rsidR="00337F3B">
              <w:rPr>
                <w:rFonts w:cs="Arial"/>
                <w:b/>
                <w:bCs/>
                <w:sz w:val="20"/>
                <w:szCs w:val="20"/>
                <w:lang w:eastAsia="en-NZ"/>
              </w:rPr>
              <w:t>3</w:t>
            </w:r>
          </w:p>
        </w:tc>
        <w:tc>
          <w:tcPr>
            <w:tcW w:w="1315" w:type="dxa"/>
            <w:tcBorders>
              <w:top w:val="single" w:sz="8" w:space="0" w:color="auto"/>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88</w:t>
            </w:r>
            <w:r w:rsidR="00337F3B">
              <w:rPr>
                <w:rFonts w:cs="Arial"/>
                <w:b/>
                <w:bCs/>
                <w:sz w:val="20"/>
                <w:szCs w:val="20"/>
                <w:lang w:eastAsia="en-NZ"/>
              </w:rPr>
              <w:t>4</w:t>
            </w:r>
          </w:p>
        </w:tc>
        <w:tc>
          <w:tcPr>
            <w:tcW w:w="1316" w:type="dxa"/>
            <w:tcBorders>
              <w:top w:val="single" w:sz="8" w:space="0" w:color="auto"/>
              <w:left w:val="nil"/>
              <w:bottom w:val="nil"/>
              <w:right w:val="nil"/>
            </w:tcBorders>
          </w:tcPr>
          <w:p w:rsidR="00346271" w:rsidRPr="000B4210" w:rsidRDefault="00346271">
            <w:pPr>
              <w:spacing w:after="0" w:line="240" w:lineRule="auto"/>
              <w:jc w:val="right"/>
              <w:rPr>
                <w:rFonts w:cs="Arial"/>
                <w:b/>
                <w:bCs/>
                <w:sz w:val="20"/>
                <w:szCs w:val="20"/>
                <w:lang w:eastAsia="en-NZ"/>
              </w:rPr>
            </w:pPr>
            <w:r w:rsidRPr="000B4210">
              <w:rPr>
                <w:rFonts w:cs="Arial"/>
                <w:b/>
                <w:bCs/>
                <w:sz w:val="20"/>
                <w:szCs w:val="20"/>
                <w:lang w:eastAsia="en-NZ"/>
              </w:rPr>
              <w:t>94</w:t>
            </w:r>
            <w:r w:rsidR="00790EFE">
              <w:rPr>
                <w:rFonts w:cs="Arial"/>
                <w:b/>
                <w:bCs/>
                <w:sz w:val="20"/>
                <w:szCs w:val="20"/>
                <w:lang w:eastAsia="en-NZ"/>
              </w:rPr>
              <w:t>3</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p>
        </w:tc>
        <w:tc>
          <w:tcPr>
            <w:tcW w:w="1315"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Working capital</w:t>
            </w:r>
          </w:p>
        </w:tc>
        <w:tc>
          <w:tcPr>
            <w:tcW w:w="1315" w:type="dxa"/>
            <w:tcBorders>
              <w:top w:val="nil"/>
              <w:left w:val="nil"/>
              <w:bottom w:val="nil"/>
              <w:right w:val="nil"/>
            </w:tcBorders>
            <w:shd w:val="clear" w:color="auto" w:fill="auto"/>
            <w:noWrap/>
          </w:tcPr>
          <w:p w:rsidR="00346271" w:rsidRPr="000B4210" w:rsidRDefault="00337F3B">
            <w:pPr>
              <w:spacing w:after="0" w:line="240" w:lineRule="auto"/>
              <w:jc w:val="right"/>
              <w:rPr>
                <w:rFonts w:cs="Arial"/>
                <w:b/>
                <w:bCs/>
                <w:sz w:val="20"/>
                <w:szCs w:val="20"/>
                <w:lang w:eastAsia="en-NZ"/>
              </w:rPr>
            </w:pPr>
            <w:r>
              <w:rPr>
                <w:rFonts w:cs="Arial"/>
                <w:b/>
                <w:bCs/>
                <w:sz w:val="20"/>
                <w:szCs w:val="20"/>
                <w:lang w:eastAsia="en-NZ"/>
              </w:rPr>
              <w:t>1,96</w:t>
            </w:r>
            <w:r w:rsidR="00790EFE">
              <w:rPr>
                <w:rFonts w:cs="Arial"/>
                <w:b/>
                <w:bCs/>
                <w:sz w:val="20"/>
                <w:szCs w:val="20"/>
                <w:lang w:eastAsia="en-NZ"/>
              </w:rPr>
              <w:t>8</w:t>
            </w:r>
          </w:p>
        </w:tc>
        <w:tc>
          <w:tcPr>
            <w:tcW w:w="1315"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621</w:t>
            </w:r>
          </w:p>
        </w:tc>
        <w:tc>
          <w:tcPr>
            <w:tcW w:w="1316"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733</w:t>
            </w: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040</w:t>
            </w:r>
          </w:p>
        </w:tc>
        <w:tc>
          <w:tcPr>
            <w:tcW w:w="1316" w:type="dxa"/>
            <w:tcBorders>
              <w:top w:val="nil"/>
              <w:left w:val="nil"/>
              <w:bottom w:val="nil"/>
              <w:right w:val="nil"/>
            </w:tcBorders>
          </w:tcPr>
          <w:p w:rsidR="00346271" w:rsidRPr="000B4210" w:rsidRDefault="00337F3B">
            <w:pPr>
              <w:spacing w:after="0" w:line="240" w:lineRule="auto"/>
              <w:jc w:val="right"/>
              <w:rPr>
                <w:rFonts w:cs="Arial"/>
                <w:b/>
                <w:bCs/>
                <w:sz w:val="20"/>
                <w:szCs w:val="20"/>
                <w:lang w:eastAsia="en-NZ"/>
              </w:rPr>
            </w:pPr>
            <w:r>
              <w:rPr>
                <w:rFonts w:cs="Arial"/>
                <w:b/>
                <w:bCs/>
                <w:sz w:val="20"/>
                <w:szCs w:val="20"/>
                <w:lang w:eastAsia="en-NZ"/>
              </w:rPr>
              <w:t>1,07</w:t>
            </w:r>
            <w:r w:rsidR="00790EFE">
              <w:rPr>
                <w:rFonts w:cs="Arial"/>
                <w:b/>
                <w:bCs/>
                <w:sz w:val="20"/>
                <w:szCs w:val="20"/>
                <w:lang w:eastAsia="en-NZ"/>
              </w:rPr>
              <w:t>5</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p>
        </w:tc>
        <w:tc>
          <w:tcPr>
            <w:tcW w:w="1315"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Non-current assets</w:t>
            </w:r>
          </w:p>
        </w:tc>
        <w:tc>
          <w:tcPr>
            <w:tcW w:w="1315"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Property, plant and equipment</w:t>
            </w:r>
          </w:p>
        </w:tc>
        <w:tc>
          <w:tcPr>
            <w:tcW w:w="1315"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561</w:t>
            </w:r>
          </w:p>
        </w:tc>
        <w:tc>
          <w:tcPr>
            <w:tcW w:w="1315"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1,023</w:t>
            </w: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8</w:t>
            </w:r>
            <w:r w:rsidR="00337F3B">
              <w:rPr>
                <w:rFonts w:cs="Arial"/>
                <w:sz w:val="20"/>
                <w:szCs w:val="20"/>
                <w:lang w:eastAsia="en-NZ"/>
              </w:rPr>
              <w:t>80</w:t>
            </w:r>
          </w:p>
        </w:tc>
        <w:tc>
          <w:tcPr>
            <w:tcW w:w="1315"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759</w:t>
            </w:r>
          </w:p>
        </w:tc>
        <w:tc>
          <w:tcPr>
            <w:tcW w:w="1316" w:type="dxa"/>
            <w:tcBorders>
              <w:top w:val="nil"/>
              <w:left w:val="nil"/>
              <w:bottom w:val="nil"/>
              <w:right w:val="nil"/>
            </w:tcBorders>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650</w:t>
            </w:r>
          </w:p>
        </w:tc>
      </w:tr>
      <w:tr w:rsidR="00346271" w:rsidRPr="000B4210" w:rsidTr="00BF04EA">
        <w:trPr>
          <w:trHeight w:val="330"/>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Intangible assets</w:t>
            </w:r>
          </w:p>
        </w:tc>
        <w:tc>
          <w:tcPr>
            <w:tcW w:w="1315"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5</w:t>
            </w:r>
          </w:p>
        </w:tc>
        <w:tc>
          <w:tcPr>
            <w:tcW w:w="1315"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2</w:t>
            </w:r>
          </w:p>
        </w:tc>
        <w:tc>
          <w:tcPr>
            <w:tcW w:w="1316"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2</w:t>
            </w:r>
          </w:p>
        </w:tc>
        <w:tc>
          <w:tcPr>
            <w:tcW w:w="1315"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2</w:t>
            </w:r>
          </w:p>
        </w:tc>
        <w:tc>
          <w:tcPr>
            <w:tcW w:w="1316" w:type="dxa"/>
            <w:tcBorders>
              <w:top w:val="nil"/>
              <w:left w:val="nil"/>
              <w:bottom w:val="nil"/>
              <w:right w:val="nil"/>
            </w:tcBorders>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2</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Total non-current assets</w:t>
            </w:r>
          </w:p>
        </w:tc>
        <w:tc>
          <w:tcPr>
            <w:tcW w:w="1315" w:type="dxa"/>
            <w:tcBorders>
              <w:top w:val="single" w:sz="8" w:space="0" w:color="auto"/>
              <w:left w:val="nil"/>
              <w:bottom w:val="nil"/>
              <w:right w:val="nil"/>
            </w:tcBorders>
            <w:shd w:val="clear" w:color="auto" w:fill="auto"/>
            <w:noWrap/>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566</w:t>
            </w:r>
          </w:p>
        </w:tc>
        <w:tc>
          <w:tcPr>
            <w:tcW w:w="1315" w:type="dxa"/>
            <w:tcBorders>
              <w:top w:val="single" w:sz="8" w:space="0" w:color="auto"/>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1,0</w:t>
            </w:r>
            <w:r w:rsidR="00337F3B">
              <w:rPr>
                <w:rFonts w:cs="Arial"/>
                <w:b/>
                <w:bCs/>
                <w:sz w:val="20"/>
                <w:szCs w:val="20"/>
                <w:lang w:eastAsia="en-NZ"/>
              </w:rPr>
              <w:t>25</w:t>
            </w:r>
          </w:p>
        </w:tc>
        <w:tc>
          <w:tcPr>
            <w:tcW w:w="1316" w:type="dxa"/>
            <w:tcBorders>
              <w:top w:val="single" w:sz="8" w:space="0" w:color="auto"/>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88</w:t>
            </w:r>
            <w:r w:rsidR="00337F3B">
              <w:rPr>
                <w:rFonts w:cs="Arial"/>
                <w:b/>
                <w:bCs/>
                <w:sz w:val="20"/>
                <w:szCs w:val="20"/>
                <w:lang w:eastAsia="en-NZ"/>
              </w:rPr>
              <w:t>2</w:t>
            </w:r>
          </w:p>
        </w:tc>
        <w:tc>
          <w:tcPr>
            <w:tcW w:w="1315" w:type="dxa"/>
            <w:tcBorders>
              <w:top w:val="single" w:sz="8" w:space="0" w:color="auto"/>
              <w:left w:val="nil"/>
              <w:bottom w:val="nil"/>
              <w:right w:val="nil"/>
            </w:tcBorders>
            <w:shd w:val="clear" w:color="auto" w:fill="auto"/>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7</w:t>
            </w:r>
            <w:r w:rsidR="00337F3B">
              <w:rPr>
                <w:rFonts w:cs="Arial"/>
                <w:b/>
                <w:bCs/>
                <w:sz w:val="20"/>
                <w:szCs w:val="20"/>
                <w:lang w:eastAsia="en-NZ"/>
              </w:rPr>
              <w:t>61</w:t>
            </w:r>
          </w:p>
        </w:tc>
        <w:tc>
          <w:tcPr>
            <w:tcW w:w="1316" w:type="dxa"/>
            <w:tcBorders>
              <w:top w:val="single" w:sz="8" w:space="0" w:color="auto"/>
              <w:left w:val="nil"/>
              <w:bottom w:val="nil"/>
              <w:right w:val="nil"/>
            </w:tcBorders>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652</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p>
        </w:tc>
        <w:tc>
          <w:tcPr>
            <w:tcW w:w="1315"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Non-current liabilities</w:t>
            </w:r>
          </w:p>
        </w:tc>
        <w:tc>
          <w:tcPr>
            <w:tcW w:w="1315"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r w:rsidR="00346271" w:rsidRPr="000B4210" w:rsidTr="00BF04EA">
        <w:trPr>
          <w:trHeight w:val="330"/>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Employee entitlements</w:t>
            </w:r>
          </w:p>
        </w:tc>
        <w:tc>
          <w:tcPr>
            <w:tcW w:w="1315"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58</w:t>
            </w:r>
          </w:p>
        </w:tc>
        <w:tc>
          <w:tcPr>
            <w:tcW w:w="1315"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58</w:t>
            </w:r>
          </w:p>
        </w:tc>
        <w:tc>
          <w:tcPr>
            <w:tcW w:w="1316"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58</w:t>
            </w:r>
          </w:p>
        </w:tc>
        <w:tc>
          <w:tcPr>
            <w:tcW w:w="1315" w:type="dxa"/>
            <w:tcBorders>
              <w:top w:val="nil"/>
              <w:left w:val="nil"/>
              <w:bottom w:val="nil"/>
              <w:right w:val="nil"/>
            </w:tcBorders>
            <w:shd w:val="clear" w:color="auto" w:fill="auto"/>
            <w:noWrap/>
            <w:hideMark/>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58</w:t>
            </w:r>
          </w:p>
        </w:tc>
        <w:tc>
          <w:tcPr>
            <w:tcW w:w="1316" w:type="dxa"/>
            <w:tcBorders>
              <w:top w:val="nil"/>
              <w:left w:val="nil"/>
              <w:bottom w:val="nil"/>
              <w:right w:val="nil"/>
            </w:tcBorders>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58</w:t>
            </w:r>
          </w:p>
        </w:tc>
      </w:tr>
      <w:tr w:rsidR="00346271" w:rsidRPr="000B4210" w:rsidTr="00BF04EA">
        <w:trPr>
          <w:trHeight w:val="315"/>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Total non-current liabilities</w:t>
            </w:r>
          </w:p>
        </w:tc>
        <w:tc>
          <w:tcPr>
            <w:tcW w:w="1315" w:type="dxa"/>
            <w:tcBorders>
              <w:top w:val="single" w:sz="8" w:space="0" w:color="auto"/>
              <w:left w:val="nil"/>
              <w:bottom w:val="nil"/>
              <w:right w:val="nil"/>
            </w:tcBorders>
            <w:shd w:val="clear" w:color="auto" w:fill="auto"/>
            <w:noWrap/>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58</w:t>
            </w:r>
          </w:p>
        </w:tc>
        <w:tc>
          <w:tcPr>
            <w:tcW w:w="1315" w:type="dxa"/>
            <w:tcBorders>
              <w:top w:val="single" w:sz="8" w:space="0" w:color="auto"/>
              <w:left w:val="nil"/>
              <w:bottom w:val="nil"/>
              <w:right w:val="nil"/>
            </w:tcBorders>
            <w:shd w:val="clear" w:color="auto" w:fill="auto"/>
            <w:noWrap/>
            <w:hideMark/>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58</w:t>
            </w:r>
          </w:p>
        </w:tc>
        <w:tc>
          <w:tcPr>
            <w:tcW w:w="1316" w:type="dxa"/>
            <w:tcBorders>
              <w:top w:val="single" w:sz="8" w:space="0" w:color="auto"/>
              <w:left w:val="nil"/>
              <w:bottom w:val="nil"/>
              <w:right w:val="nil"/>
            </w:tcBorders>
            <w:shd w:val="clear" w:color="auto" w:fill="auto"/>
            <w:noWrap/>
            <w:hideMark/>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58</w:t>
            </w:r>
          </w:p>
        </w:tc>
        <w:tc>
          <w:tcPr>
            <w:tcW w:w="1315" w:type="dxa"/>
            <w:tcBorders>
              <w:top w:val="single" w:sz="8" w:space="0" w:color="auto"/>
              <w:left w:val="nil"/>
              <w:bottom w:val="nil"/>
              <w:right w:val="nil"/>
            </w:tcBorders>
            <w:shd w:val="clear" w:color="auto" w:fill="auto"/>
            <w:noWrap/>
            <w:hideMark/>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58</w:t>
            </w:r>
          </w:p>
        </w:tc>
        <w:tc>
          <w:tcPr>
            <w:tcW w:w="1316" w:type="dxa"/>
            <w:tcBorders>
              <w:top w:val="single" w:sz="8" w:space="0" w:color="auto"/>
              <w:left w:val="nil"/>
              <w:bottom w:val="nil"/>
              <w:right w:val="nil"/>
            </w:tcBorders>
          </w:tcPr>
          <w:p w:rsidR="00346271" w:rsidRPr="000B4210" w:rsidRDefault="00337F3B" w:rsidP="00BF04EA">
            <w:pPr>
              <w:spacing w:after="0" w:line="240" w:lineRule="auto"/>
              <w:jc w:val="right"/>
              <w:rPr>
                <w:rFonts w:cs="Arial"/>
                <w:b/>
                <w:bCs/>
                <w:sz w:val="20"/>
                <w:szCs w:val="20"/>
                <w:lang w:eastAsia="en-NZ"/>
              </w:rPr>
            </w:pPr>
            <w:r>
              <w:rPr>
                <w:rFonts w:cs="Arial"/>
                <w:b/>
                <w:bCs/>
                <w:sz w:val="20"/>
                <w:szCs w:val="20"/>
                <w:lang w:eastAsia="en-NZ"/>
              </w:rPr>
              <w:t>58</w:t>
            </w:r>
          </w:p>
        </w:tc>
      </w:tr>
      <w:tr w:rsidR="00346271" w:rsidRPr="000B4210" w:rsidTr="00BF04EA">
        <w:trPr>
          <w:trHeight w:val="330"/>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sz w:val="20"/>
                <w:szCs w:val="20"/>
                <w:lang w:eastAsia="en-NZ"/>
              </w:rPr>
            </w:pPr>
          </w:p>
        </w:tc>
        <w:tc>
          <w:tcPr>
            <w:tcW w:w="1315"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p>
        </w:tc>
      </w:tr>
      <w:tr w:rsidR="00346271" w:rsidRPr="000B4210" w:rsidTr="00BF04EA">
        <w:trPr>
          <w:trHeight w:val="330"/>
        </w:trPr>
        <w:tc>
          <w:tcPr>
            <w:tcW w:w="3261"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Net assets</w:t>
            </w:r>
          </w:p>
        </w:tc>
        <w:tc>
          <w:tcPr>
            <w:tcW w:w="1315" w:type="dxa"/>
            <w:tcBorders>
              <w:top w:val="single" w:sz="8" w:space="0" w:color="auto"/>
              <w:left w:val="nil"/>
              <w:bottom w:val="double" w:sz="6" w:space="0" w:color="auto"/>
              <w:right w:val="nil"/>
            </w:tcBorders>
            <w:shd w:val="clear" w:color="000000" w:fill="FFFF99"/>
            <w:noWrap/>
          </w:tcPr>
          <w:p w:rsidR="00346271" w:rsidRPr="000B4210" w:rsidRDefault="00337F3B">
            <w:pPr>
              <w:spacing w:after="0" w:line="240" w:lineRule="auto"/>
              <w:jc w:val="right"/>
              <w:rPr>
                <w:rFonts w:cs="Arial"/>
                <w:b/>
                <w:bCs/>
                <w:sz w:val="20"/>
                <w:szCs w:val="20"/>
                <w:lang w:eastAsia="en-NZ"/>
              </w:rPr>
            </w:pPr>
            <w:r>
              <w:rPr>
                <w:rFonts w:cs="Arial"/>
                <w:b/>
                <w:bCs/>
                <w:sz w:val="20"/>
                <w:szCs w:val="20"/>
                <w:lang w:eastAsia="en-NZ"/>
              </w:rPr>
              <w:t>2,47</w:t>
            </w:r>
            <w:r w:rsidR="00790EFE">
              <w:rPr>
                <w:rFonts w:cs="Arial"/>
                <w:b/>
                <w:bCs/>
                <w:sz w:val="20"/>
                <w:szCs w:val="20"/>
                <w:lang w:eastAsia="en-NZ"/>
              </w:rPr>
              <w:t>6</w:t>
            </w:r>
          </w:p>
        </w:tc>
        <w:tc>
          <w:tcPr>
            <w:tcW w:w="1315" w:type="dxa"/>
            <w:tcBorders>
              <w:top w:val="single" w:sz="8" w:space="0" w:color="auto"/>
              <w:left w:val="nil"/>
              <w:bottom w:val="double" w:sz="6" w:space="0" w:color="auto"/>
              <w:right w:val="nil"/>
            </w:tcBorders>
            <w:shd w:val="clear" w:color="000000" w:fill="FFFF99"/>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588</w:t>
            </w:r>
          </w:p>
        </w:tc>
        <w:tc>
          <w:tcPr>
            <w:tcW w:w="1316" w:type="dxa"/>
            <w:tcBorders>
              <w:top w:val="single" w:sz="8" w:space="0" w:color="auto"/>
              <w:left w:val="nil"/>
              <w:bottom w:val="double" w:sz="6" w:space="0" w:color="auto"/>
              <w:right w:val="nil"/>
            </w:tcBorders>
            <w:shd w:val="clear" w:color="000000" w:fill="FFFF99"/>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557</w:t>
            </w:r>
          </w:p>
        </w:tc>
        <w:tc>
          <w:tcPr>
            <w:tcW w:w="1315" w:type="dxa"/>
            <w:tcBorders>
              <w:top w:val="single" w:sz="8" w:space="0" w:color="auto"/>
              <w:left w:val="nil"/>
              <w:bottom w:val="double" w:sz="6" w:space="0" w:color="auto"/>
              <w:right w:val="nil"/>
            </w:tcBorders>
            <w:shd w:val="clear" w:color="000000" w:fill="FFFF99"/>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743</w:t>
            </w:r>
          </w:p>
        </w:tc>
        <w:tc>
          <w:tcPr>
            <w:tcW w:w="1316" w:type="dxa"/>
            <w:tcBorders>
              <w:top w:val="single" w:sz="8" w:space="0" w:color="auto"/>
              <w:left w:val="nil"/>
              <w:bottom w:val="double" w:sz="6" w:space="0" w:color="auto"/>
              <w:right w:val="nil"/>
            </w:tcBorders>
            <w:shd w:val="clear" w:color="000000" w:fill="FFFF99"/>
          </w:tcPr>
          <w:p w:rsidR="00346271" w:rsidRPr="000B4210" w:rsidRDefault="00346271">
            <w:pPr>
              <w:spacing w:after="0" w:line="240"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6</w:t>
            </w:r>
            <w:r w:rsidR="00790EFE">
              <w:rPr>
                <w:rFonts w:cs="Arial"/>
                <w:b/>
                <w:bCs/>
                <w:sz w:val="20"/>
                <w:szCs w:val="20"/>
                <w:lang w:eastAsia="en-NZ"/>
              </w:rPr>
              <w:t>69</w:t>
            </w:r>
          </w:p>
        </w:tc>
      </w:tr>
      <w:tr w:rsidR="00346271" w:rsidRPr="000B4210" w:rsidTr="00BF04EA">
        <w:trPr>
          <w:trHeight w:val="270"/>
        </w:trPr>
        <w:tc>
          <w:tcPr>
            <w:tcW w:w="3261" w:type="dxa"/>
            <w:tcBorders>
              <w:top w:val="nil"/>
              <w:left w:val="nil"/>
              <w:bottom w:val="nil"/>
              <w:right w:val="nil"/>
            </w:tcBorders>
            <w:shd w:val="clear" w:color="auto" w:fill="auto"/>
            <w:noWrap/>
            <w:vAlign w:val="bottom"/>
            <w:hideMark/>
          </w:tcPr>
          <w:p w:rsidR="00346271" w:rsidRPr="000B4210" w:rsidRDefault="00346271" w:rsidP="00BF04EA">
            <w:pPr>
              <w:spacing w:after="0" w:line="240" w:lineRule="auto"/>
              <w:rPr>
                <w:rFonts w:cs="Arial"/>
                <w:sz w:val="22"/>
                <w:szCs w:val="22"/>
                <w:lang w:eastAsia="en-NZ"/>
              </w:rPr>
            </w:pPr>
          </w:p>
        </w:tc>
        <w:tc>
          <w:tcPr>
            <w:tcW w:w="1315" w:type="dxa"/>
            <w:tcBorders>
              <w:top w:val="nil"/>
              <w:left w:val="nil"/>
              <w:bottom w:val="nil"/>
              <w:right w:val="nil"/>
            </w:tcBorders>
            <w:shd w:val="clear" w:color="auto" w:fill="auto"/>
            <w:noWrap/>
            <w:vAlign w:val="bottom"/>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vAlign w:val="bottom"/>
            <w:hideMark/>
          </w:tcPr>
          <w:p w:rsidR="00346271" w:rsidRPr="000B4210" w:rsidRDefault="00346271" w:rsidP="00BF04EA">
            <w:pPr>
              <w:spacing w:after="0" w:line="240" w:lineRule="auto"/>
              <w:jc w:val="right"/>
              <w:rPr>
                <w:rFonts w:cs="Arial"/>
                <w:sz w:val="20"/>
                <w:szCs w:val="20"/>
                <w:lang w:eastAsia="en-NZ"/>
              </w:rPr>
            </w:pPr>
          </w:p>
        </w:tc>
        <w:tc>
          <w:tcPr>
            <w:tcW w:w="1316" w:type="dxa"/>
            <w:tcBorders>
              <w:top w:val="nil"/>
              <w:left w:val="nil"/>
              <w:bottom w:val="nil"/>
              <w:right w:val="nil"/>
            </w:tcBorders>
            <w:shd w:val="clear" w:color="auto" w:fill="auto"/>
            <w:noWrap/>
            <w:vAlign w:val="bottom"/>
            <w:hideMark/>
          </w:tcPr>
          <w:p w:rsidR="00346271" w:rsidRPr="000B4210" w:rsidRDefault="00346271" w:rsidP="00BF04EA">
            <w:pPr>
              <w:spacing w:after="0" w:line="240" w:lineRule="auto"/>
              <w:jc w:val="right"/>
              <w:rPr>
                <w:rFonts w:cs="Arial"/>
                <w:sz w:val="20"/>
                <w:szCs w:val="20"/>
                <w:lang w:eastAsia="en-NZ"/>
              </w:rPr>
            </w:pPr>
          </w:p>
        </w:tc>
        <w:tc>
          <w:tcPr>
            <w:tcW w:w="1315" w:type="dxa"/>
            <w:tcBorders>
              <w:top w:val="nil"/>
              <w:left w:val="nil"/>
              <w:bottom w:val="nil"/>
              <w:right w:val="nil"/>
            </w:tcBorders>
            <w:shd w:val="clear" w:color="auto" w:fill="auto"/>
            <w:noWrap/>
            <w:vAlign w:val="bottom"/>
            <w:hideMark/>
          </w:tcPr>
          <w:p w:rsidR="00346271" w:rsidRPr="000B4210" w:rsidRDefault="00346271" w:rsidP="00BF04EA">
            <w:pPr>
              <w:spacing w:after="0" w:line="240" w:lineRule="auto"/>
              <w:ind w:firstLineChars="100" w:firstLine="200"/>
              <w:jc w:val="right"/>
              <w:rPr>
                <w:rFonts w:cs="Arial"/>
                <w:sz w:val="20"/>
                <w:szCs w:val="20"/>
                <w:lang w:eastAsia="en-NZ"/>
              </w:rPr>
            </w:pPr>
          </w:p>
        </w:tc>
        <w:tc>
          <w:tcPr>
            <w:tcW w:w="1316" w:type="dxa"/>
            <w:tcBorders>
              <w:top w:val="nil"/>
              <w:left w:val="nil"/>
              <w:bottom w:val="nil"/>
              <w:right w:val="nil"/>
            </w:tcBorders>
            <w:vAlign w:val="bottom"/>
          </w:tcPr>
          <w:p w:rsidR="00346271" w:rsidRPr="000B4210" w:rsidRDefault="00346271" w:rsidP="00BF04EA">
            <w:pPr>
              <w:spacing w:after="0" w:line="240" w:lineRule="auto"/>
              <w:ind w:firstLineChars="100" w:firstLine="200"/>
              <w:jc w:val="right"/>
              <w:rPr>
                <w:rFonts w:cs="Arial"/>
                <w:sz w:val="20"/>
                <w:szCs w:val="20"/>
                <w:lang w:eastAsia="en-NZ"/>
              </w:rPr>
            </w:pPr>
          </w:p>
        </w:tc>
      </w:tr>
    </w:tbl>
    <w:p w:rsidR="00346271" w:rsidRPr="000B4210" w:rsidRDefault="00346271" w:rsidP="00346271">
      <w:pPr>
        <w:spacing w:after="200" w:line="276" w:lineRule="auto"/>
      </w:pPr>
      <w:r w:rsidRPr="000B4210">
        <w:br w:type="page"/>
      </w:r>
    </w:p>
    <w:p w:rsidR="00346271" w:rsidRPr="000B4210" w:rsidRDefault="00346271" w:rsidP="00346271">
      <w:pPr>
        <w:pStyle w:val="Heading2"/>
      </w:pPr>
      <w:bookmarkStart w:id="10" w:name="_Toc390680429"/>
      <w:r w:rsidRPr="000B4210">
        <w:lastRenderedPageBreak/>
        <w:t>Forecast Statement of Changes in Equity</w:t>
      </w:r>
      <w:bookmarkEnd w:id="10"/>
    </w:p>
    <w:tbl>
      <w:tblPr>
        <w:tblW w:w="9838" w:type="dxa"/>
        <w:tblInd w:w="108" w:type="dxa"/>
        <w:tblLayout w:type="fixed"/>
        <w:tblLook w:val="04A0" w:firstRow="1" w:lastRow="0" w:firstColumn="1" w:lastColumn="0" w:noHBand="0" w:noVBand="1"/>
      </w:tblPr>
      <w:tblGrid>
        <w:gridCol w:w="3716"/>
        <w:gridCol w:w="1224"/>
        <w:gridCol w:w="1224"/>
        <w:gridCol w:w="1225"/>
        <w:gridCol w:w="1224"/>
        <w:gridCol w:w="1225"/>
      </w:tblGrid>
      <w:tr w:rsidR="00346271" w:rsidRPr="000B4210" w:rsidTr="00BF04EA">
        <w:trPr>
          <w:trHeight w:val="630"/>
        </w:trPr>
        <w:tc>
          <w:tcPr>
            <w:tcW w:w="3716" w:type="dxa"/>
            <w:tcBorders>
              <w:top w:val="nil"/>
              <w:left w:val="nil"/>
              <w:bottom w:val="nil"/>
              <w:right w:val="nil"/>
            </w:tcBorders>
            <w:shd w:val="clear" w:color="000000" w:fill="C0C0C0"/>
            <w:noWrap/>
            <w:vAlign w:val="bottom"/>
            <w:hideMark/>
          </w:tcPr>
          <w:p w:rsidR="00346271" w:rsidRPr="000B4210" w:rsidRDefault="00346271" w:rsidP="00BF04EA">
            <w:pPr>
              <w:spacing w:after="0" w:line="276" w:lineRule="auto"/>
              <w:jc w:val="right"/>
              <w:rPr>
                <w:rFonts w:cs="Arial"/>
                <w:b/>
                <w:bCs/>
                <w:lang w:eastAsia="en-NZ"/>
              </w:rPr>
            </w:pPr>
            <w:r w:rsidRPr="000B4210">
              <w:rPr>
                <w:rFonts w:cs="Arial"/>
                <w:b/>
                <w:bCs/>
                <w:lang w:eastAsia="en-NZ"/>
              </w:rPr>
              <w:t> </w:t>
            </w:r>
          </w:p>
        </w:tc>
        <w:tc>
          <w:tcPr>
            <w:tcW w:w="1224" w:type="dxa"/>
            <w:tcBorders>
              <w:top w:val="nil"/>
              <w:left w:val="nil"/>
              <w:bottom w:val="nil"/>
              <w:right w:val="nil"/>
            </w:tcBorders>
            <w:shd w:val="clear" w:color="000000" w:fill="C0C0C0"/>
            <w:vAlign w:val="bottom"/>
            <w:hideMark/>
          </w:tcPr>
          <w:p w:rsidR="00346271" w:rsidRPr="000B4210" w:rsidRDefault="00346271" w:rsidP="00BF04EA">
            <w:pPr>
              <w:pStyle w:val="NoSpacing"/>
              <w:spacing w:line="276" w:lineRule="auto"/>
              <w:jc w:val="right"/>
              <w:rPr>
                <w:b/>
                <w:lang w:eastAsia="en-NZ"/>
              </w:rPr>
            </w:pPr>
            <w:r w:rsidRPr="000B4210">
              <w:rPr>
                <w:b/>
                <w:lang w:eastAsia="en-NZ"/>
              </w:rPr>
              <w:t>Estimated Actual</w:t>
            </w:r>
          </w:p>
        </w:tc>
        <w:tc>
          <w:tcPr>
            <w:tcW w:w="1224" w:type="dxa"/>
            <w:tcBorders>
              <w:top w:val="nil"/>
              <w:left w:val="nil"/>
              <w:bottom w:val="nil"/>
              <w:right w:val="nil"/>
            </w:tcBorders>
            <w:shd w:val="clear" w:color="000000" w:fill="C0C0C0"/>
            <w:vAlign w:val="bottom"/>
            <w:hideMark/>
          </w:tcPr>
          <w:p w:rsidR="00346271" w:rsidRPr="000B4210" w:rsidRDefault="00346271" w:rsidP="00BF04EA">
            <w:pPr>
              <w:pStyle w:val="NoSpacing"/>
              <w:spacing w:line="276" w:lineRule="auto"/>
              <w:jc w:val="right"/>
              <w:rPr>
                <w:b/>
                <w:lang w:eastAsia="en-NZ"/>
              </w:rPr>
            </w:pPr>
            <w:r w:rsidRPr="000B4210">
              <w:rPr>
                <w:b/>
                <w:lang w:eastAsia="en-NZ"/>
              </w:rPr>
              <w:t>Forecast</w:t>
            </w:r>
          </w:p>
        </w:tc>
        <w:tc>
          <w:tcPr>
            <w:tcW w:w="1225" w:type="dxa"/>
            <w:tcBorders>
              <w:top w:val="nil"/>
              <w:left w:val="nil"/>
              <w:bottom w:val="nil"/>
              <w:right w:val="nil"/>
            </w:tcBorders>
            <w:shd w:val="clear" w:color="000000" w:fill="C0C0C0"/>
            <w:vAlign w:val="bottom"/>
            <w:hideMark/>
          </w:tcPr>
          <w:p w:rsidR="00346271" w:rsidRPr="000B4210" w:rsidRDefault="00346271" w:rsidP="00BF04EA">
            <w:pPr>
              <w:pStyle w:val="NoSpacing"/>
              <w:spacing w:line="276" w:lineRule="auto"/>
              <w:jc w:val="right"/>
              <w:rPr>
                <w:b/>
                <w:lang w:eastAsia="en-NZ"/>
              </w:rPr>
            </w:pPr>
            <w:r w:rsidRPr="000B4210">
              <w:rPr>
                <w:b/>
                <w:lang w:eastAsia="en-NZ"/>
              </w:rPr>
              <w:t>Forecast</w:t>
            </w:r>
          </w:p>
        </w:tc>
        <w:tc>
          <w:tcPr>
            <w:tcW w:w="1224" w:type="dxa"/>
            <w:tcBorders>
              <w:top w:val="nil"/>
              <w:left w:val="nil"/>
              <w:bottom w:val="nil"/>
              <w:right w:val="nil"/>
            </w:tcBorders>
            <w:shd w:val="clear" w:color="000000" w:fill="C0C0C0"/>
            <w:vAlign w:val="bottom"/>
          </w:tcPr>
          <w:p w:rsidR="00346271" w:rsidRPr="000B4210" w:rsidRDefault="00346271" w:rsidP="00BF04EA">
            <w:pPr>
              <w:pStyle w:val="NoSpacing"/>
              <w:spacing w:line="276" w:lineRule="auto"/>
              <w:jc w:val="right"/>
              <w:rPr>
                <w:b/>
                <w:lang w:eastAsia="en-NZ"/>
              </w:rPr>
            </w:pPr>
            <w:r w:rsidRPr="000B4210">
              <w:rPr>
                <w:b/>
                <w:lang w:eastAsia="en-NZ"/>
              </w:rPr>
              <w:t>Forecast</w:t>
            </w:r>
          </w:p>
        </w:tc>
        <w:tc>
          <w:tcPr>
            <w:tcW w:w="1225" w:type="dxa"/>
            <w:tcBorders>
              <w:top w:val="nil"/>
              <w:left w:val="nil"/>
              <w:bottom w:val="nil"/>
              <w:right w:val="nil"/>
            </w:tcBorders>
            <w:shd w:val="clear" w:color="000000" w:fill="C0C0C0"/>
            <w:vAlign w:val="bottom"/>
            <w:hideMark/>
          </w:tcPr>
          <w:p w:rsidR="00346271" w:rsidRPr="000B4210" w:rsidRDefault="00346271" w:rsidP="00BF04EA">
            <w:pPr>
              <w:pStyle w:val="NoSpacing"/>
              <w:spacing w:line="276" w:lineRule="auto"/>
              <w:jc w:val="right"/>
              <w:rPr>
                <w:b/>
                <w:lang w:eastAsia="en-NZ"/>
              </w:rPr>
            </w:pPr>
            <w:r w:rsidRPr="000B4210">
              <w:rPr>
                <w:b/>
                <w:lang w:eastAsia="en-NZ"/>
              </w:rPr>
              <w:t>Forecast</w:t>
            </w:r>
          </w:p>
        </w:tc>
      </w:tr>
      <w:tr w:rsidR="00346271" w:rsidRPr="000B4210" w:rsidTr="00BF04EA">
        <w:trPr>
          <w:trHeight w:val="204"/>
        </w:trPr>
        <w:tc>
          <w:tcPr>
            <w:tcW w:w="3716" w:type="dxa"/>
            <w:tcBorders>
              <w:top w:val="nil"/>
              <w:left w:val="nil"/>
              <w:bottom w:val="nil"/>
              <w:right w:val="nil"/>
            </w:tcBorders>
            <w:shd w:val="clear" w:color="000000" w:fill="C0C0C0"/>
            <w:noWrap/>
            <w:hideMark/>
          </w:tcPr>
          <w:p w:rsidR="00346271" w:rsidRPr="000B4210" w:rsidRDefault="00346271" w:rsidP="00BF04EA">
            <w:pPr>
              <w:spacing w:after="0" w:line="276" w:lineRule="auto"/>
              <w:jc w:val="right"/>
              <w:rPr>
                <w:rFonts w:cs="Arial"/>
                <w:b/>
                <w:bCs/>
                <w:lang w:eastAsia="en-NZ"/>
              </w:rPr>
            </w:pPr>
            <w:r w:rsidRPr="000B4210">
              <w:rPr>
                <w:rFonts w:cs="Arial"/>
                <w:b/>
                <w:bCs/>
                <w:lang w:eastAsia="en-NZ"/>
              </w:rPr>
              <w:t> </w:t>
            </w:r>
          </w:p>
        </w:tc>
        <w:tc>
          <w:tcPr>
            <w:tcW w:w="1224" w:type="dxa"/>
            <w:tcBorders>
              <w:top w:val="nil"/>
              <w:left w:val="nil"/>
              <w:bottom w:val="nil"/>
              <w:right w:val="nil"/>
            </w:tcBorders>
            <w:shd w:val="clear" w:color="000000" w:fill="C0C0C0"/>
            <w:noWrap/>
            <w:hideMark/>
          </w:tcPr>
          <w:p w:rsidR="00346271" w:rsidRPr="000B4210" w:rsidRDefault="00346271" w:rsidP="00BF04EA">
            <w:pPr>
              <w:pStyle w:val="NoSpacing"/>
              <w:spacing w:line="276" w:lineRule="auto"/>
              <w:jc w:val="right"/>
              <w:rPr>
                <w:b/>
                <w:lang w:eastAsia="en-NZ"/>
              </w:rPr>
            </w:pPr>
            <w:r w:rsidRPr="000B4210">
              <w:rPr>
                <w:b/>
                <w:lang w:eastAsia="en-NZ"/>
              </w:rPr>
              <w:t>2015/16</w:t>
            </w:r>
          </w:p>
        </w:tc>
        <w:tc>
          <w:tcPr>
            <w:tcW w:w="1224" w:type="dxa"/>
            <w:tcBorders>
              <w:top w:val="nil"/>
              <w:left w:val="nil"/>
              <w:bottom w:val="nil"/>
              <w:right w:val="nil"/>
            </w:tcBorders>
            <w:shd w:val="clear" w:color="000000" w:fill="C0C0C0"/>
            <w:noWrap/>
            <w:hideMark/>
          </w:tcPr>
          <w:p w:rsidR="00346271" w:rsidRPr="000B4210" w:rsidRDefault="00346271" w:rsidP="00BF04EA">
            <w:pPr>
              <w:pStyle w:val="NoSpacing"/>
              <w:spacing w:line="276" w:lineRule="auto"/>
              <w:jc w:val="right"/>
              <w:rPr>
                <w:b/>
                <w:lang w:eastAsia="en-NZ"/>
              </w:rPr>
            </w:pPr>
            <w:r w:rsidRPr="000B4210">
              <w:rPr>
                <w:b/>
                <w:lang w:eastAsia="en-NZ"/>
              </w:rPr>
              <w:t>2016/17</w:t>
            </w:r>
          </w:p>
        </w:tc>
        <w:tc>
          <w:tcPr>
            <w:tcW w:w="1225" w:type="dxa"/>
            <w:tcBorders>
              <w:top w:val="nil"/>
              <w:left w:val="nil"/>
              <w:bottom w:val="nil"/>
              <w:right w:val="nil"/>
            </w:tcBorders>
            <w:shd w:val="clear" w:color="000000" w:fill="C0C0C0"/>
            <w:noWrap/>
            <w:hideMark/>
          </w:tcPr>
          <w:p w:rsidR="00346271" w:rsidRPr="000B4210" w:rsidRDefault="00346271" w:rsidP="00BF04EA">
            <w:pPr>
              <w:pStyle w:val="NoSpacing"/>
              <w:spacing w:line="276" w:lineRule="auto"/>
              <w:jc w:val="right"/>
              <w:rPr>
                <w:b/>
                <w:lang w:eastAsia="en-NZ"/>
              </w:rPr>
            </w:pPr>
            <w:r w:rsidRPr="000B4210">
              <w:rPr>
                <w:b/>
                <w:lang w:eastAsia="en-NZ"/>
              </w:rPr>
              <w:t>2017/18</w:t>
            </w:r>
          </w:p>
        </w:tc>
        <w:tc>
          <w:tcPr>
            <w:tcW w:w="1224" w:type="dxa"/>
            <w:tcBorders>
              <w:top w:val="nil"/>
              <w:left w:val="nil"/>
              <w:bottom w:val="nil"/>
              <w:right w:val="nil"/>
            </w:tcBorders>
            <w:shd w:val="clear" w:color="000000" w:fill="C0C0C0"/>
          </w:tcPr>
          <w:p w:rsidR="00346271" w:rsidRPr="000B4210" w:rsidRDefault="00346271" w:rsidP="00BF04EA">
            <w:pPr>
              <w:pStyle w:val="NoSpacing"/>
              <w:spacing w:line="276" w:lineRule="auto"/>
              <w:jc w:val="right"/>
              <w:rPr>
                <w:b/>
                <w:lang w:eastAsia="en-NZ"/>
              </w:rPr>
            </w:pPr>
            <w:r w:rsidRPr="000B4210">
              <w:rPr>
                <w:b/>
                <w:lang w:eastAsia="en-NZ"/>
              </w:rPr>
              <w:t>2018/19</w:t>
            </w:r>
          </w:p>
        </w:tc>
        <w:tc>
          <w:tcPr>
            <w:tcW w:w="1225" w:type="dxa"/>
            <w:tcBorders>
              <w:top w:val="nil"/>
              <w:left w:val="nil"/>
              <w:bottom w:val="nil"/>
              <w:right w:val="nil"/>
            </w:tcBorders>
            <w:shd w:val="clear" w:color="000000" w:fill="C0C0C0"/>
            <w:noWrap/>
            <w:hideMark/>
          </w:tcPr>
          <w:p w:rsidR="00346271" w:rsidRPr="000B4210" w:rsidRDefault="00346271" w:rsidP="00BF04EA">
            <w:pPr>
              <w:pStyle w:val="NoSpacing"/>
              <w:spacing w:line="276" w:lineRule="auto"/>
              <w:jc w:val="right"/>
              <w:rPr>
                <w:b/>
                <w:lang w:eastAsia="en-NZ"/>
              </w:rPr>
            </w:pPr>
            <w:r w:rsidRPr="000B4210">
              <w:rPr>
                <w:b/>
                <w:lang w:eastAsia="en-NZ"/>
              </w:rPr>
              <w:t>2019/20</w:t>
            </w:r>
          </w:p>
        </w:tc>
      </w:tr>
      <w:tr w:rsidR="00346271" w:rsidRPr="000B4210" w:rsidTr="00BF04EA">
        <w:trPr>
          <w:trHeight w:val="80"/>
        </w:trPr>
        <w:tc>
          <w:tcPr>
            <w:tcW w:w="3716" w:type="dxa"/>
            <w:tcBorders>
              <w:top w:val="nil"/>
              <w:left w:val="nil"/>
              <w:bottom w:val="nil"/>
              <w:right w:val="nil"/>
            </w:tcBorders>
            <w:shd w:val="clear" w:color="000000" w:fill="C0C0C0"/>
            <w:noWrap/>
            <w:hideMark/>
          </w:tcPr>
          <w:p w:rsidR="00346271" w:rsidRPr="000B4210" w:rsidRDefault="00346271" w:rsidP="00BF04EA">
            <w:pPr>
              <w:spacing w:after="0" w:line="276" w:lineRule="auto"/>
              <w:jc w:val="center"/>
              <w:rPr>
                <w:rFonts w:cs="Arial"/>
                <w:lang w:eastAsia="en-NZ"/>
              </w:rPr>
            </w:pPr>
            <w:r w:rsidRPr="000B4210">
              <w:rPr>
                <w:rFonts w:cs="Arial"/>
                <w:lang w:eastAsia="en-NZ"/>
              </w:rPr>
              <w:t> </w:t>
            </w:r>
          </w:p>
        </w:tc>
        <w:tc>
          <w:tcPr>
            <w:tcW w:w="1224" w:type="dxa"/>
            <w:tcBorders>
              <w:top w:val="nil"/>
              <w:left w:val="nil"/>
              <w:bottom w:val="nil"/>
              <w:right w:val="nil"/>
            </w:tcBorders>
            <w:shd w:val="clear" w:color="000000" w:fill="C0C0C0"/>
            <w:noWrap/>
            <w:hideMark/>
          </w:tcPr>
          <w:p w:rsidR="00346271" w:rsidRPr="000B4210" w:rsidRDefault="00346271" w:rsidP="00BF04EA">
            <w:pPr>
              <w:pStyle w:val="NoSpacing"/>
              <w:spacing w:line="276" w:lineRule="auto"/>
              <w:jc w:val="right"/>
              <w:rPr>
                <w:b/>
                <w:lang w:eastAsia="en-NZ"/>
              </w:rPr>
            </w:pPr>
            <w:r w:rsidRPr="000B4210">
              <w:rPr>
                <w:b/>
                <w:lang w:eastAsia="en-NZ"/>
              </w:rPr>
              <w:t>$000</w:t>
            </w:r>
          </w:p>
        </w:tc>
        <w:tc>
          <w:tcPr>
            <w:tcW w:w="1224" w:type="dxa"/>
            <w:tcBorders>
              <w:top w:val="nil"/>
              <w:left w:val="nil"/>
              <w:bottom w:val="nil"/>
              <w:right w:val="nil"/>
            </w:tcBorders>
            <w:shd w:val="clear" w:color="000000" w:fill="C0C0C0"/>
            <w:noWrap/>
            <w:hideMark/>
          </w:tcPr>
          <w:p w:rsidR="00346271" w:rsidRPr="000B4210" w:rsidRDefault="00346271" w:rsidP="00BF04EA">
            <w:pPr>
              <w:pStyle w:val="NoSpacing"/>
              <w:spacing w:line="276" w:lineRule="auto"/>
              <w:jc w:val="right"/>
              <w:rPr>
                <w:b/>
                <w:lang w:eastAsia="en-NZ"/>
              </w:rPr>
            </w:pPr>
            <w:r w:rsidRPr="000B4210">
              <w:rPr>
                <w:b/>
                <w:lang w:eastAsia="en-NZ"/>
              </w:rPr>
              <w:t>$000</w:t>
            </w:r>
          </w:p>
        </w:tc>
        <w:tc>
          <w:tcPr>
            <w:tcW w:w="1225" w:type="dxa"/>
            <w:tcBorders>
              <w:top w:val="nil"/>
              <w:left w:val="nil"/>
              <w:bottom w:val="nil"/>
              <w:right w:val="nil"/>
            </w:tcBorders>
            <w:shd w:val="clear" w:color="000000" w:fill="C0C0C0"/>
            <w:noWrap/>
            <w:hideMark/>
          </w:tcPr>
          <w:p w:rsidR="00346271" w:rsidRPr="000B4210" w:rsidRDefault="00346271" w:rsidP="00BF04EA">
            <w:pPr>
              <w:pStyle w:val="NoSpacing"/>
              <w:spacing w:line="276" w:lineRule="auto"/>
              <w:jc w:val="right"/>
              <w:rPr>
                <w:b/>
                <w:lang w:eastAsia="en-NZ"/>
              </w:rPr>
            </w:pPr>
            <w:r w:rsidRPr="000B4210">
              <w:rPr>
                <w:b/>
                <w:lang w:eastAsia="en-NZ"/>
              </w:rPr>
              <w:t>$000</w:t>
            </w:r>
          </w:p>
        </w:tc>
        <w:tc>
          <w:tcPr>
            <w:tcW w:w="1224" w:type="dxa"/>
            <w:tcBorders>
              <w:top w:val="nil"/>
              <w:left w:val="nil"/>
              <w:bottom w:val="nil"/>
              <w:right w:val="nil"/>
            </w:tcBorders>
            <w:shd w:val="clear" w:color="000000" w:fill="C0C0C0"/>
          </w:tcPr>
          <w:p w:rsidR="00346271" w:rsidRPr="000B4210" w:rsidRDefault="00346271" w:rsidP="00BF04EA">
            <w:pPr>
              <w:pStyle w:val="NoSpacing"/>
              <w:spacing w:line="276" w:lineRule="auto"/>
              <w:jc w:val="right"/>
              <w:rPr>
                <w:b/>
                <w:lang w:eastAsia="en-NZ"/>
              </w:rPr>
            </w:pPr>
            <w:r w:rsidRPr="000B4210">
              <w:rPr>
                <w:b/>
                <w:lang w:eastAsia="en-NZ"/>
              </w:rPr>
              <w:t>$000</w:t>
            </w:r>
          </w:p>
        </w:tc>
        <w:tc>
          <w:tcPr>
            <w:tcW w:w="1225" w:type="dxa"/>
            <w:tcBorders>
              <w:top w:val="nil"/>
              <w:left w:val="nil"/>
              <w:bottom w:val="nil"/>
              <w:right w:val="nil"/>
            </w:tcBorders>
            <w:shd w:val="clear" w:color="000000" w:fill="C0C0C0"/>
            <w:noWrap/>
            <w:hideMark/>
          </w:tcPr>
          <w:p w:rsidR="00346271" w:rsidRPr="000B4210" w:rsidRDefault="00346271" w:rsidP="00BF04EA">
            <w:pPr>
              <w:pStyle w:val="NoSpacing"/>
              <w:spacing w:line="276" w:lineRule="auto"/>
              <w:jc w:val="right"/>
              <w:rPr>
                <w:b/>
                <w:lang w:eastAsia="en-NZ"/>
              </w:rPr>
            </w:pPr>
            <w:r w:rsidRPr="000B4210">
              <w:rPr>
                <w:b/>
                <w:lang w:eastAsia="en-NZ"/>
              </w:rPr>
              <w:t>$000</w:t>
            </w:r>
          </w:p>
        </w:tc>
      </w:tr>
      <w:tr w:rsidR="00346271" w:rsidRPr="000B4210" w:rsidTr="00BF04EA">
        <w:trPr>
          <w:trHeight w:val="315"/>
        </w:trPr>
        <w:tc>
          <w:tcPr>
            <w:tcW w:w="3716" w:type="dxa"/>
            <w:tcBorders>
              <w:top w:val="nil"/>
              <w:left w:val="nil"/>
              <w:bottom w:val="nil"/>
              <w:right w:val="nil"/>
            </w:tcBorders>
            <w:shd w:val="clear" w:color="auto" w:fill="auto"/>
            <w:hideMark/>
          </w:tcPr>
          <w:p w:rsidR="00346271" w:rsidRPr="000B4210" w:rsidRDefault="00346271" w:rsidP="00BF04EA">
            <w:pPr>
              <w:spacing w:after="0" w:line="276" w:lineRule="auto"/>
              <w:rPr>
                <w:rFonts w:cs="Arial"/>
                <w:lang w:eastAsia="en-NZ"/>
              </w:rPr>
            </w:pPr>
          </w:p>
        </w:tc>
        <w:tc>
          <w:tcPr>
            <w:tcW w:w="1224" w:type="dxa"/>
            <w:tcBorders>
              <w:top w:val="nil"/>
              <w:left w:val="nil"/>
              <w:bottom w:val="nil"/>
              <w:right w:val="nil"/>
            </w:tcBorders>
            <w:shd w:val="clear" w:color="auto" w:fill="auto"/>
            <w:hideMark/>
          </w:tcPr>
          <w:p w:rsidR="00346271" w:rsidRPr="000B4210" w:rsidRDefault="00346271" w:rsidP="00BF04EA">
            <w:pPr>
              <w:spacing w:after="0" w:line="276" w:lineRule="auto"/>
              <w:jc w:val="right"/>
              <w:rPr>
                <w:rFonts w:cs="Arial"/>
                <w:sz w:val="20"/>
                <w:szCs w:val="20"/>
                <w:lang w:eastAsia="en-NZ"/>
              </w:rPr>
            </w:pPr>
          </w:p>
        </w:tc>
        <w:tc>
          <w:tcPr>
            <w:tcW w:w="1224" w:type="dxa"/>
            <w:tcBorders>
              <w:top w:val="nil"/>
              <w:left w:val="nil"/>
              <w:bottom w:val="nil"/>
              <w:right w:val="nil"/>
            </w:tcBorders>
            <w:shd w:val="clear" w:color="auto" w:fill="auto"/>
            <w:hideMark/>
          </w:tcPr>
          <w:p w:rsidR="00346271" w:rsidRPr="000B4210" w:rsidRDefault="00346271" w:rsidP="00BF04EA">
            <w:pPr>
              <w:spacing w:after="0" w:line="276" w:lineRule="auto"/>
              <w:jc w:val="right"/>
              <w:rPr>
                <w:rFonts w:cs="Arial"/>
                <w:sz w:val="20"/>
                <w:szCs w:val="20"/>
                <w:lang w:eastAsia="en-NZ"/>
              </w:rPr>
            </w:pPr>
          </w:p>
        </w:tc>
        <w:tc>
          <w:tcPr>
            <w:tcW w:w="1225" w:type="dxa"/>
            <w:tcBorders>
              <w:top w:val="nil"/>
              <w:left w:val="nil"/>
              <w:bottom w:val="nil"/>
              <w:right w:val="nil"/>
            </w:tcBorders>
            <w:shd w:val="clear" w:color="auto" w:fill="auto"/>
            <w:hideMark/>
          </w:tcPr>
          <w:p w:rsidR="00346271" w:rsidRPr="000B4210" w:rsidRDefault="00346271" w:rsidP="00BF04EA">
            <w:pPr>
              <w:spacing w:after="0" w:line="276" w:lineRule="auto"/>
              <w:jc w:val="right"/>
              <w:rPr>
                <w:rFonts w:cs="Arial"/>
                <w:sz w:val="20"/>
                <w:szCs w:val="20"/>
                <w:lang w:eastAsia="en-NZ"/>
              </w:rPr>
            </w:pPr>
          </w:p>
        </w:tc>
        <w:tc>
          <w:tcPr>
            <w:tcW w:w="1224" w:type="dxa"/>
            <w:tcBorders>
              <w:top w:val="nil"/>
              <w:left w:val="nil"/>
              <w:bottom w:val="nil"/>
              <w:right w:val="nil"/>
            </w:tcBorders>
          </w:tcPr>
          <w:p w:rsidR="00346271" w:rsidRPr="000B4210" w:rsidRDefault="00346271" w:rsidP="00BF04EA">
            <w:pPr>
              <w:spacing w:after="0" w:line="276" w:lineRule="auto"/>
              <w:ind w:firstLineChars="100" w:firstLine="200"/>
              <w:jc w:val="right"/>
              <w:rPr>
                <w:rFonts w:cs="Arial"/>
                <w:sz w:val="20"/>
                <w:szCs w:val="20"/>
                <w:lang w:eastAsia="en-NZ"/>
              </w:rPr>
            </w:pPr>
          </w:p>
        </w:tc>
        <w:tc>
          <w:tcPr>
            <w:tcW w:w="1225" w:type="dxa"/>
            <w:tcBorders>
              <w:top w:val="nil"/>
              <w:left w:val="nil"/>
              <w:bottom w:val="nil"/>
              <w:right w:val="nil"/>
            </w:tcBorders>
            <w:shd w:val="clear" w:color="auto" w:fill="auto"/>
            <w:hideMark/>
          </w:tcPr>
          <w:p w:rsidR="00346271" w:rsidRPr="000B4210" w:rsidRDefault="00346271" w:rsidP="00BF04EA">
            <w:pPr>
              <w:spacing w:after="0" w:line="276" w:lineRule="auto"/>
              <w:ind w:firstLineChars="100" w:firstLine="200"/>
              <w:jc w:val="right"/>
              <w:rPr>
                <w:rFonts w:cs="Arial"/>
                <w:sz w:val="20"/>
                <w:szCs w:val="20"/>
                <w:lang w:eastAsia="en-NZ"/>
              </w:rPr>
            </w:pPr>
          </w:p>
        </w:tc>
      </w:tr>
      <w:tr w:rsidR="00346271" w:rsidRPr="000B4210" w:rsidTr="00BF04EA">
        <w:trPr>
          <w:trHeight w:val="315"/>
        </w:trPr>
        <w:tc>
          <w:tcPr>
            <w:tcW w:w="3716" w:type="dxa"/>
            <w:tcBorders>
              <w:top w:val="nil"/>
              <w:left w:val="nil"/>
              <w:bottom w:val="nil"/>
              <w:right w:val="nil"/>
            </w:tcBorders>
            <w:shd w:val="clear" w:color="auto" w:fill="auto"/>
            <w:hideMark/>
          </w:tcPr>
          <w:p w:rsidR="00346271" w:rsidRPr="000B4210" w:rsidRDefault="00346271" w:rsidP="00BF04EA">
            <w:pPr>
              <w:spacing w:after="0" w:line="276" w:lineRule="auto"/>
              <w:rPr>
                <w:rFonts w:cs="Arial"/>
                <w:sz w:val="20"/>
                <w:szCs w:val="20"/>
                <w:lang w:eastAsia="en-NZ"/>
              </w:rPr>
            </w:pPr>
            <w:r w:rsidRPr="000B4210">
              <w:rPr>
                <w:rFonts w:cs="Arial"/>
                <w:sz w:val="20"/>
                <w:szCs w:val="20"/>
                <w:lang w:eastAsia="en-NZ"/>
              </w:rPr>
              <w:t>Balance at 1 July</w:t>
            </w:r>
          </w:p>
        </w:tc>
        <w:tc>
          <w:tcPr>
            <w:tcW w:w="1224" w:type="dxa"/>
            <w:tcBorders>
              <w:top w:val="nil"/>
              <w:left w:val="nil"/>
              <w:bottom w:val="nil"/>
              <w:right w:val="nil"/>
            </w:tcBorders>
            <w:shd w:val="clear" w:color="auto" w:fill="auto"/>
            <w:noWrap/>
          </w:tcPr>
          <w:p w:rsidR="00346271" w:rsidRPr="000B4210" w:rsidRDefault="00337F3B" w:rsidP="00BF04EA">
            <w:pPr>
              <w:spacing w:after="0" w:line="276" w:lineRule="auto"/>
              <w:jc w:val="right"/>
              <w:rPr>
                <w:rFonts w:cs="Arial"/>
                <w:sz w:val="20"/>
                <w:szCs w:val="20"/>
                <w:lang w:eastAsia="en-NZ"/>
              </w:rPr>
            </w:pPr>
            <w:r>
              <w:rPr>
                <w:rFonts w:cs="Arial"/>
                <w:sz w:val="20"/>
                <w:szCs w:val="20"/>
                <w:lang w:eastAsia="en-NZ"/>
              </w:rPr>
              <w:t>2,140</w:t>
            </w:r>
          </w:p>
        </w:tc>
        <w:tc>
          <w:tcPr>
            <w:tcW w:w="1224" w:type="dxa"/>
            <w:tcBorders>
              <w:top w:val="nil"/>
              <w:left w:val="nil"/>
              <w:bottom w:val="nil"/>
              <w:right w:val="nil"/>
            </w:tcBorders>
            <w:shd w:val="clear" w:color="auto" w:fill="auto"/>
            <w:noWrap/>
            <w:hideMark/>
          </w:tcPr>
          <w:p w:rsidR="00346271" w:rsidRPr="000B4210" w:rsidRDefault="00337F3B" w:rsidP="00BF04EA">
            <w:pPr>
              <w:spacing w:after="0" w:line="276" w:lineRule="auto"/>
              <w:jc w:val="right"/>
              <w:rPr>
                <w:rFonts w:cs="Arial"/>
                <w:sz w:val="20"/>
                <w:szCs w:val="20"/>
                <w:lang w:eastAsia="en-NZ"/>
              </w:rPr>
            </w:pPr>
            <w:r>
              <w:rPr>
                <w:rFonts w:cs="Arial"/>
                <w:sz w:val="20"/>
                <w:szCs w:val="20"/>
                <w:lang w:eastAsia="en-NZ"/>
              </w:rPr>
              <w:t>2,476</w:t>
            </w:r>
          </w:p>
        </w:tc>
        <w:tc>
          <w:tcPr>
            <w:tcW w:w="1225" w:type="dxa"/>
            <w:tcBorders>
              <w:top w:val="nil"/>
              <w:left w:val="nil"/>
              <w:bottom w:val="nil"/>
              <w:right w:val="nil"/>
            </w:tcBorders>
            <w:shd w:val="clear" w:color="auto" w:fill="auto"/>
            <w:noWrap/>
            <w:hideMark/>
          </w:tcPr>
          <w:p w:rsidR="00346271" w:rsidRPr="000B4210" w:rsidRDefault="00346271" w:rsidP="00BF04EA">
            <w:pPr>
              <w:spacing w:after="0" w:line="276" w:lineRule="auto"/>
              <w:jc w:val="right"/>
              <w:rPr>
                <w:rFonts w:cs="Arial"/>
                <w:sz w:val="20"/>
                <w:szCs w:val="20"/>
                <w:lang w:eastAsia="en-NZ"/>
              </w:rPr>
            </w:pPr>
            <w:r w:rsidRPr="000B4210">
              <w:rPr>
                <w:rFonts w:cs="Arial"/>
                <w:sz w:val="20"/>
                <w:szCs w:val="20"/>
                <w:lang w:eastAsia="en-NZ"/>
              </w:rPr>
              <w:t>1,</w:t>
            </w:r>
            <w:r w:rsidR="00337F3B">
              <w:rPr>
                <w:rFonts w:cs="Arial"/>
                <w:sz w:val="20"/>
                <w:szCs w:val="20"/>
                <w:lang w:eastAsia="en-NZ"/>
              </w:rPr>
              <w:t>588</w:t>
            </w:r>
          </w:p>
        </w:tc>
        <w:tc>
          <w:tcPr>
            <w:tcW w:w="1224" w:type="dxa"/>
            <w:tcBorders>
              <w:top w:val="nil"/>
              <w:left w:val="nil"/>
              <w:bottom w:val="nil"/>
              <w:right w:val="nil"/>
            </w:tcBorders>
          </w:tcPr>
          <w:p w:rsidR="00346271" w:rsidRPr="000B4210" w:rsidRDefault="00346271" w:rsidP="00BF04EA">
            <w:pPr>
              <w:spacing w:after="0" w:line="276" w:lineRule="auto"/>
              <w:jc w:val="right"/>
              <w:rPr>
                <w:rFonts w:cs="Arial"/>
                <w:sz w:val="20"/>
                <w:szCs w:val="20"/>
                <w:lang w:eastAsia="en-NZ"/>
              </w:rPr>
            </w:pPr>
            <w:r w:rsidRPr="000B4210">
              <w:rPr>
                <w:rFonts w:cs="Arial"/>
                <w:sz w:val="20"/>
                <w:szCs w:val="20"/>
                <w:lang w:eastAsia="en-NZ"/>
              </w:rPr>
              <w:t>1,</w:t>
            </w:r>
            <w:r w:rsidR="00337F3B">
              <w:rPr>
                <w:rFonts w:cs="Arial"/>
                <w:sz w:val="20"/>
                <w:szCs w:val="20"/>
                <w:lang w:eastAsia="en-NZ"/>
              </w:rPr>
              <w:t>557</w:t>
            </w:r>
          </w:p>
        </w:tc>
        <w:tc>
          <w:tcPr>
            <w:tcW w:w="1225" w:type="dxa"/>
            <w:tcBorders>
              <w:top w:val="nil"/>
              <w:left w:val="nil"/>
              <w:bottom w:val="nil"/>
              <w:right w:val="nil"/>
            </w:tcBorders>
            <w:shd w:val="clear" w:color="auto" w:fill="auto"/>
            <w:noWrap/>
          </w:tcPr>
          <w:p w:rsidR="00346271" w:rsidRPr="000B4210" w:rsidRDefault="00346271" w:rsidP="00BF04EA">
            <w:pPr>
              <w:spacing w:after="0" w:line="276" w:lineRule="auto"/>
              <w:jc w:val="right"/>
              <w:rPr>
                <w:rFonts w:cs="Arial"/>
                <w:sz w:val="20"/>
                <w:szCs w:val="20"/>
                <w:lang w:eastAsia="en-NZ"/>
              </w:rPr>
            </w:pPr>
            <w:r w:rsidRPr="000B4210">
              <w:rPr>
                <w:rFonts w:cs="Arial"/>
                <w:sz w:val="20"/>
                <w:szCs w:val="20"/>
                <w:lang w:eastAsia="en-NZ"/>
              </w:rPr>
              <w:t>1,</w:t>
            </w:r>
            <w:r w:rsidR="00337F3B">
              <w:rPr>
                <w:rFonts w:cs="Arial"/>
                <w:sz w:val="20"/>
                <w:szCs w:val="20"/>
                <w:lang w:eastAsia="en-NZ"/>
              </w:rPr>
              <w:t>743</w:t>
            </w:r>
          </w:p>
        </w:tc>
      </w:tr>
      <w:tr w:rsidR="00346271" w:rsidRPr="000B4210" w:rsidTr="00BF04EA">
        <w:trPr>
          <w:trHeight w:val="615"/>
        </w:trPr>
        <w:tc>
          <w:tcPr>
            <w:tcW w:w="3716" w:type="dxa"/>
            <w:tcBorders>
              <w:top w:val="nil"/>
              <w:left w:val="nil"/>
              <w:bottom w:val="nil"/>
              <w:right w:val="nil"/>
            </w:tcBorders>
            <w:shd w:val="clear" w:color="auto" w:fill="auto"/>
            <w:hideMark/>
          </w:tcPr>
          <w:p w:rsidR="00346271" w:rsidRPr="000B4210" w:rsidRDefault="00346271" w:rsidP="00BF04EA">
            <w:pPr>
              <w:spacing w:after="0" w:line="276" w:lineRule="auto"/>
              <w:rPr>
                <w:rFonts w:cs="Arial"/>
                <w:sz w:val="20"/>
                <w:szCs w:val="20"/>
                <w:lang w:eastAsia="en-NZ"/>
              </w:rPr>
            </w:pPr>
            <w:r w:rsidRPr="000B4210">
              <w:rPr>
                <w:rFonts w:cs="Arial"/>
                <w:sz w:val="20"/>
                <w:szCs w:val="20"/>
                <w:lang w:eastAsia="en-NZ"/>
              </w:rPr>
              <w:t>Total comprehensive revenue and expense</w:t>
            </w:r>
          </w:p>
        </w:tc>
        <w:tc>
          <w:tcPr>
            <w:tcW w:w="1224" w:type="dxa"/>
            <w:tcBorders>
              <w:top w:val="nil"/>
              <w:left w:val="nil"/>
              <w:bottom w:val="single" w:sz="8" w:space="0" w:color="auto"/>
              <w:right w:val="nil"/>
            </w:tcBorders>
            <w:shd w:val="clear" w:color="auto" w:fill="auto"/>
            <w:noWrap/>
          </w:tcPr>
          <w:p w:rsidR="00346271" w:rsidRPr="000B4210" w:rsidRDefault="00337F3B" w:rsidP="00BF04EA">
            <w:pPr>
              <w:spacing w:after="0" w:line="276" w:lineRule="auto"/>
              <w:jc w:val="right"/>
              <w:rPr>
                <w:rFonts w:cs="Arial"/>
                <w:sz w:val="20"/>
                <w:szCs w:val="20"/>
                <w:lang w:eastAsia="en-NZ"/>
              </w:rPr>
            </w:pPr>
            <w:r>
              <w:rPr>
                <w:rFonts w:cs="Arial"/>
                <w:sz w:val="20"/>
                <w:szCs w:val="20"/>
                <w:lang w:eastAsia="en-NZ"/>
              </w:rPr>
              <w:t>336</w:t>
            </w:r>
          </w:p>
        </w:tc>
        <w:tc>
          <w:tcPr>
            <w:tcW w:w="1224" w:type="dxa"/>
            <w:tcBorders>
              <w:top w:val="nil"/>
              <w:left w:val="nil"/>
              <w:bottom w:val="single" w:sz="8" w:space="0" w:color="auto"/>
              <w:right w:val="nil"/>
            </w:tcBorders>
            <w:shd w:val="clear" w:color="auto" w:fill="auto"/>
            <w:noWrap/>
            <w:hideMark/>
          </w:tcPr>
          <w:p w:rsidR="00346271" w:rsidRPr="000B4210" w:rsidRDefault="00337F3B" w:rsidP="00BF04EA">
            <w:pPr>
              <w:spacing w:after="0" w:line="276" w:lineRule="auto"/>
              <w:jc w:val="right"/>
              <w:rPr>
                <w:rFonts w:cs="Arial"/>
                <w:sz w:val="20"/>
                <w:szCs w:val="20"/>
                <w:lang w:eastAsia="en-NZ"/>
              </w:rPr>
            </w:pPr>
            <w:r>
              <w:rPr>
                <w:rFonts w:cs="Arial"/>
                <w:sz w:val="20"/>
                <w:szCs w:val="20"/>
                <w:lang w:eastAsia="en-NZ"/>
              </w:rPr>
              <w:t>(888)</w:t>
            </w:r>
          </w:p>
        </w:tc>
        <w:tc>
          <w:tcPr>
            <w:tcW w:w="1225" w:type="dxa"/>
            <w:tcBorders>
              <w:top w:val="nil"/>
              <w:left w:val="nil"/>
              <w:bottom w:val="single" w:sz="8" w:space="0" w:color="auto"/>
              <w:right w:val="nil"/>
            </w:tcBorders>
            <w:shd w:val="clear" w:color="auto" w:fill="auto"/>
            <w:noWrap/>
            <w:hideMark/>
          </w:tcPr>
          <w:p w:rsidR="00346271" w:rsidRPr="000B4210" w:rsidRDefault="00337F3B" w:rsidP="00BF04EA">
            <w:pPr>
              <w:spacing w:after="0" w:line="276" w:lineRule="auto"/>
              <w:jc w:val="right"/>
              <w:rPr>
                <w:rFonts w:cs="Arial"/>
                <w:sz w:val="20"/>
                <w:szCs w:val="20"/>
                <w:lang w:eastAsia="en-NZ"/>
              </w:rPr>
            </w:pPr>
            <w:r>
              <w:rPr>
                <w:rFonts w:cs="Arial"/>
                <w:sz w:val="20"/>
                <w:szCs w:val="20"/>
                <w:lang w:eastAsia="en-NZ"/>
              </w:rPr>
              <w:t>(31)</w:t>
            </w:r>
          </w:p>
        </w:tc>
        <w:tc>
          <w:tcPr>
            <w:tcW w:w="1224" w:type="dxa"/>
            <w:tcBorders>
              <w:top w:val="nil"/>
              <w:left w:val="nil"/>
              <w:bottom w:val="single" w:sz="8" w:space="0" w:color="auto"/>
              <w:right w:val="nil"/>
            </w:tcBorders>
          </w:tcPr>
          <w:p w:rsidR="00346271" w:rsidRPr="000B4210" w:rsidRDefault="00337F3B" w:rsidP="00BF04EA">
            <w:pPr>
              <w:spacing w:after="0" w:line="276" w:lineRule="auto"/>
              <w:jc w:val="right"/>
              <w:rPr>
                <w:rFonts w:cs="Arial"/>
                <w:sz w:val="20"/>
                <w:szCs w:val="20"/>
                <w:lang w:eastAsia="en-NZ"/>
              </w:rPr>
            </w:pPr>
            <w:r>
              <w:rPr>
                <w:rFonts w:cs="Arial"/>
                <w:sz w:val="20"/>
                <w:szCs w:val="20"/>
                <w:lang w:eastAsia="en-NZ"/>
              </w:rPr>
              <w:t>186</w:t>
            </w:r>
          </w:p>
        </w:tc>
        <w:tc>
          <w:tcPr>
            <w:tcW w:w="1225" w:type="dxa"/>
            <w:tcBorders>
              <w:top w:val="nil"/>
              <w:left w:val="nil"/>
              <w:bottom w:val="single" w:sz="8" w:space="0" w:color="auto"/>
              <w:right w:val="nil"/>
            </w:tcBorders>
            <w:shd w:val="clear" w:color="auto" w:fill="auto"/>
            <w:noWrap/>
          </w:tcPr>
          <w:p w:rsidR="00346271" w:rsidRPr="000B4210" w:rsidRDefault="00346271" w:rsidP="00BF04EA">
            <w:pPr>
              <w:spacing w:after="0" w:line="276" w:lineRule="auto"/>
              <w:jc w:val="right"/>
              <w:rPr>
                <w:rFonts w:cs="Arial"/>
                <w:sz w:val="20"/>
                <w:szCs w:val="20"/>
                <w:lang w:eastAsia="en-NZ"/>
              </w:rPr>
            </w:pPr>
            <w:r w:rsidRPr="000B4210">
              <w:rPr>
                <w:rFonts w:cs="Arial"/>
                <w:sz w:val="20"/>
                <w:szCs w:val="20"/>
                <w:lang w:eastAsia="en-NZ"/>
              </w:rPr>
              <w:t>(</w:t>
            </w:r>
            <w:r w:rsidR="00337F3B">
              <w:rPr>
                <w:rFonts w:cs="Arial"/>
                <w:sz w:val="20"/>
                <w:szCs w:val="20"/>
                <w:lang w:eastAsia="en-NZ"/>
              </w:rPr>
              <w:t>74</w:t>
            </w:r>
            <w:r w:rsidRPr="000B4210">
              <w:rPr>
                <w:rFonts w:cs="Arial"/>
                <w:sz w:val="20"/>
                <w:szCs w:val="20"/>
                <w:lang w:eastAsia="en-NZ"/>
              </w:rPr>
              <w:t>)</w:t>
            </w:r>
          </w:p>
        </w:tc>
      </w:tr>
      <w:tr w:rsidR="00346271" w:rsidRPr="000B4210" w:rsidTr="00BF04EA">
        <w:trPr>
          <w:trHeight w:val="330"/>
        </w:trPr>
        <w:tc>
          <w:tcPr>
            <w:tcW w:w="3716" w:type="dxa"/>
            <w:tcBorders>
              <w:top w:val="nil"/>
              <w:left w:val="nil"/>
              <w:bottom w:val="nil"/>
              <w:right w:val="nil"/>
            </w:tcBorders>
            <w:shd w:val="clear" w:color="auto" w:fill="auto"/>
            <w:hideMark/>
          </w:tcPr>
          <w:p w:rsidR="00346271" w:rsidRPr="000B4210" w:rsidRDefault="00346271" w:rsidP="00BF04EA">
            <w:pPr>
              <w:spacing w:after="0" w:line="276" w:lineRule="auto"/>
              <w:rPr>
                <w:rFonts w:cs="Arial"/>
                <w:sz w:val="20"/>
                <w:szCs w:val="20"/>
                <w:lang w:eastAsia="en-NZ"/>
              </w:rPr>
            </w:pPr>
            <w:r w:rsidRPr="000B4210">
              <w:rPr>
                <w:rFonts w:cs="Arial"/>
                <w:sz w:val="20"/>
                <w:szCs w:val="20"/>
                <w:lang w:eastAsia="en-NZ"/>
              </w:rPr>
              <w:t>Balance at 30 June</w:t>
            </w:r>
          </w:p>
        </w:tc>
        <w:tc>
          <w:tcPr>
            <w:tcW w:w="1224" w:type="dxa"/>
            <w:tcBorders>
              <w:top w:val="nil"/>
              <w:left w:val="nil"/>
              <w:bottom w:val="double" w:sz="6" w:space="0" w:color="auto"/>
              <w:right w:val="nil"/>
            </w:tcBorders>
            <w:shd w:val="clear" w:color="000000" w:fill="FFFF99"/>
            <w:noWrap/>
          </w:tcPr>
          <w:p w:rsidR="00346271" w:rsidRPr="000B4210" w:rsidRDefault="00337F3B" w:rsidP="00BF04EA">
            <w:pPr>
              <w:spacing w:after="0" w:line="276" w:lineRule="auto"/>
              <w:jc w:val="right"/>
              <w:rPr>
                <w:rFonts w:cs="Arial"/>
                <w:b/>
                <w:bCs/>
                <w:sz w:val="20"/>
                <w:szCs w:val="20"/>
                <w:lang w:eastAsia="en-NZ"/>
              </w:rPr>
            </w:pPr>
            <w:r>
              <w:rPr>
                <w:rFonts w:cs="Arial"/>
                <w:b/>
                <w:bCs/>
                <w:sz w:val="20"/>
                <w:szCs w:val="20"/>
                <w:lang w:eastAsia="en-NZ"/>
              </w:rPr>
              <w:t>2,476</w:t>
            </w:r>
          </w:p>
        </w:tc>
        <w:tc>
          <w:tcPr>
            <w:tcW w:w="1224" w:type="dxa"/>
            <w:tcBorders>
              <w:top w:val="nil"/>
              <w:left w:val="nil"/>
              <w:bottom w:val="double" w:sz="6" w:space="0" w:color="auto"/>
              <w:right w:val="nil"/>
            </w:tcBorders>
            <w:shd w:val="clear" w:color="000000" w:fill="FFFF99"/>
            <w:noWrap/>
            <w:hideMark/>
          </w:tcPr>
          <w:p w:rsidR="00346271" w:rsidRPr="000B4210" w:rsidRDefault="00346271" w:rsidP="00BF04EA">
            <w:pPr>
              <w:spacing w:after="0" w:line="276"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588</w:t>
            </w:r>
          </w:p>
        </w:tc>
        <w:tc>
          <w:tcPr>
            <w:tcW w:w="1225" w:type="dxa"/>
            <w:tcBorders>
              <w:top w:val="nil"/>
              <w:left w:val="nil"/>
              <w:bottom w:val="double" w:sz="6" w:space="0" w:color="auto"/>
              <w:right w:val="nil"/>
            </w:tcBorders>
            <w:shd w:val="clear" w:color="000000" w:fill="FFFF99"/>
            <w:noWrap/>
            <w:hideMark/>
          </w:tcPr>
          <w:p w:rsidR="00346271" w:rsidRPr="000B4210" w:rsidRDefault="00346271" w:rsidP="00BF04EA">
            <w:pPr>
              <w:spacing w:after="0" w:line="276"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557</w:t>
            </w:r>
          </w:p>
        </w:tc>
        <w:tc>
          <w:tcPr>
            <w:tcW w:w="1224" w:type="dxa"/>
            <w:tcBorders>
              <w:top w:val="nil"/>
              <w:left w:val="nil"/>
              <w:bottom w:val="double" w:sz="6" w:space="0" w:color="auto"/>
              <w:right w:val="nil"/>
            </w:tcBorders>
            <w:shd w:val="clear" w:color="000000" w:fill="FFFF99"/>
          </w:tcPr>
          <w:p w:rsidR="00346271" w:rsidRPr="000B4210" w:rsidRDefault="00346271" w:rsidP="00BF04EA">
            <w:pPr>
              <w:spacing w:after="0" w:line="276"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743</w:t>
            </w:r>
          </w:p>
        </w:tc>
        <w:tc>
          <w:tcPr>
            <w:tcW w:w="1225" w:type="dxa"/>
            <w:tcBorders>
              <w:top w:val="nil"/>
              <w:left w:val="nil"/>
              <w:bottom w:val="double" w:sz="6" w:space="0" w:color="auto"/>
              <w:right w:val="nil"/>
            </w:tcBorders>
            <w:shd w:val="clear" w:color="000000" w:fill="FFFF99"/>
            <w:noWrap/>
          </w:tcPr>
          <w:p w:rsidR="00346271" w:rsidRPr="000B4210" w:rsidRDefault="00346271" w:rsidP="00BF04EA">
            <w:pPr>
              <w:spacing w:after="0" w:line="276" w:lineRule="auto"/>
              <w:jc w:val="right"/>
              <w:rPr>
                <w:rFonts w:cs="Arial"/>
                <w:b/>
                <w:bCs/>
                <w:sz w:val="20"/>
                <w:szCs w:val="20"/>
                <w:lang w:eastAsia="en-NZ"/>
              </w:rPr>
            </w:pPr>
            <w:r w:rsidRPr="000B4210">
              <w:rPr>
                <w:rFonts w:cs="Arial"/>
                <w:b/>
                <w:bCs/>
                <w:sz w:val="20"/>
                <w:szCs w:val="20"/>
                <w:lang w:eastAsia="en-NZ"/>
              </w:rPr>
              <w:t>1,</w:t>
            </w:r>
            <w:r w:rsidR="00337F3B">
              <w:rPr>
                <w:rFonts w:cs="Arial"/>
                <w:b/>
                <w:bCs/>
                <w:sz w:val="20"/>
                <w:szCs w:val="20"/>
                <w:lang w:eastAsia="en-NZ"/>
              </w:rPr>
              <w:t>669</w:t>
            </w:r>
          </w:p>
        </w:tc>
      </w:tr>
      <w:tr w:rsidR="00346271" w:rsidRPr="000B4210" w:rsidTr="00BF04EA">
        <w:trPr>
          <w:trHeight w:val="330"/>
        </w:trPr>
        <w:tc>
          <w:tcPr>
            <w:tcW w:w="3716" w:type="dxa"/>
            <w:tcBorders>
              <w:top w:val="nil"/>
              <w:left w:val="nil"/>
              <w:bottom w:val="nil"/>
              <w:right w:val="nil"/>
            </w:tcBorders>
            <w:shd w:val="clear" w:color="auto" w:fill="auto"/>
            <w:noWrap/>
            <w:hideMark/>
          </w:tcPr>
          <w:p w:rsidR="00346271" w:rsidRPr="000B4210" w:rsidRDefault="00346271" w:rsidP="00BF04EA">
            <w:pPr>
              <w:spacing w:after="0" w:line="276" w:lineRule="auto"/>
              <w:rPr>
                <w:rFonts w:cs="Arial"/>
                <w:b/>
                <w:bCs/>
                <w:lang w:eastAsia="en-NZ"/>
              </w:rPr>
            </w:pPr>
          </w:p>
        </w:tc>
        <w:tc>
          <w:tcPr>
            <w:tcW w:w="1224" w:type="dxa"/>
            <w:tcBorders>
              <w:top w:val="nil"/>
              <w:left w:val="nil"/>
              <w:bottom w:val="nil"/>
              <w:right w:val="nil"/>
            </w:tcBorders>
            <w:shd w:val="clear" w:color="auto" w:fill="auto"/>
            <w:noWrap/>
            <w:hideMark/>
          </w:tcPr>
          <w:p w:rsidR="00346271" w:rsidRPr="000B4210" w:rsidRDefault="00346271" w:rsidP="00BF04EA">
            <w:pPr>
              <w:spacing w:after="0" w:line="276" w:lineRule="auto"/>
              <w:jc w:val="right"/>
              <w:rPr>
                <w:rFonts w:cs="Arial"/>
                <w:sz w:val="20"/>
                <w:szCs w:val="20"/>
                <w:lang w:eastAsia="en-NZ"/>
              </w:rPr>
            </w:pPr>
          </w:p>
        </w:tc>
        <w:tc>
          <w:tcPr>
            <w:tcW w:w="1224" w:type="dxa"/>
            <w:tcBorders>
              <w:top w:val="nil"/>
              <w:left w:val="nil"/>
              <w:bottom w:val="nil"/>
              <w:right w:val="nil"/>
            </w:tcBorders>
            <w:shd w:val="clear" w:color="auto" w:fill="auto"/>
            <w:noWrap/>
            <w:hideMark/>
          </w:tcPr>
          <w:p w:rsidR="00346271" w:rsidRPr="000B4210" w:rsidRDefault="00346271" w:rsidP="00BF04EA">
            <w:pPr>
              <w:spacing w:after="0" w:line="276" w:lineRule="auto"/>
              <w:jc w:val="right"/>
              <w:rPr>
                <w:rFonts w:cs="Arial"/>
                <w:sz w:val="20"/>
                <w:szCs w:val="20"/>
                <w:lang w:eastAsia="en-NZ"/>
              </w:rPr>
            </w:pPr>
          </w:p>
        </w:tc>
        <w:tc>
          <w:tcPr>
            <w:tcW w:w="1225" w:type="dxa"/>
            <w:tcBorders>
              <w:top w:val="nil"/>
              <w:left w:val="nil"/>
              <w:bottom w:val="nil"/>
              <w:right w:val="nil"/>
            </w:tcBorders>
            <w:shd w:val="clear" w:color="auto" w:fill="auto"/>
            <w:noWrap/>
            <w:hideMark/>
          </w:tcPr>
          <w:p w:rsidR="00346271" w:rsidRPr="000B4210" w:rsidRDefault="00346271" w:rsidP="00BF04EA">
            <w:pPr>
              <w:spacing w:after="0" w:line="276" w:lineRule="auto"/>
              <w:jc w:val="right"/>
              <w:rPr>
                <w:rFonts w:cs="Arial"/>
                <w:sz w:val="20"/>
                <w:szCs w:val="20"/>
                <w:lang w:eastAsia="en-NZ"/>
              </w:rPr>
            </w:pPr>
          </w:p>
        </w:tc>
        <w:tc>
          <w:tcPr>
            <w:tcW w:w="1224" w:type="dxa"/>
            <w:tcBorders>
              <w:top w:val="nil"/>
              <w:left w:val="nil"/>
              <w:bottom w:val="nil"/>
              <w:right w:val="nil"/>
            </w:tcBorders>
          </w:tcPr>
          <w:p w:rsidR="00346271" w:rsidRPr="000B4210" w:rsidRDefault="00346271" w:rsidP="00BF04EA">
            <w:pPr>
              <w:spacing w:after="0" w:line="276" w:lineRule="auto"/>
              <w:jc w:val="right"/>
              <w:rPr>
                <w:rFonts w:cs="Arial"/>
                <w:sz w:val="20"/>
                <w:szCs w:val="20"/>
                <w:lang w:eastAsia="en-NZ"/>
              </w:rPr>
            </w:pPr>
          </w:p>
        </w:tc>
        <w:tc>
          <w:tcPr>
            <w:tcW w:w="1225" w:type="dxa"/>
            <w:tcBorders>
              <w:top w:val="nil"/>
              <w:left w:val="nil"/>
              <w:bottom w:val="nil"/>
              <w:right w:val="nil"/>
            </w:tcBorders>
            <w:shd w:val="clear" w:color="auto" w:fill="auto"/>
            <w:noWrap/>
            <w:hideMark/>
          </w:tcPr>
          <w:p w:rsidR="00346271" w:rsidRPr="000B4210" w:rsidRDefault="00346271" w:rsidP="00BF04EA">
            <w:pPr>
              <w:spacing w:after="0" w:line="276" w:lineRule="auto"/>
              <w:jc w:val="right"/>
              <w:rPr>
                <w:rFonts w:cs="Arial"/>
                <w:sz w:val="20"/>
                <w:szCs w:val="20"/>
                <w:lang w:eastAsia="en-NZ"/>
              </w:rPr>
            </w:pPr>
          </w:p>
        </w:tc>
      </w:tr>
    </w:tbl>
    <w:p w:rsidR="00346271" w:rsidRPr="000B4210" w:rsidRDefault="00346271" w:rsidP="00346271">
      <w:pPr>
        <w:spacing w:after="200" w:line="276" w:lineRule="auto"/>
      </w:pPr>
    </w:p>
    <w:p w:rsidR="00346271" w:rsidRPr="000B4210" w:rsidRDefault="00346271" w:rsidP="00346271">
      <w:pPr>
        <w:pStyle w:val="Heading3"/>
        <w:rPr>
          <w:rFonts w:cs="Arial"/>
          <w:b w:val="0"/>
          <w:sz w:val="28"/>
          <w:szCs w:val="28"/>
        </w:rPr>
      </w:pPr>
      <w:bookmarkStart w:id="11" w:name="_Toc390680430"/>
      <w:r w:rsidRPr="000B4210">
        <w:rPr>
          <w:rFonts w:cs="Arial"/>
          <w:b w:val="0"/>
          <w:sz w:val="28"/>
          <w:szCs w:val="28"/>
        </w:rPr>
        <w:t>Forecast Statement of Cash Flows</w:t>
      </w:r>
      <w:bookmarkEnd w:id="11"/>
    </w:p>
    <w:tbl>
      <w:tblPr>
        <w:tblW w:w="9840" w:type="dxa"/>
        <w:tblInd w:w="108" w:type="dxa"/>
        <w:tblLayout w:type="fixed"/>
        <w:tblLook w:val="04A0" w:firstRow="1" w:lastRow="0" w:firstColumn="1" w:lastColumn="0" w:noHBand="0" w:noVBand="1"/>
      </w:tblPr>
      <w:tblGrid>
        <w:gridCol w:w="4395"/>
        <w:gridCol w:w="1172"/>
        <w:gridCol w:w="1068"/>
        <w:gridCol w:w="1054"/>
        <w:gridCol w:w="1082"/>
        <w:gridCol w:w="1069"/>
      </w:tblGrid>
      <w:tr w:rsidR="00346271" w:rsidRPr="000B4210" w:rsidTr="00FB6559">
        <w:trPr>
          <w:trHeight w:val="630"/>
        </w:trPr>
        <w:tc>
          <w:tcPr>
            <w:tcW w:w="4395" w:type="dxa"/>
            <w:tcBorders>
              <w:top w:val="nil"/>
              <w:left w:val="nil"/>
              <w:bottom w:val="nil"/>
              <w:right w:val="nil"/>
            </w:tcBorders>
            <w:shd w:val="clear" w:color="000000" w:fill="C0C0C0"/>
            <w:noWrap/>
            <w:vAlign w:val="bottom"/>
            <w:hideMark/>
          </w:tcPr>
          <w:p w:rsidR="00346271" w:rsidRPr="000B4210" w:rsidRDefault="00346271" w:rsidP="00BF04EA">
            <w:pPr>
              <w:spacing w:after="0" w:line="240" w:lineRule="auto"/>
              <w:jc w:val="right"/>
              <w:rPr>
                <w:rFonts w:cs="Arial"/>
                <w:b/>
                <w:bCs/>
                <w:lang w:eastAsia="en-NZ"/>
              </w:rPr>
            </w:pPr>
            <w:r w:rsidRPr="000B4210">
              <w:rPr>
                <w:rFonts w:cs="Arial"/>
                <w:b/>
                <w:bCs/>
                <w:lang w:eastAsia="en-NZ"/>
              </w:rPr>
              <w:t> </w:t>
            </w:r>
          </w:p>
        </w:tc>
        <w:tc>
          <w:tcPr>
            <w:tcW w:w="1172"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Estimated Actual</w:t>
            </w:r>
          </w:p>
        </w:tc>
        <w:tc>
          <w:tcPr>
            <w:tcW w:w="1068"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c>
          <w:tcPr>
            <w:tcW w:w="1054"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c>
          <w:tcPr>
            <w:tcW w:w="1082" w:type="dxa"/>
            <w:tcBorders>
              <w:top w:val="nil"/>
              <w:left w:val="nil"/>
              <w:bottom w:val="nil"/>
              <w:right w:val="nil"/>
            </w:tcBorders>
            <w:shd w:val="clear" w:color="000000" w:fill="C0C0C0"/>
            <w:vAlign w:val="bottom"/>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c>
          <w:tcPr>
            <w:tcW w:w="1069" w:type="dxa"/>
            <w:tcBorders>
              <w:top w:val="nil"/>
              <w:left w:val="nil"/>
              <w:bottom w:val="nil"/>
              <w:right w:val="nil"/>
            </w:tcBorders>
            <w:shd w:val="clear" w:color="000000" w:fill="C0C0C0"/>
            <w:vAlign w:val="bottom"/>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Forecast</w:t>
            </w:r>
          </w:p>
        </w:tc>
      </w:tr>
      <w:tr w:rsidR="00346271" w:rsidRPr="000B4210" w:rsidTr="00FB6559">
        <w:trPr>
          <w:trHeight w:val="315"/>
        </w:trPr>
        <w:tc>
          <w:tcPr>
            <w:tcW w:w="4395"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lang w:eastAsia="en-NZ"/>
              </w:rPr>
            </w:pPr>
            <w:r w:rsidRPr="000B4210">
              <w:rPr>
                <w:rFonts w:cs="Arial"/>
                <w:b/>
                <w:bCs/>
                <w:lang w:eastAsia="en-NZ"/>
              </w:rPr>
              <w:t> </w:t>
            </w:r>
          </w:p>
        </w:tc>
        <w:tc>
          <w:tcPr>
            <w:tcW w:w="1172"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2015/16</w:t>
            </w:r>
          </w:p>
        </w:tc>
        <w:tc>
          <w:tcPr>
            <w:tcW w:w="1068"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2016/17</w:t>
            </w:r>
          </w:p>
        </w:tc>
        <w:tc>
          <w:tcPr>
            <w:tcW w:w="1054"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2017/18</w:t>
            </w:r>
          </w:p>
        </w:tc>
        <w:tc>
          <w:tcPr>
            <w:tcW w:w="1082" w:type="dxa"/>
            <w:tcBorders>
              <w:top w:val="nil"/>
              <w:left w:val="nil"/>
              <w:bottom w:val="nil"/>
              <w:right w:val="nil"/>
            </w:tcBorders>
            <w:shd w:val="clear" w:color="000000" w:fill="C0C0C0"/>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2018/19</w:t>
            </w:r>
          </w:p>
        </w:tc>
        <w:tc>
          <w:tcPr>
            <w:tcW w:w="1069"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2019/20</w:t>
            </w:r>
          </w:p>
        </w:tc>
      </w:tr>
      <w:tr w:rsidR="00346271" w:rsidRPr="000B4210" w:rsidTr="00FB6559">
        <w:trPr>
          <w:trHeight w:val="315"/>
        </w:trPr>
        <w:tc>
          <w:tcPr>
            <w:tcW w:w="4395" w:type="dxa"/>
            <w:tcBorders>
              <w:top w:val="nil"/>
              <w:left w:val="nil"/>
              <w:bottom w:val="nil"/>
              <w:right w:val="nil"/>
            </w:tcBorders>
            <w:shd w:val="clear" w:color="000000" w:fill="C0C0C0"/>
            <w:noWrap/>
            <w:hideMark/>
          </w:tcPr>
          <w:p w:rsidR="00346271" w:rsidRPr="000B4210" w:rsidRDefault="00346271" w:rsidP="00BF04EA">
            <w:pPr>
              <w:spacing w:after="0" w:line="240" w:lineRule="auto"/>
              <w:jc w:val="center"/>
              <w:rPr>
                <w:rFonts w:cs="Arial"/>
                <w:lang w:eastAsia="en-NZ"/>
              </w:rPr>
            </w:pPr>
            <w:r w:rsidRPr="000B4210">
              <w:rPr>
                <w:rFonts w:cs="Arial"/>
                <w:lang w:eastAsia="en-NZ"/>
              </w:rPr>
              <w:t> </w:t>
            </w:r>
          </w:p>
        </w:tc>
        <w:tc>
          <w:tcPr>
            <w:tcW w:w="1172"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c>
          <w:tcPr>
            <w:tcW w:w="1068"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c>
          <w:tcPr>
            <w:tcW w:w="1054"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c>
          <w:tcPr>
            <w:tcW w:w="1082" w:type="dxa"/>
            <w:tcBorders>
              <w:top w:val="nil"/>
              <w:left w:val="nil"/>
              <w:bottom w:val="nil"/>
              <w:right w:val="nil"/>
            </w:tcBorders>
            <w:shd w:val="clear" w:color="000000" w:fill="C0C0C0"/>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c>
          <w:tcPr>
            <w:tcW w:w="1069" w:type="dxa"/>
            <w:tcBorders>
              <w:top w:val="nil"/>
              <w:left w:val="nil"/>
              <w:bottom w:val="nil"/>
              <w:right w:val="nil"/>
            </w:tcBorders>
            <w:shd w:val="clear" w:color="000000" w:fill="C0C0C0"/>
            <w:noWrap/>
            <w:hideMark/>
          </w:tcPr>
          <w:p w:rsidR="00346271" w:rsidRPr="000B4210" w:rsidRDefault="00346271" w:rsidP="00BF04EA">
            <w:pPr>
              <w:spacing w:after="0" w:line="240" w:lineRule="auto"/>
              <w:jc w:val="right"/>
              <w:rPr>
                <w:rFonts w:cs="Arial"/>
                <w:b/>
                <w:bCs/>
                <w:sz w:val="20"/>
                <w:szCs w:val="20"/>
                <w:lang w:eastAsia="en-NZ"/>
              </w:rPr>
            </w:pPr>
            <w:r w:rsidRPr="000B4210">
              <w:rPr>
                <w:rFonts w:cs="Arial"/>
                <w:b/>
                <w:bCs/>
                <w:sz w:val="20"/>
                <w:szCs w:val="20"/>
                <w:lang w:eastAsia="en-NZ"/>
              </w:rPr>
              <w:t>$000</w:t>
            </w:r>
          </w:p>
        </w:tc>
      </w:tr>
      <w:tr w:rsidR="00346271" w:rsidRPr="000B4210" w:rsidTr="00FB6559">
        <w:trPr>
          <w:trHeight w:val="315"/>
        </w:trPr>
        <w:tc>
          <w:tcPr>
            <w:tcW w:w="4395" w:type="dxa"/>
            <w:tcBorders>
              <w:top w:val="nil"/>
              <w:left w:val="nil"/>
              <w:bottom w:val="nil"/>
              <w:right w:val="nil"/>
            </w:tcBorders>
            <w:shd w:val="clear" w:color="auto" w:fill="auto"/>
            <w:hideMark/>
          </w:tcPr>
          <w:p w:rsidR="00346271" w:rsidRPr="000B4210" w:rsidRDefault="00346271" w:rsidP="00BF04EA">
            <w:pPr>
              <w:spacing w:after="0" w:line="240" w:lineRule="auto"/>
              <w:rPr>
                <w:rFonts w:cs="Arial"/>
                <w:lang w:eastAsia="en-NZ"/>
              </w:rPr>
            </w:pPr>
          </w:p>
        </w:tc>
        <w:tc>
          <w:tcPr>
            <w:tcW w:w="1172" w:type="dxa"/>
            <w:tcBorders>
              <w:top w:val="nil"/>
              <w:left w:val="nil"/>
              <w:bottom w:val="nil"/>
              <w:right w:val="nil"/>
            </w:tcBorders>
            <w:shd w:val="clear" w:color="auto" w:fill="auto"/>
            <w:hideMark/>
          </w:tcPr>
          <w:p w:rsidR="00346271" w:rsidRPr="000B4210" w:rsidRDefault="00346271" w:rsidP="00BF04EA">
            <w:pPr>
              <w:spacing w:after="0" w:line="240" w:lineRule="auto"/>
              <w:jc w:val="right"/>
              <w:rPr>
                <w:rFonts w:cs="Arial"/>
                <w:sz w:val="20"/>
                <w:szCs w:val="20"/>
                <w:lang w:eastAsia="en-NZ"/>
              </w:rPr>
            </w:pPr>
          </w:p>
        </w:tc>
        <w:tc>
          <w:tcPr>
            <w:tcW w:w="1068" w:type="dxa"/>
            <w:tcBorders>
              <w:top w:val="nil"/>
              <w:left w:val="nil"/>
              <w:bottom w:val="nil"/>
              <w:right w:val="nil"/>
            </w:tcBorders>
            <w:shd w:val="clear" w:color="auto" w:fill="auto"/>
            <w:hideMark/>
          </w:tcPr>
          <w:p w:rsidR="00346271" w:rsidRPr="000B4210" w:rsidRDefault="00346271" w:rsidP="00BF04EA">
            <w:pPr>
              <w:spacing w:after="0" w:line="240" w:lineRule="auto"/>
              <w:jc w:val="right"/>
              <w:rPr>
                <w:rFonts w:cs="Arial"/>
                <w:sz w:val="20"/>
                <w:szCs w:val="20"/>
                <w:lang w:eastAsia="en-NZ"/>
              </w:rPr>
            </w:pPr>
          </w:p>
        </w:tc>
        <w:tc>
          <w:tcPr>
            <w:tcW w:w="1054" w:type="dxa"/>
            <w:tcBorders>
              <w:top w:val="nil"/>
              <w:left w:val="nil"/>
              <w:bottom w:val="nil"/>
              <w:right w:val="nil"/>
            </w:tcBorders>
            <w:shd w:val="clear" w:color="auto" w:fill="auto"/>
            <w:hideMark/>
          </w:tcPr>
          <w:p w:rsidR="00346271" w:rsidRPr="000B4210" w:rsidRDefault="00346271" w:rsidP="00BF04EA">
            <w:pPr>
              <w:spacing w:after="0" w:line="240" w:lineRule="auto"/>
              <w:jc w:val="right"/>
              <w:rPr>
                <w:rFonts w:cs="Arial"/>
                <w:sz w:val="20"/>
                <w:szCs w:val="20"/>
                <w:lang w:eastAsia="en-NZ"/>
              </w:rPr>
            </w:pPr>
          </w:p>
        </w:tc>
        <w:tc>
          <w:tcPr>
            <w:tcW w:w="1082" w:type="dxa"/>
            <w:tcBorders>
              <w:top w:val="nil"/>
              <w:left w:val="nil"/>
              <w:bottom w:val="nil"/>
              <w:right w:val="nil"/>
            </w:tcBorders>
          </w:tcPr>
          <w:p w:rsidR="00346271" w:rsidRPr="000B4210" w:rsidRDefault="00346271" w:rsidP="00BF04EA">
            <w:pPr>
              <w:spacing w:after="0" w:line="240" w:lineRule="auto"/>
              <w:ind w:firstLineChars="100" w:firstLine="200"/>
              <w:jc w:val="right"/>
              <w:rPr>
                <w:rFonts w:cs="Arial"/>
                <w:sz w:val="20"/>
                <w:szCs w:val="20"/>
                <w:lang w:eastAsia="en-NZ"/>
              </w:rPr>
            </w:pPr>
          </w:p>
        </w:tc>
        <w:tc>
          <w:tcPr>
            <w:tcW w:w="1069" w:type="dxa"/>
            <w:tcBorders>
              <w:top w:val="nil"/>
              <w:left w:val="nil"/>
              <w:bottom w:val="nil"/>
              <w:right w:val="nil"/>
            </w:tcBorders>
            <w:shd w:val="clear" w:color="auto" w:fill="auto"/>
            <w:hideMark/>
          </w:tcPr>
          <w:p w:rsidR="00346271" w:rsidRPr="000B4210" w:rsidRDefault="00346271" w:rsidP="00BF04EA">
            <w:pPr>
              <w:spacing w:after="0" w:line="240" w:lineRule="auto"/>
              <w:ind w:firstLineChars="100" w:firstLine="200"/>
              <w:jc w:val="right"/>
              <w:rPr>
                <w:rFonts w:cs="Arial"/>
                <w:sz w:val="20"/>
                <w:szCs w:val="20"/>
                <w:lang w:eastAsia="en-NZ"/>
              </w:rPr>
            </w:pPr>
          </w:p>
        </w:tc>
      </w:tr>
      <w:tr w:rsidR="00346271" w:rsidRPr="000B4210" w:rsidTr="00FB6559">
        <w:trPr>
          <w:trHeight w:val="315"/>
        </w:trPr>
        <w:tc>
          <w:tcPr>
            <w:tcW w:w="4395" w:type="dxa"/>
            <w:tcBorders>
              <w:top w:val="nil"/>
              <w:left w:val="nil"/>
              <w:bottom w:val="nil"/>
              <w:right w:val="nil"/>
            </w:tcBorders>
            <w:shd w:val="clear" w:color="auto" w:fill="auto"/>
            <w:noWrap/>
            <w:hideMark/>
          </w:tcPr>
          <w:p w:rsidR="00346271" w:rsidRPr="000B4210" w:rsidRDefault="00346271" w:rsidP="00BF04EA">
            <w:pPr>
              <w:spacing w:after="0" w:line="240" w:lineRule="auto"/>
              <w:rPr>
                <w:rFonts w:cs="Arial"/>
                <w:b/>
                <w:bCs/>
                <w:sz w:val="20"/>
                <w:szCs w:val="20"/>
                <w:lang w:eastAsia="en-NZ"/>
              </w:rPr>
            </w:pPr>
            <w:r w:rsidRPr="000B4210">
              <w:rPr>
                <w:rFonts w:cs="Arial"/>
                <w:b/>
                <w:bCs/>
                <w:sz w:val="20"/>
                <w:szCs w:val="20"/>
                <w:lang w:eastAsia="en-NZ"/>
              </w:rPr>
              <w:t>Cash flows from operating activities</w:t>
            </w:r>
          </w:p>
        </w:tc>
        <w:tc>
          <w:tcPr>
            <w:tcW w:w="1172" w:type="dxa"/>
            <w:tcBorders>
              <w:top w:val="nil"/>
              <w:left w:val="nil"/>
              <w:bottom w:val="nil"/>
              <w:right w:val="nil"/>
            </w:tcBorders>
            <w:shd w:val="clear" w:color="auto" w:fill="auto"/>
            <w:hideMark/>
          </w:tcPr>
          <w:p w:rsidR="00346271" w:rsidRPr="000B4210" w:rsidRDefault="00346271" w:rsidP="00BF04EA">
            <w:pPr>
              <w:spacing w:after="0" w:line="240" w:lineRule="auto"/>
              <w:jc w:val="right"/>
              <w:rPr>
                <w:rFonts w:cs="Arial"/>
                <w:b/>
                <w:bCs/>
                <w:sz w:val="20"/>
                <w:szCs w:val="20"/>
                <w:lang w:eastAsia="en-NZ"/>
              </w:rPr>
            </w:pPr>
          </w:p>
        </w:tc>
        <w:tc>
          <w:tcPr>
            <w:tcW w:w="1068" w:type="dxa"/>
            <w:tcBorders>
              <w:top w:val="nil"/>
              <w:left w:val="nil"/>
              <w:bottom w:val="nil"/>
              <w:right w:val="nil"/>
            </w:tcBorders>
            <w:shd w:val="clear" w:color="auto" w:fill="auto"/>
            <w:hideMark/>
          </w:tcPr>
          <w:p w:rsidR="00346271" w:rsidRPr="000B4210" w:rsidRDefault="00346271" w:rsidP="00BF04EA">
            <w:pPr>
              <w:spacing w:after="0" w:line="240" w:lineRule="auto"/>
              <w:jc w:val="right"/>
              <w:rPr>
                <w:rFonts w:cs="Arial"/>
                <w:b/>
                <w:bCs/>
                <w:sz w:val="20"/>
                <w:szCs w:val="20"/>
                <w:lang w:eastAsia="en-NZ"/>
              </w:rPr>
            </w:pPr>
          </w:p>
        </w:tc>
        <w:tc>
          <w:tcPr>
            <w:tcW w:w="1054" w:type="dxa"/>
            <w:tcBorders>
              <w:top w:val="nil"/>
              <w:left w:val="nil"/>
              <w:bottom w:val="nil"/>
              <w:right w:val="nil"/>
            </w:tcBorders>
            <w:shd w:val="clear" w:color="auto" w:fill="auto"/>
            <w:hideMark/>
          </w:tcPr>
          <w:p w:rsidR="00346271" w:rsidRPr="000B4210" w:rsidRDefault="00346271" w:rsidP="00BF04EA">
            <w:pPr>
              <w:spacing w:after="0" w:line="240" w:lineRule="auto"/>
              <w:jc w:val="right"/>
              <w:rPr>
                <w:rFonts w:cs="Arial"/>
                <w:b/>
                <w:bCs/>
                <w:sz w:val="20"/>
                <w:szCs w:val="20"/>
                <w:lang w:eastAsia="en-NZ"/>
              </w:rPr>
            </w:pPr>
          </w:p>
        </w:tc>
        <w:tc>
          <w:tcPr>
            <w:tcW w:w="1082" w:type="dxa"/>
            <w:tcBorders>
              <w:top w:val="nil"/>
              <w:left w:val="nil"/>
              <w:bottom w:val="nil"/>
              <w:right w:val="nil"/>
            </w:tcBorders>
          </w:tcPr>
          <w:p w:rsidR="00346271" w:rsidRPr="000B4210" w:rsidRDefault="00346271" w:rsidP="007923F8">
            <w:pPr>
              <w:spacing w:after="0" w:line="240" w:lineRule="auto"/>
              <w:ind w:firstLineChars="100" w:firstLine="201"/>
              <w:jc w:val="right"/>
              <w:rPr>
                <w:rFonts w:cs="Arial"/>
                <w:b/>
                <w:bCs/>
                <w:sz w:val="20"/>
                <w:szCs w:val="20"/>
                <w:lang w:eastAsia="en-NZ"/>
              </w:rPr>
            </w:pPr>
          </w:p>
        </w:tc>
        <w:tc>
          <w:tcPr>
            <w:tcW w:w="1069" w:type="dxa"/>
            <w:tcBorders>
              <w:top w:val="nil"/>
              <w:left w:val="nil"/>
              <w:bottom w:val="nil"/>
              <w:right w:val="nil"/>
            </w:tcBorders>
            <w:shd w:val="clear" w:color="auto" w:fill="auto"/>
            <w:hideMark/>
          </w:tcPr>
          <w:p w:rsidR="00346271" w:rsidRPr="000B4210" w:rsidRDefault="00346271" w:rsidP="007923F8">
            <w:pPr>
              <w:spacing w:after="0" w:line="240" w:lineRule="auto"/>
              <w:ind w:firstLineChars="100" w:firstLine="201"/>
              <w:jc w:val="right"/>
              <w:rPr>
                <w:rFonts w:cs="Arial"/>
                <w:b/>
                <w:bCs/>
                <w:sz w:val="20"/>
                <w:szCs w:val="20"/>
                <w:lang w:eastAsia="en-NZ"/>
              </w:rPr>
            </w:pPr>
          </w:p>
        </w:tc>
      </w:tr>
      <w:tr w:rsidR="00346271" w:rsidRPr="000B4210" w:rsidTr="00FB6559">
        <w:trPr>
          <w:trHeight w:val="300"/>
        </w:trPr>
        <w:tc>
          <w:tcPr>
            <w:tcW w:w="4395" w:type="dxa"/>
            <w:tcBorders>
              <w:top w:val="nil"/>
              <w:left w:val="nil"/>
              <w:bottom w:val="nil"/>
              <w:right w:val="nil"/>
            </w:tcBorders>
            <w:shd w:val="clear" w:color="auto" w:fill="auto"/>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Receipts from the Crown</w:t>
            </w:r>
          </w:p>
        </w:tc>
        <w:tc>
          <w:tcPr>
            <w:tcW w:w="1172"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9,496</w:t>
            </w:r>
          </w:p>
        </w:tc>
        <w:tc>
          <w:tcPr>
            <w:tcW w:w="1068"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9,496</w:t>
            </w:r>
          </w:p>
        </w:tc>
        <w:tc>
          <w:tcPr>
            <w:tcW w:w="1054"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9,396</w:t>
            </w:r>
          </w:p>
        </w:tc>
        <w:tc>
          <w:tcPr>
            <w:tcW w:w="1082"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9,396</w:t>
            </w:r>
          </w:p>
        </w:tc>
        <w:tc>
          <w:tcPr>
            <w:tcW w:w="1069"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9,396</w:t>
            </w:r>
          </w:p>
        </w:tc>
      </w:tr>
      <w:tr w:rsidR="00346271" w:rsidRPr="000B4210" w:rsidTr="00FB6559">
        <w:trPr>
          <w:trHeight w:val="300"/>
        </w:trPr>
        <w:tc>
          <w:tcPr>
            <w:tcW w:w="4395" w:type="dxa"/>
            <w:tcBorders>
              <w:top w:val="nil"/>
              <w:left w:val="nil"/>
              <w:bottom w:val="nil"/>
              <w:right w:val="nil"/>
            </w:tcBorders>
            <w:shd w:val="clear" w:color="auto" w:fill="auto"/>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Receipts from other sources</w:t>
            </w:r>
          </w:p>
        </w:tc>
        <w:tc>
          <w:tcPr>
            <w:tcW w:w="1172"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219</w:t>
            </w:r>
          </w:p>
        </w:tc>
        <w:tc>
          <w:tcPr>
            <w:tcW w:w="1068" w:type="dxa"/>
            <w:tcBorders>
              <w:top w:val="nil"/>
              <w:left w:val="nil"/>
              <w:bottom w:val="nil"/>
              <w:right w:val="nil"/>
            </w:tcBorders>
            <w:shd w:val="clear" w:color="auto" w:fill="auto"/>
            <w:noWrap/>
            <w:hideMark/>
          </w:tcPr>
          <w:p w:rsidR="00346271" w:rsidRPr="000B4210" w:rsidRDefault="00337F3B" w:rsidP="00635690">
            <w:pPr>
              <w:spacing w:after="0" w:line="240" w:lineRule="auto"/>
              <w:jc w:val="right"/>
              <w:rPr>
                <w:rFonts w:cs="Arial"/>
                <w:sz w:val="20"/>
                <w:szCs w:val="20"/>
                <w:lang w:eastAsia="en-NZ"/>
              </w:rPr>
            </w:pPr>
            <w:r>
              <w:rPr>
                <w:rFonts w:cs="Arial"/>
                <w:sz w:val="20"/>
                <w:szCs w:val="20"/>
                <w:lang w:eastAsia="en-NZ"/>
              </w:rPr>
              <w:t>58</w:t>
            </w:r>
            <w:r w:rsidR="00635690">
              <w:rPr>
                <w:rFonts w:cs="Arial"/>
                <w:sz w:val="20"/>
                <w:szCs w:val="20"/>
                <w:lang w:eastAsia="en-NZ"/>
              </w:rPr>
              <w:t>9</w:t>
            </w:r>
          </w:p>
        </w:tc>
        <w:tc>
          <w:tcPr>
            <w:tcW w:w="1054"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176</w:t>
            </w:r>
          </w:p>
        </w:tc>
        <w:tc>
          <w:tcPr>
            <w:tcW w:w="1082"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176</w:t>
            </w:r>
          </w:p>
        </w:tc>
        <w:tc>
          <w:tcPr>
            <w:tcW w:w="1069"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176</w:t>
            </w:r>
          </w:p>
        </w:tc>
      </w:tr>
      <w:tr w:rsidR="00346271" w:rsidRPr="000B4210" w:rsidTr="00FB6559">
        <w:trPr>
          <w:trHeight w:val="300"/>
        </w:trPr>
        <w:tc>
          <w:tcPr>
            <w:tcW w:w="4395" w:type="dxa"/>
            <w:tcBorders>
              <w:top w:val="nil"/>
              <w:left w:val="nil"/>
              <w:bottom w:val="nil"/>
              <w:right w:val="nil"/>
            </w:tcBorders>
            <w:shd w:val="clear" w:color="auto" w:fill="auto"/>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Interest received</w:t>
            </w:r>
          </w:p>
        </w:tc>
        <w:tc>
          <w:tcPr>
            <w:tcW w:w="1172" w:type="dxa"/>
            <w:tcBorders>
              <w:top w:val="nil"/>
              <w:left w:val="nil"/>
              <w:bottom w:val="nil"/>
              <w:right w:val="nil"/>
            </w:tcBorders>
            <w:shd w:val="clear" w:color="auto" w:fill="auto"/>
            <w:noWrap/>
          </w:tcPr>
          <w:p w:rsidR="00346271" w:rsidRPr="000B4210" w:rsidRDefault="00337F3B" w:rsidP="00BF04EA">
            <w:pPr>
              <w:spacing w:after="0" w:line="240" w:lineRule="auto"/>
              <w:jc w:val="right"/>
              <w:rPr>
                <w:rFonts w:cs="Arial"/>
                <w:sz w:val="20"/>
                <w:szCs w:val="20"/>
                <w:lang w:eastAsia="en-NZ"/>
              </w:rPr>
            </w:pPr>
            <w:r>
              <w:rPr>
                <w:rFonts w:cs="Arial"/>
                <w:sz w:val="20"/>
                <w:szCs w:val="20"/>
                <w:lang w:eastAsia="en-NZ"/>
              </w:rPr>
              <w:t>118</w:t>
            </w:r>
          </w:p>
        </w:tc>
        <w:tc>
          <w:tcPr>
            <w:tcW w:w="1068"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w:t>
            </w:r>
            <w:r w:rsidR="00337F3B">
              <w:rPr>
                <w:rFonts w:cs="Arial"/>
                <w:sz w:val="20"/>
                <w:szCs w:val="20"/>
                <w:lang w:eastAsia="en-NZ"/>
              </w:rPr>
              <w:t>99</w:t>
            </w:r>
          </w:p>
        </w:tc>
        <w:tc>
          <w:tcPr>
            <w:tcW w:w="1054"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w:t>
            </w:r>
            <w:r w:rsidR="00452ACA">
              <w:rPr>
                <w:rFonts w:cs="Arial"/>
                <w:sz w:val="20"/>
                <w:szCs w:val="20"/>
                <w:lang w:eastAsia="en-NZ"/>
              </w:rPr>
              <w:t>38</w:t>
            </w:r>
          </w:p>
        </w:tc>
        <w:tc>
          <w:tcPr>
            <w:tcW w:w="1082"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w:t>
            </w:r>
            <w:r w:rsidR="00452ACA">
              <w:rPr>
                <w:rFonts w:cs="Arial"/>
                <w:sz w:val="20"/>
                <w:szCs w:val="20"/>
                <w:lang w:eastAsia="en-NZ"/>
              </w:rPr>
              <w:t>65</w:t>
            </w:r>
          </w:p>
        </w:tc>
        <w:tc>
          <w:tcPr>
            <w:tcW w:w="1069"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1</w:t>
            </w:r>
            <w:r w:rsidR="00452ACA">
              <w:rPr>
                <w:rFonts w:cs="Arial"/>
                <w:sz w:val="20"/>
                <w:szCs w:val="20"/>
                <w:lang w:eastAsia="en-NZ"/>
              </w:rPr>
              <w:t>93</w:t>
            </w:r>
          </w:p>
        </w:tc>
      </w:tr>
      <w:tr w:rsidR="00346271" w:rsidRPr="000B4210" w:rsidTr="00FB6559">
        <w:trPr>
          <w:trHeight w:val="300"/>
        </w:trPr>
        <w:tc>
          <w:tcPr>
            <w:tcW w:w="4395" w:type="dxa"/>
            <w:tcBorders>
              <w:top w:val="nil"/>
              <w:left w:val="nil"/>
              <w:bottom w:val="nil"/>
              <w:right w:val="nil"/>
            </w:tcBorders>
            <w:shd w:val="clear" w:color="auto" w:fill="auto"/>
            <w:hideMark/>
          </w:tcPr>
          <w:p w:rsidR="00346271" w:rsidRPr="000B4210" w:rsidRDefault="00346271" w:rsidP="00BF04EA">
            <w:pPr>
              <w:spacing w:after="0" w:line="240" w:lineRule="auto"/>
              <w:rPr>
                <w:rFonts w:cs="Arial"/>
                <w:sz w:val="20"/>
                <w:szCs w:val="20"/>
                <w:lang w:eastAsia="en-NZ"/>
              </w:rPr>
            </w:pPr>
            <w:r w:rsidRPr="000B4210">
              <w:rPr>
                <w:rFonts w:cs="Arial"/>
                <w:sz w:val="20"/>
                <w:szCs w:val="20"/>
                <w:lang w:eastAsia="en-NZ"/>
              </w:rPr>
              <w:t xml:space="preserve">Payments to </w:t>
            </w:r>
            <w:r w:rsidR="006D17E2">
              <w:rPr>
                <w:rFonts w:cs="Arial"/>
                <w:sz w:val="20"/>
                <w:szCs w:val="20"/>
                <w:lang w:eastAsia="en-NZ"/>
              </w:rPr>
              <w:t xml:space="preserve">commissioners and </w:t>
            </w:r>
            <w:r w:rsidRPr="000B4210">
              <w:rPr>
                <w:rFonts w:cs="Arial"/>
                <w:sz w:val="20"/>
                <w:szCs w:val="20"/>
                <w:lang w:eastAsia="en-NZ"/>
              </w:rPr>
              <w:t>employees</w:t>
            </w:r>
          </w:p>
        </w:tc>
        <w:tc>
          <w:tcPr>
            <w:tcW w:w="1172" w:type="dxa"/>
            <w:tcBorders>
              <w:top w:val="nil"/>
              <w:left w:val="nil"/>
              <w:bottom w:val="nil"/>
              <w:right w:val="nil"/>
            </w:tcBorders>
            <w:shd w:val="clear" w:color="auto" w:fill="auto"/>
            <w:noWrap/>
          </w:tcPr>
          <w:p w:rsidR="00346271" w:rsidRPr="000B4210" w:rsidRDefault="00337F3B">
            <w:pPr>
              <w:spacing w:after="0" w:line="240" w:lineRule="auto"/>
              <w:jc w:val="right"/>
              <w:rPr>
                <w:rFonts w:cs="Arial"/>
                <w:sz w:val="20"/>
                <w:szCs w:val="20"/>
                <w:lang w:eastAsia="en-NZ"/>
              </w:rPr>
            </w:pPr>
            <w:r>
              <w:rPr>
                <w:rFonts w:cs="Arial"/>
                <w:sz w:val="20"/>
                <w:szCs w:val="20"/>
                <w:lang w:eastAsia="en-NZ"/>
              </w:rPr>
              <w:t>(</w:t>
            </w:r>
            <w:r w:rsidR="00452ACA">
              <w:rPr>
                <w:rFonts w:cs="Arial"/>
                <w:sz w:val="20"/>
                <w:szCs w:val="20"/>
                <w:lang w:eastAsia="en-NZ"/>
              </w:rPr>
              <w:t>6,</w:t>
            </w:r>
            <w:r w:rsidR="00790EFE">
              <w:rPr>
                <w:rFonts w:cs="Arial"/>
                <w:sz w:val="20"/>
                <w:szCs w:val="20"/>
                <w:lang w:eastAsia="en-NZ"/>
              </w:rPr>
              <w:t>149</w:t>
            </w:r>
            <w:r>
              <w:rPr>
                <w:rFonts w:cs="Arial"/>
                <w:sz w:val="20"/>
                <w:szCs w:val="20"/>
                <w:lang w:eastAsia="en-NZ"/>
              </w:rPr>
              <w:t>)</w:t>
            </w:r>
          </w:p>
        </w:tc>
        <w:tc>
          <w:tcPr>
            <w:tcW w:w="1068" w:type="dxa"/>
            <w:tcBorders>
              <w:top w:val="nil"/>
              <w:left w:val="nil"/>
              <w:bottom w:val="nil"/>
              <w:right w:val="nil"/>
            </w:tcBorders>
            <w:shd w:val="clear" w:color="auto" w:fill="auto"/>
            <w:noWrap/>
            <w:hideMark/>
          </w:tcPr>
          <w:p w:rsidR="00346271" w:rsidRPr="000B4210" w:rsidRDefault="00346271">
            <w:pPr>
              <w:spacing w:after="0" w:line="240" w:lineRule="auto"/>
              <w:jc w:val="right"/>
              <w:rPr>
                <w:rFonts w:cs="Arial"/>
                <w:sz w:val="20"/>
                <w:szCs w:val="20"/>
                <w:lang w:eastAsia="en-NZ"/>
              </w:rPr>
            </w:pPr>
            <w:r w:rsidRPr="000B4210">
              <w:rPr>
                <w:rFonts w:cs="Arial"/>
                <w:sz w:val="20"/>
                <w:szCs w:val="20"/>
                <w:lang w:eastAsia="en-NZ"/>
              </w:rPr>
              <w:t>(</w:t>
            </w:r>
            <w:r w:rsidR="00790EFE">
              <w:rPr>
                <w:rFonts w:cs="Arial"/>
                <w:sz w:val="20"/>
                <w:szCs w:val="20"/>
                <w:lang w:eastAsia="en-NZ"/>
              </w:rPr>
              <w:t>6,111</w:t>
            </w:r>
            <w:r w:rsidRPr="000B4210">
              <w:rPr>
                <w:rFonts w:cs="Arial"/>
                <w:sz w:val="20"/>
                <w:szCs w:val="20"/>
                <w:lang w:eastAsia="en-NZ"/>
              </w:rPr>
              <w:t>)</w:t>
            </w:r>
          </w:p>
        </w:tc>
        <w:tc>
          <w:tcPr>
            <w:tcW w:w="1054" w:type="dxa"/>
            <w:tcBorders>
              <w:top w:val="nil"/>
              <w:left w:val="nil"/>
              <w:bottom w:val="nil"/>
              <w:right w:val="nil"/>
            </w:tcBorders>
            <w:shd w:val="clear" w:color="auto" w:fill="auto"/>
            <w:noWrap/>
            <w:hideMark/>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w:t>
            </w:r>
            <w:r w:rsidR="00790EFE">
              <w:rPr>
                <w:rFonts w:cs="Arial"/>
                <w:sz w:val="20"/>
                <w:szCs w:val="20"/>
                <w:lang w:eastAsia="en-NZ"/>
              </w:rPr>
              <w:t>6,142</w:t>
            </w:r>
            <w:r w:rsidRPr="000B4210">
              <w:rPr>
                <w:rFonts w:cs="Arial"/>
                <w:sz w:val="20"/>
                <w:szCs w:val="20"/>
                <w:lang w:eastAsia="en-NZ"/>
              </w:rPr>
              <w:t>)</w:t>
            </w:r>
          </w:p>
        </w:tc>
        <w:tc>
          <w:tcPr>
            <w:tcW w:w="1082" w:type="dxa"/>
            <w:tcBorders>
              <w:top w:val="nil"/>
              <w:left w:val="nil"/>
              <w:bottom w:val="nil"/>
              <w:right w:val="nil"/>
            </w:tcBorders>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w:t>
            </w:r>
            <w:r w:rsidR="00790EFE">
              <w:rPr>
                <w:rFonts w:cs="Arial"/>
                <w:sz w:val="20"/>
                <w:szCs w:val="20"/>
                <w:lang w:eastAsia="en-NZ"/>
              </w:rPr>
              <w:t>6,359</w:t>
            </w:r>
            <w:r w:rsidRPr="000B4210">
              <w:rPr>
                <w:rFonts w:cs="Arial"/>
                <w:sz w:val="20"/>
                <w:szCs w:val="20"/>
                <w:lang w:eastAsia="en-NZ"/>
              </w:rPr>
              <w:t>)</w:t>
            </w:r>
          </w:p>
        </w:tc>
        <w:tc>
          <w:tcPr>
            <w:tcW w:w="1069" w:type="dxa"/>
            <w:tcBorders>
              <w:top w:val="nil"/>
              <w:left w:val="nil"/>
              <w:bottom w:val="nil"/>
              <w:right w:val="nil"/>
            </w:tcBorders>
            <w:shd w:val="clear" w:color="auto" w:fill="auto"/>
            <w:noWrap/>
          </w:tcPr>
          <w:p w:rsidR="00346271" w:rsidRPr="000B4210" w:rsidRDefault="00346271" w:rsidP="00BF04EA">
            <w:pPr>
              <w:spacing w:after="0" w:line="240" w:lineRule="auto"/>
              <w:jc w:val="right"/>
              <w:rPr>
                <w:rFonts w:cs="Arial"/>
                <w:sz w:val="20"/>
                <w:szCs w:val="20"/>
                <w:lang w:eastAsia="en-NZ"/>
              </w:rPr>
            </w:pPr>
            <w:r w:rsidRPr="000B4210">
              <w:rPr>
                <w:rFonts w:cs="Arial"/>
                <w:sz w:val="20"/>
                <w:szCs w:val="20"/>
                <w:lang w:eastAsia="en-NZ"/>
              </w:rPr>
              <w:t>(</w:t>
            </w:r>
            <w:r w:rsidR="00790EFE">
              <w:rPr>
                <w:rFonts w:cs="Arial"/>
                <w:sz w:val="20"/>
                <w:szCs w:val="20"/>
                <w:lang w:eastAsia="en-NZ"/>
              </w:rPr>
              <w:t>6,533</w:t>
            </w:r>
            <w:r w:rsidRPr="000B4210">
              <w:rPr>
                <w:rFonts w:cs="Arial"/>
                <w:sz w:val="20"/>
                <w:szCs w:val="20"/>
                <w:lang w:eastAsia="en-NZ"/>
              </w:rPr>
              <w:t>)</w:t>
            </w:r>
          </w:p>
        </w:tc>
      </w:tr>
      <w:tr w:rsidR="00452ACA" w:rsidRPr="000B4210" w:rsidTr="00FB6559">
        <w:trPr>
          <w:trHeight w:val="315"/>
        </w:trPr>
        <w:tc>
          <w:tcPr>
            <w:tcW w:w="4395" w:type="dxa"/>
            <w:tcBorders>
              <w:top w:val="nil"/>
              <w:left w:val="nil"/>
              <w:bottom w:val="nil"/>
              <w:right w:val="nil"/>
            </w:tcBorders>
            <w:shd w:val="clear" w:color="auto" w:fill="auto"/>
          </w:tcPr>
          <w:p w:rsidR="00452ACA" w:rsidRPr="000B4210" w:rsidRDefault="00452ACA" w:rsidP="00452ACA">
            <w:pPr>
              <w:spacing w:after="0" w:line="240" w:lineRule="auto"/>
              <w:rPr>
                <w:rFonts w:cs="Arial"/>
                <w:sz w:val="20"/>
                <w:szCs w:val="20"/>
                <w:lang w:eastAsia="en-NZ"/>
              </w:rPr>
            </w:pPr>
            <w:r>
              <w:rPr>
                <w:rFonts w:cs="Arial"/>
                <w:sz w:val="20"/>
                <w:szCs w:val="20"/>
                <w:lang w:eastAsia="en-NZ"/>
              </w:rPr>
              <w:t xml:space="preserve">Payments to </w:t>
            </w:r>
            <w:r w:rsidRPr="000B4210">
              <w:rPr>
                <w:rFonts w:cs="Arial"/>
                <w:sz w:val="20"/>
                <w:szCs w:val="20"/>
                <w:lang w:eastAsia="en-NZ"/>
              </w:rPr>
              <w:t>suppliers</w:t>
            </w:r>
          </w:p>
        </w:tc>
        <w:tc>
          <w:tcPr>
            <w:tcW w:w="1172" w:type="dxa"/>
            <w:tcBorders>
              <w:top w:val="nil"/>
              <w:left w:val="nil"/>
              <w:bottom w:val="single" w:sz="4" w:space="0" w:color="auto"/>
              <w:right w:val="nil"/>
            </w:tcBorders>
            <w:shd w:val="clear" w:color="auto" w:fill="auto"/>
            <w:noWrap/>
          </w:tcPr>
          <w:p w:rsidR="00452ACA" w:rsidRPr="000B4210" w:rsidRDefault="00452ACA">
            <w:pPr>
              <w:spacing w:after="0" w:line="240" w:lineRule="auto"/>
              <w:jc w:val="right"/>
              <w:rPr>
                <w:rFonts w:cs="Arial"/>
                <w:sz w:val="20"/>
                <w:szCs w:val="20"/>
                <w:lang w:eastAsia="en-NZ"/>
              </w:rPr>
            </w:pPr>
            <w:r>
              <w:rPr>
                <w:rFonts w:cs="Arial"/>
                <w:sz w:val="20"/>
                <w:szCs w:val="20"/>
                <w:lang w:eastAsia="en-NZ"/>
              </w:rPr>
              <w:t>(</w:t>
            </w:r>
            <w:r w:rsidR="00790EFE">
              <w:rPr>
                <w:rFonts w:cs="Arial"/>
                <w:sz w:val="20"/>
                <w:szCs w:val="20"/>
                <w:lang w:eastAsia="en-NZ"/>
              </w:rPr>
              <w:t>3,334</w:t>
            </w:r>
            <w:r>
              <w:rPr>
                <w:rFonts w:cs="Arial"/>
                <w:sz w:val="20"/>
                <w:szCs w:val="20"/>
                <w:lang w:eastAsia="en-NZ"/>
              </w:rPr>
              <w:t>)</w:t>
            </w:r>
          </w:p>
        </w:tc>
        <w:tc>
          <w:tcPr>
            <w:tcW w:w="1068" w:type="dxa"/>
            <w:tcBorders>
              <w:top w:val="nil"/>
              <w:left w:val="nil"/>
              <w:bottom w:val="single" w:sz="4" w:space="0" w:color="auto"/>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w:t>
            </w:r>
            <w:r w:rsidR="00790EFE">
              <w:rPr>
                <w:rFonts w:cs="Arial"/>
                <w:sz w:val="20"/>
                <w:szCs w:val="20"/>
                <w:lang w:eastAsia="en-NZ"/>
              </w:rPr>
              <w:t>4,994</w:t>
            </w:r>
            <w:r w:rsidRPr="000B4210">
              <w:rPr>
                <w:rFonts w:cs="Arial"/>
                <w:sz w:val="20"/>
                <w:szCs w:val="20"/>
                <w:lang w:eastAsia="en-NZ"/>
              </w:rPr>
              <w:t>)</w:t>
            </w:r>
          </w:p>
        </w:tc>
        <w:tc>
          <w:tcPr>
            <w:tcW w:w="1054" w:type="dxa"/>
            <w:tcBorders>
              <w:top w:val="nil"/>
              <w:left w:val="nil"/>
              <w:bottom w:val="single" w:sz="4" w:space="0" w:color="auto"/>
              <w:right w:val="nil"/>
            </w:tcBorders>
            <w:shd w:val="clear" w:color="auto" w:fill="auto"/>
            <w:noWrap/>
          </w:tcPr>
          <w:p w:rsidR="00452ACA" w:rsidRPr="000B4210" w:rsidRDefault="00790EFE" w:rsidP="00452ACA">
            <w:pPr>
              <w:spacing w:after="0" w:line="240" w:lineRule="auto"/>
              <w:jc w:val="right"/>
              <w:rPr>
                <w:rFonts w:cs="Arial"/>
                <w:sz w:val="20"/>
                <w:szCs w:val="20"/>
                <w:lang w:eastAsia="en-NZ"/>
              </w:rPr>
            </w:pPr>
            <w:r>
              <w:rPr>
                <w:rFonts w:cs="Arial"/>
                <w:sz w:val="20"/>
                <w:szCs w:val="20"/>
                <w:lang w:eastAsia="en-NZ"/>
              </w:rPr>
              <w:t>(3,392</w:t>
            </w:r>
            <w:r w:rsidR="00452ACA" w:rsidRPr="000B4210">
              <w:rPr>
                <w:rFonts w:cs="Arial"/>
                <w:sz w:val="20"/>
                <w:szCs w:val="20"/>
                <w:lang w:eastAsia="en-NZ"/>
              </w:rPr>
              <w:t>)</w:t>
            </w:r>
          </w:p>
        </w:tc>
        <w:tc>
          <w:tcPr>
            <w:tcW w:w="1082" w:type="dxa"/>
            <w:tcBorders>
              <w:top w:val="nil"/>
              <w:left w:val="nil"/>
              <w:bottom w:val="single" w:sz="4" w:space="0" w:color="auto"/>
              <w:right w:val="nil"/>
            </w:tcBorders>
          </w:tcPr>
          <w:p w:rsidR="00452ACA" w:rsidRPr="000B4210" w:rsidRDefault="00790EFE" w:rsidP="00452ACA">
            <w:pPr>
              <w:spacing w:after="0" w:line="240" w:lineRule="auto"/>
              <w:jc w:val="right"/>
              <w:rPr>
                <w:rFonts w:cs="Arial"/>
                <w:sz w:val="20"/>
                <w:szCs w:val="20"/>
                <w:lang w:eastAsia="en-NZ"/>
              </w:rPr>
            </w:pPr>
            <w:r>
              <w:rPr>
                <w:rFonts w:cs="Arial"/>
                <w:sz w:val="20"/>
                <w:szCs w:val="20"/>
                <w:lang w:eastAsia="en-NZ"/>
              </w:rPr>
              <w:t>(3,011</w:t>
            </w:r>
            <w:r w:rsidR="00452ACA" w:rsidRPr="000B4210">
              <w:rPr>
                <w:rFonts w:cs="Arial"/>
                <w:sz w:val="20"/>
                <w:szCs w:val="20"/>
                <w:lang w:eastAsia="en-NZ"/>
              </w:rPr>
              <w:t>)</w:t>
            </w:r>
          </w:p>
        </w:tc>
        <w:tc>
          <w:tcPr>
            <w:tcW w:w="1069" w:type="dxa"/>
            <w:tcBorders>
              <w:top w:val="nil"/>
              <w:left w:val="nil"/>
              <w:bottom w:val="single" w:sz="4" w:space="0" w:color="auto"/>
              <w:right w:val="nil"/>
            </w:tcBorders>
            <w:shd w:val="clear" w:color="auto" w:fill="auto"/>
            <w:noWrap/>
          </w:tcPr>
          <w:p w:rsidR="00452ACA" w:rsidRPr="000B4210" w:rsidRDefault="00790EFE" w:rsidP="00452ACA">
            <w:pPr>
              <w:spacing w:after="0" w:line="240" w:lineRule="auto"/>
              <w:jc w:val="right"/>
              <w:rPr>
                <w:rFonts w:cs="Arial"/>
                <w:sz w:val="20"/>
                <w:szCs w:val="20"/>
                <w:lang w:eastAsia="en-NZ"/>
              </w:rPr>
            </w:pPr>
            <w:r>
              <w:rPr>
                <w:rFonts w:cs="Arial"/>
                <w:sz w:val="20"/>
                <w:szCs w:val="20"/>
                <w:lang w:eastAsia="en-NZ"/>
              </w:rPr>
              <w:t>(3,387</w:t>
            </w:r>
            <w:r w:rsidR="00452ACA" w:rsidRPr="000B4210">
              <w:rPr>
                <w:rFonts w:cs="Arial"/>
                <w:sz w:val="20"/>
                <w:szCs w:val="20"/>
                <w:lang w:eastAsia="en-NZ"/>
              </w:rPr>
              <w:t>)</w:t>
            </w:r>
          </w:p>
        </w:tc>
      </w:tr>
      <w:tr w:rsidR="00452ACA" w:rsidRPr="000B4210" w:rsidTr="00FB6559">
        <w:trPr>
          <w:trHeight w:val="315"/>
        </w:trPr>
        <w:tc>
          <w:tcPr>
            <w:tcW w:w="4395" w:type="dxa"/>
            <w:tcBorders>
              <w:top w:val="nil"/>
              <w:left w:val="nil"/>
              <w:bottom w:val="nil"/>
              <w:right w:val="nil"/>
            </w:tcBorders>
            <w:shd w:val="clear" w:color="auto" w:fill="auto"/>
            <w:noWrap/>
            <w:hideMark/>
          </w:tcPr>
          <w:p w:rsidR="00452ACA" w:rsidRPr="000B4210" w:rsidRDefault="00452ACA" w:rsidP="00452ACA">
            <w:pPr>
              <w:spacing w:after="0" w:line="240" w:lineRule="auto"/>
              <w:rPr>
                <w:rFonts w:cs="Arial"/>
                <w:b/>
                <w:bCs/>
                <w:sz w:val="20"/>
                <w:szCs w:val="20"/>
                <w:lang w:eastAsia="en-NZ"/>
              </w:rPr>
            </w:pPr>
            <w:r w:rsidRPr="000B4210">
              <w:rPr>
                <w:rFonts w:cs="Arial"/>
                <w:b/>
                <w:bCs/>
                <w:sz w:val="20"/>
                <w:szCs w:val="20"/>
                <w:lang w:eastAsia="en-NZ"/>
              </w:rPr>
              <w:t>Net cash flow from operating activities</w:t>
            </w:r>
          </w:p>
        </w:tc>
        <w:tc>
          <w:tcPr>
            <w:tcW w:w="1172" w:type="dxa"/>
            <w:tcBorders>
              <w:top w:val="single" w:sz="4" w:space="0" w:color="auto"/>
              <w:left w:val="nil"/>
              <w:bottom w:val="nil"/>
              <w:right w:val="nil"/>
            </w:tcBorders>
            <w:shd w:val="clear" w:color="auto" w:fill="auto"/>
            <w:noWrap/>
          </w:tcPr>
          <w:p w:rsidR="00452ACA" w:rsidRPr="000B4210" w:rsidRDefault="00452ACA" w:rsidP="00452ACA">
            <w:pPr>
              <w:spacing w:after="0" w:line="240" w:lineRule="auto"/>
              <w:jc w:val="right"/>
              <w:rPr>
                <w:rFonts w:cs="Arial"/>
                <w:b/>
                <w:bCs/>
                <w:sz w:val="20"/>
                <w:szCs w:val="20"/>
                <w:lang w:eastAsia="en-NZ"/>
              </w:rPr>
            </w:pPr>
            <w:r>
              <w:rPr>
                <w:rFonts w:cs="Arial"/>
                <w:b/>
                <w:bCs/>
                <w:sz w:val="20"/>
                <w:szCs w:val="20"/>
                <w:lang w:eastAsia="en-NZ"/>
              </w:rPr>
              <w:t>350</w:t>
            </w:r>
          </w:p>
        </w:tc>
        <w:tc>
          <w:tcPr>
            <w:tcW w:w="1068" w:type="dxa"/>
            <w:tcBorders>
              <w:top w:val="single" w:sz="4" w:space="0" w:color="auto"/>
              <w:left w:val="nil"/>
              <w:bottom w:val="nil"/>
              <w:right w:val="nil"/>
            </w:tcBorders>
            <w:shd w:val="clear" w:color="auto" w:fill="auto"/>
            <w:noWrap/>
            <w:hideMark/>
          </w:tcPr>
          <w:p w:rsidR="00452ACA" w:rsidRPr="000B4210" w:rsidRDefault="00452ACA" w:rsidP="00452ACA">
            <w:pPr>
              <w:spacing w:after="0" w:line="240" w:lineRule="auto"/>
              <w:jc w:val="right"/>
              <w:rPr>
                <w:rFonts w:cs="Arial"/>
                <w:b/>
                <w:bCs/>
                <w:sz w:val="20"/>
                <w:szCs w:val="20"/>
                <w:lang w:eastAsia="en-NZ"/>
              </w:rPr>
            </w:pPr>
            <w:r>
              <w:rPr>
                <w:rFonts w:cs="Arial"/>
                <w:b/>
                <w:bCs/>
                <w:sz w:val="20"/>
                <w:szCs w:val="20"/>
                <w:lang w:eastAsia="en-NZ"/>
              </w:rPr>
              <w:t>(821)</w:t>
            </w:r>
          </w:p>
        </w:tc>
        <w:tc>
          <w:tcPr>
            <w:tcW w:w="1054" w:type="dxa"/>
            <w:tcBorders>
              <w:top w:val="single" w:sz="4" w:space="0" w:color="auto"/>
              <w:left w:val="nil"/>
              <w:bottom w:val="nil"/>
              <w:right w:val="nil"/>
            </w:tcBorders>
            <w:shd w:val="clear" w:color="auto" w:fill="auto"/>
            <w:noWrap/>
            <w:hideMark/>
          </w:tcPr>
          <w:p w:rsidR="00452ACA" w:rsidRPr="000B4210" w:rsidRDefault="00452ACA" w:rsidP="00452ACA">
            <w:pPr>
              <w:spacing w:after="0" w:line="240" w:lineRule="auto"/>
              <w:jc w:val="right"/>
              <w:rPr>
                <w:rFonts w:cs="Arial"/>
                <w:b/>
                <w:bCs/>
                <w:sz w:val="20"/>
                <w:szCs w:val="20"/>
                <w:lang w:eastAsia="en-NZ"/>
              </w:rPr>
            </w:pPr>
            <w:r>
              <w:rPr>
                <w:rFonts w:cs="Arial"/>
                <w:b/>
                <w:bCs/>
                <w:sz w:val="20"/>
                <w:szCs w:val="20"/>
                <w:lang w:eastAsia="en-NZ"/>
              </w:rPr>
              <w:t>176</w:t>
            </w:r>
          </w:p>
        </w:tc>
        <w:tc>
          <w:tcPr>
            <w:tcW w:w="1082" w:type="dxa"/>
            <w:tcBorders>
              <w:top w:val="single" w:sz="4" w:space="0" w:color="auto"/>
              <w:left w:val="nil"/>
              <w:bottom w:val="nil"/>
              <w:right w:val="nil"/>
            </w:tcBorders>
          </w:tcPr>
          <w:p w:rsidR="00452ACA" w:rsidRPr="000B4210" w:rsidRDefault="00452ACA" w:rsidP="00452ACA">
            <w:pPr>
              <w:spacing w:after="0" w:line="240" w:lineRule="auto"/>
              <w:jc w:val="right"/>
              <w:rPr>
                <w:rFonts w:cs="Arial"/>
                <w:b/>
                <w:bCs/>
                <w:sz w:val="20"/>
                <w:szCs w:val="20"/>
                <w:lang w:eastAsia="en-NZ"/>
              </w:rPr>
            </w:pPr>
            <w:r>
              <w:rPr>
                <w:rFonts w:cs="Arial"/>
                <w:b/>
                <w:bCs/>
                <w:sz w:val="20"/>
                <w:szCs w:val="20"/>
                <w:lang w:eastAsia="en-NZ"/>
              </w:rPr>
              <w:t>367</w:t>
            </w:r>
          </w:p>
        </w:tc>
        <w:tc>
          <w:tcPr>
            <w:tcW w:w="1069" w:type="dxa"/>
            <w:tcBorders>
              <w:top w:val="single" w:sz="4" w:space="0" w:color="auto"/>
              <w:left w:val="nil"/>
              <w:bottom w:val="nil"/>
              <w:right w:val="nil"/>
            </w:tcBorders>
            <w:shd w:val="clear" w:color="auto" w:fill="auto"/>
            <w:noWrap/>
          </w:tcPr>
          <w:p w:rsidR="00452ACA" w:rsidRPr="000B4210" w:rsidRDefault="00452ACA" w:rsidP="00452ACA">
            <w:pPr>
              <w:spacing w:after="0" w:line="240" w:lineRule="auto"/>
              <w:jc w:val="right"/>
              <w:rPr>
                <w:rFonts w:cs="Arial"/>
                <w:b/>
                <w:bCs/>
                <w:sz w:val="20"/>
                <w:szCs w:val="20"/>
                <w:lang w:eastAsia="en-NZ"/>
              </w:rPr>
            </w:pPr>
            <w:r>
              <w:rPr>
                <w:rFonts w:cs="Arial"/>
                <w:b/>
                <w:bCs/>
                <w:sz w:val="20"/>
                <w:szCs w:val="20"/>
                <w:lang w:eastAsia="en-NZ"/>
              </w:rPr>
              <w:t>145</w:t>
            </w:r>
          </w:p>
        </w:tc>
      </w:tr>
      <w:tr w:rsidR="00452ACA" w:rsidRPr="000B4210" w:rsidTr="00FB6559">
        <w:trPr>
          <w:trHeight w:val="300"/>
        </w:trPr>
        <w:tc>
          <w:tcPr>
            <w:tcW w:w="4395" w:type="dxa"/>
            <w:tcBorders>
              <w:top w:val="nil"/>
              <w:left w:val="nil"/>
              <w:bottom w:val="nil"/>
              <w:right w:val="nil"/>
            </w:tcBorders>
            <w:shd w:val="clear" w:color="auto" w:fill="auto"/>
            <w:hideMark/>
          </w:tcPr>
          <w:p w:rsidR="00452ACA" w:rsidRPr="000B4210" w:rsidRDefault="00452ACA" w:rsidP="00452ACA">
            <w:pPr>
              <w:spacing w:after="0" w:line="240" w:lineRule="auto"/>
              <w:rPr>
                <w:rFonts w:cs="Arial"/>
                <w:sz w:val="20"/>
                <w:szCs w:val="20"/>
                <w:lang w:eastAsia="en-NZ"/>
              </w:rPr>
            </w:pPr>
          </w:p>
        </w:tc>
        <w:tc>
          <w:tcPr>
            <w:tcW w:w="1172"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p>
        </w:tc>
        <w:tc>
          <w:tcPr>
            <w:tcW w:w="1068"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p>
        </w:tc>
        <w:tc>
          <w:tcPr>
            <w:tcW w:w="1054"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p>
        </w:tc>
        <w:tc>
          <w:tcPr>
            <w:tcW w:w="1082" w:type="dxa"/>
            <w:tcBorders>
              <w:top w:val="nil"/>
              <w:left w:val="nil"/>
              <w:bottom w:val="nil"/>
              <w:right w:val="nil"/>
            </w:tcBorders>
          </w:tcPr>
          <w:p w:rsidR="00452ACA" w:rsidRPr="000B4210" w:rsidRDefault="00452ACA" w:rsidP="00452ACA">
            <w:pPr>
              <w:spacing w:after="0" w:line="240" w:lineRule="auto"/>
              <w:jc w:val="right"/>
              <w:rPr>
                <w:rFonts w:cs="Arial"/>
                <w:sz w:val="20"/>
                <w:szCs w:val="20"/>
                <w:lang w:eastAsia="en-NZ"/>
              </w:rPr>
            </w:pPr>
          </w:p>
        </w:tc>
        <w:tc>
          <w:tcPr>
            <w:tcW w:w="1069"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p>
        </w:tc>
      </w:tr>
      <w:tr w:rsidR="00452ACA" w:rsidRPr="000B4210" w:rsidTr="00FB6559">
        <w:trPr>
          <w:trHeight w:val="315"/>
        </w:trPr>
        <w:tc>
          <w:tcPr>
            <w:tcW w:w="4395" w:type="dxa"/>
            <w:tcBorders>
              <w:top w:val="nil"/>
              <w:left w:val="nil"/>
              <w:bottom w:val="nil"/>
              <w:right w:val="nil"/>
            </w:tcBorders>
            <w:shd w:val="clear" w:color="auto" w:fill="auto"/>
            <w:noWrap/>
            <w:hideMark/>
          </w:tcPr>
          <w:p w:rsidR="00452ACA" w:rsidRPr="000B4210" w:rsidRDefault="00452ACA" w:rsidP="00452ACA">
            <w:pPr>
              <w:spacing w:after="0" w:line="240" w:lineRule="auto"/>
              <w:rPr>
                <w:rFonts w:cs="Arial"/>
                <w:b/>
                <w:bCs/>
                <w:sz w:val="20"/>
                <w:szCs w:val="20"/>
                <w:lang w:eastAsia="en-NZ"/>
              </w:rPr>
            </w:pPr>
            <w:r w:rsidRPr="000B4210">
              <w:rPr>
                <w:rFonts w:cs="Arial"/>
                <w:b/>
                <w:bCs/>
                <w:sz w:val="20"/>
                <w:szCs w:val="20"/>
                <w:lang w:eastAsia="en-NZ"/>
              </w:rPr>
              <w:t>Cash flows from investing activities</w:t>
            </w:r>
          </w:p>
        </w:tc>
        <w:tc>
          <w:tcPr>
            <w:tcW w:w="1172"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p>
        </w:tc>
        <w:tc>
          <w:tcPr>
            <w:tcW w:w="1068"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p>
        </w:tc>
        <w:tc>
          <w:tcPr>
            <w:tcW w:w="1054"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p>
        </w:tc>
        <w:tc>
          <w:tcPr>
            <w:tcW w:w="1082" w:type="dxa"/>
            <w:tcBorders>
              <w:top w:val="nil"/>
              <w:left w:val="nil"/>
              <w:bottom w:val="nil"/>
              <w:right w:val="nil"/>
            </w:tcBorders>
          </w:tcPr>
          <w:p w:rsidR="00452ACA" w:rsidRPr="000B4210" w:rsidRDefault="00452ACA" w:rsidP="00452ACA">
            <w:pPr>
              <w:spacing w:after="0" w:line="240" w:lineRule="auto"/>
              <w:jc w:val="right"/>
              <w:rPr>
                <w:rFonts w:cs="Arial"/>
                <w:sz w:val="20"/>
                <w:szCs w:val="20"/>
                <w:lang w:eastAsia="en-NZ"/>
              </w:rPr>
            </w:pPr>
          </w:p>
        </w:tc>
        <w:tc>
          <w:tcPr>
            <w:tcW w:w="1069"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p>
        </w:tc>
      </w:tr>
      <w:tr w:rsidR="00452ACA" w:rsidRPr="000B4210" w:rsidTr="00FB6559">
        <w:trPr>
          <w:trHeight w:val="315"/>
        </w:trPr>
        <w:tc>
          <w:tcPr>
            <w:tcW w:w="4395" w:type="dxa"/>
            <w:tcBorders>
              <w:top w:val="nil"/>
              <w:left w:val="nil"/>
              <w:bottom w:val="nil"/>
              <w:right w:val="nil"/>
            </w:tcBorders>
            <w:shd w:val="clear" w:color="auto" w:fill="auto"/>
            <w:noWrap/>
            <w:hideMark/>
          </w:tcPr>
          <w:p w:rsidR="00452ACA" w:rsidRPr="000B4210" w:rsidRDefault="00452ACA" w:rsidP="00452ACA">
            <w:pPr>
              <w:spacing w:after="0" w:line="240" w:lineRule="auto"/>
              <w:rPr>
                <w:rFonts w:cs="Arial"/>
                <w:sz w:val="20"/>
                <w:szCs w:val="20"/>
                <w:lang w:eastAsia="en-NZ"/>
              </w:rPr>
            </w:pPr>
            <w:r w:rsidRPr="000B4210">
              <w:rPr>
                <w:rFonts w:cs="Arial"/>
                <w:sz w:val="20"/>
                <w:szCs w:val="20"/>
                <w:lang w:eastAsia="en-NZ"/>
              </w:rPr>
              <w:t>Maturity of short-term deposits</w:t>
            </w:r>
          </w:p>
        </w:tc>
        <w:tc>
          <w:tcPr>
            <w:tcW w:w="1172"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Pr>
                <w:rFonts w:cs="Arial"/>
                <w:sz w:val="20"/>
                <w:szCs w:val="20"/>
                <w:lang w:eastAsia="en-NZ"/>
              </w:rPr>
              <w:t>3</w:t>
            </w:r>
            <w:r w:rsidR="006D17E2">
              <w:rPr>
                <w:rFonts w:cs="Arial"/>
                <w:sz w:val="20"/>
                <w:szCs w:val="20"/>
                <w:lang w:eastAsia="en-NZ"/>
              </w:rPr>
              <w:t>,</w:t>
            </w:r>
            <w:r>
              <w:rPr>
                <w:rFonts w:cs="Arial"/>
                <w:sz w:val="20"/>
                <w:szCs w:val="20"/>
                <w:lang w:eastAsia="en-NZ"/>
              </w:rPr>
              <w:t>700</w:t>
            </w:r>
          </w:p>
        </w:tc>
        <w:tc>
          <w:tcPr>
            <w:tcW w:w="1068"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r>
              <w:rPr>
                <w:rFonts w:cs="Arial"/>
                <w:sz w:val="20"/>
                <w:szCs w:val="20"/>
                <w:lang w:eastAsia="en-NZ"/>
              </w:rPr>
              <w:t>3,900</w:t>
            </w:r>
          </w:p>
        </w:tc>
        <w:tc>
          <w:tcPr>
            <w:tcW w:w="1054"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1,000</w:t>
            </w:r>
          </w:p>
        </w:tc>
        <w:tc>
          <w:tcPr>
            <w:tcW w:w="1082" w:type="dxa"/>
            <w:tcBorders>
              <w:top w:val="nil"/>
              <w:left w:val="nil"/>
              <w:bottom w:val="nil"/>
              <w:right w:val="nil"/>
            </w:tcBorders>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1,000</w:t>
            </w:r>
          </w:p>
        </w:tc>
        <w:tc>
          <w:tcPr>
            <w:tcW w:w="1069"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1,000</w:t>
            </w:r>
          </w:p>
        </w:tc>
      </w:tr>
      <w:tr w:rsidR="00452ACA" w:rsidRPr="000B4210" w:rsidTr="00FB6559">
        <w:trPr>
          <w:trHeight w:val="315"/>
        </w:trPr>
        <w:tc>
          <w:tcPr>
            <w:tcW w:w="4395" w:type="dxa"/>
            <w:tcBorders>
              <w:top w:val="nil"/>
              <w:left w:val="nil"/>
              <w:bottom w:val="nil"/>
              <w:right w:val="nil"/>
            </w:tcBorders>
            <w:shd w:val="clear" w:color="auto" w:fill="auto"/>
            <w:noWrap/>
          </w:tcPr>
          <w:p w:rsidR="00452ACA" w:rsidRPr="000B4210" w:rsidRDefault="00452ACA" w:rsidP="00452ACA">
            <w:pPr>
              <w:spacing w:after="0" w:line="240" w:lineRule="auto"/>
              <w:rPr>
                <w:rFonts w:cs="Arial"/>
                <w:sz w:val="20"/>
                <w:szCs w:val="20"/>
                <w:lang w:eastAsia="en-NZ"/>
              </w:rPr>
            </w:pPr>
            <w:r w:rsidRPr="000B4210">
              <w:rPr>
                <w:rFonts w:cs="Arial"/>
                <w:sz w:val="20"/>
                <w:szCs w:val="20"/>
                <w:lang w:eastAsia="en-NZ"/>
              </w:rPr>
              <w:t>Sale of property, plant and equipment</w:t>
            </w:r>
          </w:p>
        </w:tc>
        <w:tc>
          <w:tcPr>
            <w:tcW w:w="1172"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Pr>
                <w:rFonts w:cs="Arial"/>
                <w:sz w:val="20"/>
                <w:szCs w:val="20"/>
                <w:lang w:eastAsia="en-NZ"/>
              </w:rPr>
              <w:t>6</w:t>
            </w:r>
          </w:p>
        </w:tc>
        <w:tc>
          <w:tcPr>
            <w:tcW w:w="1068"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w:t>
            </w:r>
          </w:p>
        </w:tc>
        <w:tc>
          <w:tcPr>
            <w:tcW w:w="1054"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w:t>
            </w:r>
          </w:p>
        </w:tc>
        <w:tc>
          <w:tcPr>
            <w:tcW w:w="1082" w:type="dxa"/>
            <w:tcBorders>
              <w:top w:val="nil"/>
              <w:left w:val="nil"/>
              <w:bottom w:val="nil"/>
              <w:right w:val="nil"/>
            </w:tcBorders>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w:t>
            </w:r>
          </w:p>
        </w:tc>
        <w:tc>
          <w:tcPr>
            <w:tcW w:w="1069"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w:t>
            </w:r>
          </w:p>
        </w:tc>
      </w:tr>
      <w:tr w:rsidR="00452ACA" w:rsidRPr="000B4210" w:rsidTr="00FB6559">
        <w:trPr>
          <w:trHeight w:val="315"/>
        </w:trPr>
        <w:tc>
          <w:tcPr>
            <w:tcW w:w="4395" w:type="dxa"/>
            <w:tcBorders>
              <w:top w:val="nil"/>
              <w:left w:val="nil"/>
              <w:bottom w:val="nil"/>
              <w:right w:val="nil"/>
            </w:tcBorders>
            <w:shd w:val="clear" w:color="auto" w:fill="auto"/>
            <w:noWrap/>
            <w:hideMark/>
          </w:tcPr>
          <w:p w:rsidR="00452ACA" w:rsidRPr="000B4210" w:rsidRDefault="00452ACA" w:rsidP="00452ACA">
            <w:pPr>
              <w:spacing w:after="0" w:line="240" w:lineRule="auto"/>
              <w:rPr>
                <w:rFonts w:cs="Arial"/>
                <w:sz w:val="20"/>
                <w:szCs w:val="20"/>
                <w:lang w:eastAsia="en-NZ"/>
              </w:rPr>
            </w:pPr>
            <w:r w:rsidRPr="000B4210">
              <w:rPr>
                <w:rFonts w:cs="Arial"/>
                <w:sz w:val="20"/>
                <w:szCs w:val="20"/>
                <w:lang w:eastAsia="en-NZ"/>
              </w:rPr>
              <w:t>Placement of short-term deposits</w:t>
            </w:r>
          </w:p>
        </w:tc>
        <w:tc>
          <w:tcPr>
            <w:tcW w:w="1172"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Pr>
                <w:rFonts w:cs="Arial"/>
                <w:sz w:val="20"/>
                <w:szCs w:val="20"/>
                <w:lang w:eastAsia="en-NZ"/>
              </w:rPr>
              <w:t>(4,100)</w:t>
            </w:r>
          </w:p>
        </w:tc>
        <w:tc>
          <w:tcPr>
            <w:tcW w:w="1068"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w:t>
            </w:r>
            <w:r>
              <w:rPr>
                <w:rFonts w:cs="Arial"/>
                <w:sz w:val="20"/>
                <w:szCs w:val="20"/>
                <w:lang w:eastAsia="en-NZ"/>
              </w:rPr>
              <w:t>2,500</w:t>
            </w:r>
            <w:r w:rsidRPr="000B4210">
              <w:rPr>
                <w:rFonts w:cs="Arial"/>
                <w:sz w:val="20"/>
                <w:szCs w:val="20"/>
                <w:lang w:eastAsia="en-NZ"/>
              </w:rPr>
              <w:t>)</w:t>
            </w:r>
          </w:p>
        </w:tc>
        <w:tc>
          <w:tcPr>
            <w:tcW w:w="1054"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(1,000)</w:t>
            </w:r>
          </w:p>
        </w:tc>
        <w:tc>
          <w:tcPr>
            <w:tcW w:w="1082" w:type="dxa"/>
            <w:tcBorders>
              <w:top w:val="nil"/>
              <w:left w:val="nil"/>
              <w:bottom w:val="nil"/>
              <w:right w:val="nil"/>
            </w:tcBorders>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(1,000)</w:t>
            </w:r>
          </w:p>
        </w:tc>
        <w:tc>
          <w:tcPr>
            <w:tcW w:w="1069"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(1,000)</w:t>
            </w:r>
          </w:p>
        </w:tc>
      </w:tr>
      <w:tr w:rsidR="00452ACA" w:rsidRPr="000B4210" w:rsidTr="00FB6559">
        <w:trPr>
          <w:trHeight w:val="315"/>
        </w:trPr>
        <w:tc>
          <w:tcPr>
            <w:tcW w:w="4395" w:type="dxa"/>
            <w:tcBorders>
              <w:top w:val="nil"/>
              <w:left w:val="nil"/>
              <w:bottom w:val="nil"/>
              <w:right w:val="nil"/>
            </w:tcBorders>
            <w:shd w:val="clear" w:color="auto" w:fill="auto"/>
            <w:noWrap/>
            <w:hideMark/>
          </w:tcPr>
          <w:p w:rsidR="00452ACA" w:rsidRPr="000B4210" w:rsidRDefault="00452ACA" w:rsidP="00452ACA">
            <w:pPr>
              <w:spacing w:after="0" w:line="240" w:lineRule="auto"/>
              <w:rPr>
                <w:rFonts w:cs="Arial"/>
                <w:sz w:val="20"/>
                <w:szCs w:val="20"/>
                <w:lang w:eastAsia="en-NZ"/>
              </w:rPr>
            </w:pPr>
            <w:r w:rsidRPr="000B4210">
              <w:rPr>
                <w:rFonts w:cs="Arial"/>
                <w:sz w:val="20"/>
                <w:szCs w:val="20"/>
                <w:lang w:eastAsia="en-NZ"/>
              </w:rPr>
              <w:t>Purchases of property, plant and equipment</w:t>
            </w:r>
          </w:p>
        </w:tc>
        <w:tc>
          <w:tcPr>
            <w:tcW w:w="1172" w:type="dxa"/>
            <w:tcBorders>
              <w:top w:val="nil"/>
              <w:left w:val="nil"/>
              <w:bottom w:val="nil"/>
              <w:right w:val="nil"/>
            </w:tcBorders>
            <w:shd w:val="clear" w:color="auto" w:fill="auto"/>
            <w:noWrap/>
          </w:tcPr>
          <w:p w:rsidR="00452ACA" w:rsidRPr="000B4210" w:rsidRDefault="00452ACA">
            <w:pPr>
              <w:spacing w:after="0" w:line="240" w:lineRule="auto"/>
              <w:jc w:val="right"/>
              <w:rPr>
                <w:rFonts w:cs="Arial"/>
                <w:sz w:val="20"/>
                <w:szCs w:val="20"/>
                <w:lang w:eastAsia="en-NZ"/>
              </w:rPr>
            </w:pPr>
            <w:r>
              <w:rPr>
                <w:rFonts w:cs="Arial"/>
                <w:sz w:val="20"/>
                <w:szCs w:val="20"/>
                <w:lang w:eastAsia="en-NZ"/>
              </w:rPr>
              <w:t>(390)</w:t>
            </w:r>
          </w:p>
        </w:tc>
        <w:tc>
          <w:tcPr>
            <w:tcW w:w="1068"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w:t>
            </w:r>
            <w:r>
              <w:rPr>
                <w:rFonts w:cs="Arial"/>
                <w:sz w:val="20"/>
                <w:szCs w:val="20"/>
                <w:lang w:eastAsia="en-NZ"/>
              </w:rPr>
              <w:t>621</w:t>
            </w:r>
            <w:r w:rsidRPr="000B4210">
              <w:rPr>
                <w:rFonts w:cs="Arial"/>
                <w:sz w:val="20"/>
                <w:szCs w:val="20"/>
                <w:lang w:eastAsia="en-NZ"/>
              </w:rPr>
              <w:t>)</w:t>
            </w:r>
          </w:p>
        </w:tc>
        <w:tc>
          <w:tcPr>
            <w:tcW w:w="1054"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(32)</w:t>
            </w:r>
          </w:p>
        </w:tc>
        <w:tc>
          <w:tcPr>
            <w:tcW w:w="1082" w:type="dxa"/>
            <w:tcBorders>
              <w:top w:val="nil"/>
              <w:left w:val="nil"/>
              <w:bottom w:val="nil"/>
              <w:right w:val="nil"/>
            </w:tcBorders>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(47)</w:t>
            </w:r>
          </w:p>
        </w:tc>
        <w:tc>
          <w:tcPr>
            <w:tcW w:w="1069"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w:t>
            </w:r>
            <w:r>
              <w:rPr>
                <w:rFonts w:cs="Arial"/>
                <w:sz w:val="20"/>
                <w:szCs w:val="20"/>
                <w:lang w:eastAsia="en-NZ"/>
              </w:rPr>
              <w:t>49</w:t>
            </w:r>
            <w:r w:rsidRPr="000B4210">
              <w:rPr>
                <w:rFonts w:cs="Arial"/>
                <w:sz w:val="20"/>
                <w:szCs w:val="20"/>
                <w:lang w:eastAsia="en-NZ"/>
              </w:rPr>
              <w:t>)</w:t>
            </w:r>
          </w:p>
        </w:tc>
      </w:tr>
      <w:tr w:rsidR="00452ACA" w:rsidRPr="000B4210" w:rsidTr="00FB6559">
        <w:trPr>
          <w:trHeight w:val="315"/>
        </w:trPr>
        <w:tc>
          <w:tcPr>
            <w:tcW w:w="4395" w:type="dxa"/>
            <w:tcBorders>
              <w:top w:val="nil"/>
              <w:left w:val="nil"/>
              <w:bottom w:val="nil"/>
              <w:right w:val="nil"/>
            </w:tcBorders>
            <w:shd w:val="clear" w:color="auto" w:fill="auto"/>
            <w:noWrap/>
            <w:hideMark/>
          </w:tcPr>
          <w:p w:rsidR="00452ACA" w:rsidRPr="000B4210" w:rsidRDefault="00452ACA" w:rsidP="00452ACA">
            <w:pPr>
              <w:spacing w:after="0" w:line="240" w:lineRule="auto"/>
              <w:rPr>
                <w:rFonts w:cs="Arial"/>
                <w:sz w:val="20"/>
                <w:szCs w:val="20"/>
                <w:lang w:eastAsia="en-NZ"/>
              </w:rPr>
            </w:pPr>
            <w:r w:rsidRPr="000B4210">
              <w:rPr>
                <w:rFonts w:cs="Arial"/>
                <w:sz w:val="20"/>
                <w:szCs w:val="20"/>
                <w:lang w:eastAsia="en-NZ"/>
              </w:rPr>
              <w:t>Purchases of intangible assets</w:t>
            </w:r>
          </w:p>
        </w:tc>
        <w:tc>
          <w:tcPr>
            <w:tcW w:w="1172"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Pr>
                <w:rFonts w:cs="Arial"/>
                <w:sz w:val="20"/>
                <w:szCs w:val="20"/>
                <w:lang w:eastAsia="en-NZ"/>
              </w:rPr>
              <w:t>-</w:t>
            </w:r>
          </w:p>
        </w:tc>
        <w:tc>
          <w:tcPr>
            <w:tcW w:w="1068"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r>
              <w:rPr>
                <w:rFonts w:cs="Arial"/>
                <w:sz w:val="20"/>
                <w:szCs w:val="20"/>
                <w:lang w:eastAsia="en-NZ"/>
              </w:rPr>
              <w:t>-</w:t>
            </w:r>
          </w:p>
        </w:tc>
        <w:tc>
          <w:tcPr>
            <w:tcW w:w="1054"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(2)</w:t>
            </w:r>
          </w:p>
        </w:tc>
        <w:tc>
          <w:tcPr>
            <w:tcW w:w="1082" w:type="dxa"/>
            <w:tcBorders>
              <w:top w:val="nil"/>
              <w:left w:val="nil"/>
              <w:bottom w:val="nil"/>
              <w:right w:val="nil"/>
            </w:tcBorders>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(2)</w:t>
            </w:r>
          </w:p>
        </w:tc>
        <w:tc>
          <w:tcPr>
            <w:tcW w:w="1069"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(2)</w:t>
            </w:r>
          </w:p>
        </w:tc>
      </w:tr>
      <w:tr w:rsidR="00452ACA" w:rsidRPr="000B4210" w:rsidTr="00FB6559">
        <w:trPr>
          <w:trHeight w:val="315"/>
        </w:trPr>
        <w:tc>
          <w:tcPr>
            <w:tcW w:w="4395" w:type="dxa"/>
            <w:tcBorders>
              <w:top w:val="nil"/>
              <w:left w:val="nil"/>
              <w:bottom w:val="nil"/>
              <w:right w:val="nil"/>
            </w:tcBorders>
            <w:shd w:val="clear" w:color="auto" w:fill="auto"/>
            <w:noWrap/>
            <w:hideMark/>
          </w:tcPr>
          <w:p w:rsidR="00452ACA" w:rsidRPr="000B4210" w:rsidRDefault="00452ACA" w:rsidP="00452ACA">
            <w:pPr>
              <w:spacing w:after="0" w:line="240" w:lineRule="auto"/>
              <w:rPr>
                <w:rFonts w:cs="Arial"/>
                <w:b/>
                <w:bCs/>
                <w:sz w:val="20"/>
                <w:szCs w:val="20"/>
                <w:lang w:eastAsia="en-NZ"/>
              </w:rPr>
            </w:pPr>
            <w:r w:rsidRPr="000B4210">
              <w:rPr>
                <w:rFonts w:cs="Arial"/>
                <w:b/>
                <w:bCs/>
                <w:sz w:val="20"/>
                <w:szCs w:val="20"/>
                <w:lang w:eastAsia="en-NZ"/>
              </w:rPr>
              <w:t>Net cash flow from investing activities</w:t>
            </w:r>
          </w:p>
        </w:tc>
        <w:tc>
          <w:tcPr>
            <w:tcW w:w="1172" w:type="dxa"/>
            <w:tcBorders>
              <w:top w:val="single" w:sz="8" w:space="0" w:color="auto"/>
              <w:left w:val="nil"/>
              <w:bottom w:val="nil"/>
              <w:right w:val="nil"/>
            </w:tcBorders>
            <w:shd w:val="clear" w:color="auto" w:fill="auto"/>
            <w:noWrap/>
          </w:tcPr>
          <w:p w:rsidR="00452ACA" w:rsidRPr="000B4210" w:rsidRDefault="00452ACA" w:rsidP="00452ACA">
            <w:pPr>
              <w:spacing w:after="0" w:line="240" w:lineRule="auto"/>
              <w:jc w:val="right"/>
              <w:rPr>
                <w:rFonts w:cs="Arial"/>
                <w:b/>
                <w:bCs/>
                <w:sz w:val="20"/>
                <w:szCs w:val="20"/>
                <w:lang w:eastAsia="en-NZ"/>
              </w:rPr>
            </w:pPr>
            <w:r>
              <w:rPr>
                <w:rFonts w:cs="Arial"/>
                <w:b/>
                <w:bCs/>
                <w:sz w:val="20"/>
                <w:szCs w:val="20"/>
                <w:lang w:eastAsia="en-NZ"/>
              </w:rPr>
              <w:t>(784)</w:t>
            </w:r>
          </w:p>
        </w:tc>
        <w:tc>
          <w:tcPr>
            <w:tcW w:w="1068" w:type="dxa"/>
            <w:tcBorders>
              <w:top w:val="single" w:sz="8" w:space="0" w:color="auto"/>
              <w:left w:val="nil"/>
              <w:bottom w:val="nil"/>
              <w:right w:val="nil"/>
            </w:tcBorders>
            <w:shd w:val="clear" w:color="auto" w:fill="auto"/>
            <w:noWrap/>
            <w:hideMark/>
          </w:tcPr>
          <w:p w:rsidR="00452ACA" w:rsidRPr="000B4210" w:rsidRDefault="00452ACA" w:rsidP="00452ACA">
            <w:pPr>
              <w:spacing w:after="0" w:line="240" w:lineRule="auto"/>
              <w:jc w:val="right"/>
              <w:rPr>
                <w:rFonts w:cs="Arial"/>
                <w:b/>
                <w:bCs/>
                <w:sz w:val="20"/>
                <w:szCs w:val="20"/>
                <w:lang w:eastAsia="en-NZ"/>
              </w:rPr>
            </w:pPr>
            <w:r>
              <w:rPr>
                <w:rFonts w:cs="Arial"/>
                <w:b/>
                <w:bCs/>
                <w:sz w:val="20"/>
                <w:szCs w:val="20"/>
                <w:lang w:eastAsia="en-NZ"/>
              </w:rPr>
              <w:t>779</w:t>
            </w:r>
          </w:p>
        </w:tc>
        <w:tc>
          <w:tcPr>
            <w:tcW w:w="1054" w:type="dxa"/>
            <w:tcBorders>
              <w:top w:val="single" w:sz="8" w:space="0" w:color="auto"/>
              <w:left w:val="nil"/>
              <w:bottom w:val="nil"/>
              <w:right w:val="nil"/>
            </w:tcBorders>
            <w:shd w:val="clear" w:color="auto" w:fill="auto"/>
            <w:noWrap/>
            <w:hideMark/>
          </w:tcPr>
          <w:p w:rsidR="00452ACA" w:rsidRPr="000B4210" w:rsidRDefault="00452ACA" w:rsidP="00452ACA">
            <w:pPr>
              <w:spacing w:after="0" w:line="240" w:lineRule="auto"/>
              <w:jc w:val="right"/>
              <w:rPr>
                <w:rFonts w:cs="Arial"/>
                <w:b/>
                <w:bCs/>
                <w:sz w:val="20"/>
                <w:szCs w:val="20"/>
                <w:lang w:eastAsia="en-NZ"/>
              </w:rPr>
            </w:pPr>
            <w:r w:rsidRPr="000B4210">
              <w:rPr>
                <w:rFonts w:cs="Arial"/>
                <w:b/>
                <w:bCs/>
                <w:sz w:val="20"/>
                <w:szCs w:val="20"/>
                <w:lang w:eastAsia="en-NZ"/>
              </w:rPr>
              <w:t>(34)</w:t>
            </w:r>
          </w:p>
        </w:tc>
        <w:tc>
          <w:tcPr>
            <w:tcW w:w="1082" w:type="dxa"/>
            <w:tcBorders>
              <w:top w:val="single" w:sz="8" w:space="0" w:color="auto"/>
              <w:left w:val="nil"/>
              <w:bottom w:val="nil"/>
              <w:right w:val="nil"/>
            </w:tcBorders>
          </w:tcPr>
          <w:p w:rsidR="00452ACA" w:rsidRPr="000B4210" w:rsidRDefault="00452ACA" w:rsidP="00452ACA">
            <w:pPr>
              <w:spacing w:after="0" w:line="240" w:lineRule="auto"/>
              <w:jc w:val="right"/>
              <w:rPr>
                <w:rFonts w:cs="Arial"/>
                <w:b/>
                <w:bCs/>
                <w:sz w:val="20"/>
                <w:szCs w:val="20"/>
                <w:lang w:eastAsia="en-NZ"/>
              </w:rPr>
            </w:pPr>
            <w:r w:rsidRPr="000B4210">
              <w:rPr>
                <w:rFonts w:cs="Arial"/>
                <w:b/>
                <w:bCs/>
                <w:sz w:val="20"/>
                <w:szCs w:val="20"/>
                <w:lang w:eastAsia="en-NZ"/>
              </w:rPr>
              <w:t>(49)</w:t>
            </w:r>
          </w:p>
        </w:tc>
        <w:tc>
          <w:tcPr>
            <w:tcW w:w="1069" w:type="dxa"/>
            <w:tcBorders>
              <w:top w:val="single" w:sz="8" w:space="0" w:color="auto"/>
              <w:left w:val="nil"/>
              <w:bottom w:val="nil"/>
              <w:right w:val="nil"/>
            </w:tcBorders>
            <w:shd w:val="clear" w:color="auto" w:fill="auto"/>
            <w:noWrap/>
          </w:tcPr>
          <w:p w:rsidR="00452ACA" w:rsidRPr="000B4210" w:rsidRDefault="00452ACA" w:rsidP="00452ACA">
            <w:pPr>
              <w:spacing w:after="0" w:line="240" w:lineRule="auto"/>
              <w:jc w:val="right"/>
              <w:rPr>
                <w:rFonts w:cs="Arial"/>
                <w:b/>
                <w:bCs/>
                <w:sz w:val="20"/>
                <w:szCs w:val="20"/>
                <w:lang w:eastAsia="en-NZ"/>
              </w:rPr>
            </w:pPr>
            <w:r w:rsidRPr="000B4210">
              <w:rPr>
                <w:rFonts w:cs="Arial"/>
                <w:b/>
                <w:bCs/>
                <w:sz w:val="20"/>
                <w:szCs w:val="20"/>
                <w:lang w:eastAsia="en-NZ"/>
              </w:rPr>
              <w:t>(</w:t>
            </w:r>
            <w:r>
              <w:rPr>
                <w:rFonts w:cs="Arial"/>
                <w:b/>
                <w:bCs/>
                <w:sz w:val="20"/>
                <w:szCs w:val="20"/>
                <w:lang w:eastAsia="en-NZ"/>
              </w:rPr>
              <w:t>51</w:t>
            </w:r>
            <w:r w:rsidRPr="000B4210">
              <w:rPr>
                <w:rFonts w:cs="Arial"/>
                <w:b/>
                <w:bCs/>
                <w:sz w:val="20"/>
                <w:szCs w:val="20"/>
                <w:lang w:eastAsia="en-NZ"/>
              </w:rPr>
              <w:t>)</w:t>
            </w:r>
          </w:p>
        </w:tc>
      </w:tr>
      <w:tr w:rsidR="00452ACA" w:rsidRPr="000B4210" w:rsidTr="00FB6559">
        <w:trPr>
          <w:trHeight w:val="300"/>
        </w:trPr>
        <w:tc>
          <w:tcPr>
            <w:tcW w:w="4395" w:type="dxa"/>
            <w:tcBorders>
              <w:top w:val="nil"/>
              <w:left w:val="nil"/>
              <w:bottom w:val="nil"/>
              <w:right w:val="nil"/>
            </w:tcBorders>
            <w:shd w:val="clear" w:color="auto" w:fill="auto"/>
            <w:hideMark/>
          </w:tcPr>
          <w:p w:rsidR="00452ACA" w:rsidRPr="000B4210" w:rsidRDefault="00452ACA" w:rsidP="00452ACA">
            <w:pPr>
              <w:spacing w:after="0" w:line="240" w:lineRule="auto"/>
              <w:rPr>
                <w:rFonts w:cs="Arial"/>
                <w:sz w:val="20"/>
                <w:szCs w:val="20"/>
                <w:lang w:eastAsia="en-NZ"/>
              </w:rPr>
            </w:pPr>
          </w:p>
        </w:tc>
        <w:tc>
          <w:tcPr>
            <w:tcW w:w="1172"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p>
        </w:tc>
        <w:tc>
          <w:tcPr>
            <w:tcW w:w="1068"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p>
        </w:tc>
        <w:tc>
          <w:tcPr>
            <w:tcW w:w="1054"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p>
        </w:tc>
        <w:tc>
          <w:tcPr>
            <w:tcW w:w="1082" w:type="dxa"/>
            <w:tcBorders>
              <w:top w:val="nil"/>
              <w:left w:val="nil"/>
              <w:bottom w:val="nil"/>
              <w:right w:val="nil"/>
            </w:tcBorders>
          </w:tcPr>
          <w:p w:rsidR="00452ACA" w:rsidRPr="000B4210" w:rsidRDefault="00452ACA" w:rsidP="00452ACA">
            <w:pPr>
              <w:spacing w:after="0" w:line="240" w:lineRule="auto"/>
              <w:jc w:val="right"/>
              <w:rPr>
                <w:rFonts w:cs="Arial"/>
                <w:sz w:val="20"/>
                <w:szCs w:val="20"/>
                <w:lang w:eastAsia="en-NZ"/>
              </w:rPr>
            </w:pPr>
          </w:p>
        </w:tc>
        <w:tc>
          <w:tcPr>
            <w:tcW w:w="1069"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p>
        </w:tc>
      </w:tr>
      <w:tr w:rsidR="00452ACA" w:rsidRPr="000B4210" w:rsidTr="00FB6559">
        <w:trPr>
          <w:trHeight w:val="300"/>
        </w:trPr>
        <w:tc>
          <w:tcPr>
            <w:tcW w:w="4395" w:type="dxa"/>
            <w:tcBorders>
              <w:top w:val="nil"/>
              <w:left w:val="nil"/>
              <w:bottom w:val="nil"/>
              <w:right w:val="nil"/>
            </w:tcBorders>
            <w:shd w:val="clear" w:color="auto" w:fill="auto"/>
            <w:hideMark/>
          </w:tcPr>
          <w:p w:rsidR="00452ACA" w:rsidRPr="000B4210" w:rsidRDefault="00452ACA" w:rsidP="00452ACA">
            <w:pPr>
              <w:spacing w:after="0" w:line="240" w:lineRule="auto"/>
              <w:rPr>
                <w:rFonts w:cs="Arial"/>
                <w:sz w:val="20"/>
                <w:szCs w:val="20"/>
                <w:lang w:eastAsia="en-NZ"/>
              </w:rPr>
            </w:pPr>
            <w:r w:rsidRPr="000B4210">
              <w:rPr>
                <w:rFonts w:cs="Arial"/>
                <w:sz w:val="20"/>
                <w:szCs w:val="20"/>
                <w:lang w:eastAsia="en-NZ"/>
              </w:rPr>
              <w:t>Net increase/(decrease) in cash</w:t>
            </w:r>
          </w:p>
        </w:tc>
        <w:tc>
          <w:tcPr>
            <w:tcW w:w="1172"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Pr>
                <w:rFonts w:cs="Arial"/>
                <w:sz w:val="20"/>
                <w:szCs w:val="20"/>
                <w:lang w:eastAsia="en-NZ"/>
              </w:rPr>
              <w:t>(434)</w:t>
            </w:r>
          </w:p>
        </w:tc>
        <w:tc>
          <w:tcPr>
            <w:tcW w:w="1068"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w:t>
            </w:r>
            <w:r>
              <w:rPr>
                <w:rFonts w:cs="Arial"/>
                <w:sz w:val="20"/>
                <w:szCs w:val="20"/>
                <w:lang w:eastAsia="en-NZ"/>
              </w:rPr>
              <w:t>42</w:t>
            </w:r>
            <w:r w:rsidRPr="000B4210">
              <w:rPr>
                <w:rFonts w:cs="Arial"/>
                <w:sz w:val="20"/>
                <w:szCs w:val="20"/>
                <w:lang w:eastAsia="en-NZ"/>
              </w:rPr>
              <w:t>)</w:t>
            </w:r>
          </w:p>
        </w:tc>
        <w:tc>
          <w:tcPr>
            <w:tcW w:w="1054"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r>
              <w:rPr>
                <w:rFonts w:cs="Arial"/>
                <w:sz w:val="20"/>
                <w:szCs w:val="20"/>
                <w:lang w:eastAsia="en-NZ"/>
              </w:rPr>
              <w:t>142</w:t>
            </w:r>
          </w:p>
        </w:tc>
        <w:tc>
          <w:tcPr>
            <w:tcW w:w="1082" w:type="dxa"/>
            <w:tcBorders>
              <w:top w:val="nil"/>
              <w:left w:val="nil"/>
              <w:bottom w:val="nil"/>
              <w:right w:val="nil"/>
            </w:tcBorders>
          </w:tcPr>
          <w:p w:rsidR="00452ACA" w:rsidRPr="000B4210" w:rsidRDefault="00452ACA" w:rsidP="00452ACA">
            <w:pPr>
              <w:spacing w:after="0" w:line="240" w:lineRule="auto"/>
              <w:jc w:val="right"/>
              <w:rPr>
                <w:rFonts w:cs="Arial"/>
                <w:sz w:val="20"/>
                <w:szCs w:val="20"/>
                <w:lang w:eastAsia="en-NZ"/>
              </w:rPr>
            </w:pPr>
            <w:r>
              <w:rPr>
                <w:rFonts w:cs="Arial"/>
                <w:sz w:val="20"/>
                <w:szCs w:val="20"/>
                <w:lang w:eastAsia="en-NZ"/>
              </w:rPr>
              <w:t>318</w:t>
            </w:r>
          </w:p>
        </w:tc>
        <w:tc>
          <w:tcPr>
            <w:tcW w:w="1069"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Pr>
                <w:rFonts w:cs="Arial"/>
                <w:sz w:val="20"/>
                <w:szCs w:val="20"/>
                <w:lang w:eastAsia="en-NZ"/>
              </w:rPr>
              <w:t>94</w:t>
            </w:r>
          </w:p>
        </w:tc>
      </w:tr>
      <w:tr w:rsidR="00452ACA" w:rsidRPr="000B4210" w:rsidTr="00FB6559">
        <w:trPr>
          <w:trHeight w:val="615"/>
        </w:trPr>
        <w:tc>
          <w:tcPr>
            <w:tcW w:w="4395" w:type="dxa"/>
            <w:tcBorders>
              <w:top w:val="nil"/>
              <w:left w:val="nil"/>
              <w:bottom w:val="nil"/>
              <w:right w:val="nil"/>
            </w:tcBorders>
            <w:shd w:val="clear" w:color="auto" w:fill="auto"/>
            <w:hideMark/>
          </w:tcPr>
          <w:p w:rsidR="006D17E2" w:rsidRDefault="00452ACA">
            <w:pPr>
              <w:spacing w:after="0" w:line="240" w:lineRule="auto"/>
              <w:rPr>
                <w:rFonts w:cs="Arial"/>
                <w:sz w:val="20"/>
                <w:szCs w:val="20"/>
                <w:lang w:eastAsia="en-NZ"/>
              </w:rPr>
            </w:pPr>
            <w:r w:rsidRPr="000B4210">
              <w:rPr>
                <w:rFonts w:cs="Arial"/>
                <w:sz w:val="20"/>
                <w:szCs w:val="20"/>
                <w:lang w:eastAsia="en-NZ"/>
              </w:rPr>
              <w:t>Cash and cash equivalents at the</w:t>
            </w:r>
          </w:p>
          <w:p w:rsidR="00452ACA" w:rsidRPr="000B4210" w:rsidRDefault="00452ACA">
            <w:pPr>
              <w:spacing w:after="0" w:line="240" w:lineRule="auto"/>
              <w:rPr>
                <w:rFonts w:cs="Arial"/>
                <w:sz w:val="20"/>
                <w:szCs w:val="20"/>
                <w:lang w:eastAsia="en-NZ"/>
              </w:rPr>
            </w:pPr>
            <w:r w:rsidRPr="000B4210">
              <w:rPr>
                <w:rFonts w:cs="Arial"/>
                <w:sz w:val="20"/>
                <w:szCs w:val="20"/>
                <w:lang w:eastAsia="en-NZ"/>
              </w:rPr>
              <w:t>beginning of the year</w:t>
            </w:r>
          </w:p>
        </w:tc>
        <w:tc>
          <w:tcPr>
            <w:tcW w:w="1172" w:type="dxa"/>
            <w:tcBorders>
              <w:top w:val="nil"/>
              <w:left w:val="nil"/>
              <w:bottom w:val="nil"/>
              <w:right w:val="nil"/>
            </w:tcBorders>
            <w:shd w:val="clear" w:color="auto" w:fill="auto"/>
            <w:noWrap/>
          </w:tcPr>
          <w:p w:rsidR="00452ACA" w:rsidRPr="000B4210" w:rsidRDefault="00452ACA">
            <w:pPr>
              <w:spacing w:after="0" w:line="240" w:lineRule="auto"/>
              <w:jc w:val="right"/>
              <w:rPr>
                <w:rFonts w:cs="Arial"/>
                <w:sz w:val="20"/>
                <w:szCs w:val="20"/>
                <w:lang w:eastAsia="en-NZ"/>
              </w:rPr>
            </w:pPr>
            <w:r>
              <w:rPr>
                <w:rFonts w:cs="Arial"/>
                <w:sz w:val="20"/>
                <w:szCs w:val="20"/>
                <w:lang w:eastAsia="en-NZ"/>
              </w:rPr>
              <w:t>86</w:t>
            </w:r>
            <w:r w:rsidR="006D17E2">
              <w:rPr>
                <w:rFonts w:cs="Arial"/>
                <w:sz w:val="20"/>
                <w:szCs w:val="20"/>
                <w:lang w:eastAsia="en-NZ"/>
              </w:rPr>
              <w:t>0</w:t>
            </w:r>
          </w:p>
        </w:tc>
        <w:tc>
          <w:tcPr>
            <w:tcW w:w="1068" w:type="dxa"/>
            <w:tcBorders>
              <w:top w:val="nil"/>
              <w:left w:val="nil"/>
              <w:bottom w:val="nil"/>
              <w:right w:val="nil"/>
            </w:tcBorders>
            <w:shd w:val="clear" w:color="auto" w:fill="auto"/>
            <w:noWrap/>
            <w:hideMark/>
          </w:tcPr>
          <w:p w:rsidR="00452ACA" w:rsidRPr="000B4210" w:rsidRDefault="00452ACA">
            <w:pPr>
              <w:spacing w:after="0" w:line="240" w:lineRule="auto"/>
              <w:jc w:val="right"/>
              <w:rPr>
                <w:rFonts w:cs="Arial"/>
                <w:sz w:val="20"/>
                <w:szCs w:val="20"/>
                <w:lang w:eastAsia="en-NZ"/>
              </w:rPr>
            </w:pPr>
            <w:r>
              <w:rPr>
                <w:rFonts w:cs="Arial"/>
                <w:sz w:val="20"/>
                <w:szCs w:val="20"/>
                <w:lang w:eastAsia="en-NZ"/>
              </w:rPr>
              <w:t>42</w:t>
            </w:r>
            <w:r w:rsidR="006D17E2">
              <w:rPr>
                <w:rFonts w:cs="Arial"/>
                <w:sz w:val="20"/>
                <w:szCs w:val="20"/>
                <w:lang w:eastAsia="en-NZ"/>
              </w:rPr>
              <w:t>6</w:t>
            </w:r>
          </w:p>
        </w:tc>
        <w:tc>
          <w:tcPr>
            <w:tcW w:w="1054" w:type="dxa"/>
            <w:tcBorders>
              <w:top w:val="nil"/>
              <w:left w:val="nil"/>
              <w:bottom w:val="nil"/>
              <w:right w:val="nil"/>
            </w:tcBorders>
            <w:shd w:val="clear" w:color="auto" w:fill="auto"/>
            <w:noWrap/>
            <w:hideMark/>
          </w:tcPr>
          <w:p w:rsidR="00452ACA" w:rsidRPr="000B4210" w:rsidRDefault="00452ACA">
            <w:pPr>
              <w:spacing w:after="0" w:line="240" w:lineRule="auto"/>
              <w:jc w:val="right"/>
              <w:rPr>
                <w:rFonts w:cs="Arial"/>
                <w:sz w:val="20"/>
                <w:szCs w:val="20"/>
                <w:lang w:eastAsia="en-NZ"/>
              </w:rPr>
            </w:pPr>
            <w:r>
              <w:rPr>
                <w:rFonts w:cs="Arial"/>
                <w:sz w:val="20"/>
                <w:szCs w:val="20"/>
                <w:lang w:eastAsia="en-NZ"/>
              </w:rPr>
              <w:t>38</w:t>
            </w:r>
            <w:r w:rsidR="006D17E2">
              <w:rPr>
                <w:rFonts w:cs="Arial"/>
                <w:sz w:val="20"/>
                <w:szCs w:val="20"/>
                <w:lang w:eastAsia="en-NZ"/>
              </w:rPr>
              <w:t>4</w:t>
            </w:r>
          </w:p>
        </w:tc>
        <w:tc>
          <w:tcPr>
            <w:tcW w:w="1082" w:type="dxa"/>
            <w:tcBorders>
              <w:top w:val="nil"/>
              <w:left w:val="nil"/>
              <w:bottom w:val="nil"/>
              <w:right w:val="nil"/>
            </w:tcBorders>
          </w:tcPr>
          <w:p w:rsidR="00452ACA" w:rsidRPr="000B4210" w:rsidRDefault="00452ACA" w:rsidP="00452ACA">
            <w:pPr>
              <w:spacing w:after="0" w:line="240" w:lineRule="auto"/>
              <w:jc w:val="right"/>
              <w:rPr>
                <w:rFonts w:cs="Arial"/>
                <w:sz w:val="20"/>
                <w:szCs w:val="20"/>
                <w:lang w:eastAsia="en-NZ"/>
              </w:rPr>
            </w:pPr>
            <w:r>
              <w:rPr>
                <w:rFonts w:cs="Arial"/>
                <w:sz w:val="20"/>
                <w:szCs w:val="20"/>
                <w:lang w:eastAsia="en-NZ"/>
              </w:rPr>
              <w:t>52</w:t>
            </w:r>
            <w:r w:rsidR="006D17E2">
              <w:rPr>
                <w:rFonts w:cs="Arial"/>
                <w:sz w:val="20"/>
                <w:szCs w:val="20"/>
                <w:lang w:eastAsia="en-NZ"/>
              </w:rPr>
              <w:t>6</w:t>
            </w:r>
          </w:p>
        </w:tc>
        <w:tc>
          <w:tcPr>
            <w:tcW w:w="1069" w:type="dxa"/>
            <w:tcBorders>
              <w:top w:val="nil"/>
              <w:left w:val="nil"/>
              <w:bottom w:val="nil"/>
              <w:right w:val="nil"/>
            </w:tcBorders>
            <w:shd w:val="clear" w:color="auto" w:fill="auto"/>
            <w:noWrap/>
          </w:tcPr>
          <w:p w:rsidR="00452ACA" w:rsidRPr="000B4210" w:rsidRDefault="00452ACA" w:rsidP="00452ACA">
            <w:pPr>
              <w:spacing w:after="0" w:line="240" w:lineRule="auto"/>
              <w:jc w:val="right"/>
              <w:rPr>
                <w:rFonts w:cs="Arial"/>
                <w:sz w:val="20"/>
                <w:szCs w:val="20"/>
                <w:lang w:eastAsia="en-NZ"/>
              </w:rPr>
            </w:pPr>
            <w:r w:rsidRPr="000B4210">
              <w:rPr>
                <w:rFonts w:cs="Arial"/>
                <w:sz w:val="20"/>
                <w:szCs w:val="20"/>
                <w:lang w:eastAsia="en-NZ"/>
              </w:rPr>
              <w:t>8</w:t>
            </w:r>
            <w:r>
              <w:rPr>
                <w:rFonts w:cs="Arial"/>
                <w:sz w:val="20"/>
                <w:szCs w:val="20"/>
                <w:lang w:eastAsia="en-NZ"/>
              </w:rPr>
              <w:t>4</w:t>
            </w:r>
            <w:r w:rsidR="006D17E2">
              <w:rPr>
                <w:rFonts w:cs="Arial"/>
                <w:sz w:val="20"/>
                <w:szCs w:val="20"/>
                <w:lang w:eastAsia="en-NZ"/>
              </w:rPr>
              <w:t>4</w:t>
            </w:r>
          </w:p>
        </w:tc>
      </w:tr>
      <w:tr w:rsidR="00452ACA" w:rsidRPr="000B4210" w:rsidTr="00FB6559">
        <w:trPr>
          <w:trHeight w:val="456"/>
        </w:trPr>
        <w:tc>
          <w:tcPr>
            <w:tcW w:w="4395" w:type="dxa"/>
            <w:tcBorders>
              <w:top w:val="nil"/>
              <w:left w:val="nil"/>
              <w:bottom w:val="nil"/>
              <w:right w:val="nil"/>
            </w:tcBorders>
            <w:shd w:val="clear" w:color="auto" w:fill="auto"/>
            <w:hideMark/>
          </w:tcPr>
          <w:p w:rsidR="006D17E2" w:rsidRDefault="00452ACA" w:rsidP="00452ACA">
            <w:pPr>
              <w:spacing w:after="0" w:line="240" w:lineRule="auto"/>
              <w:rPr>
                <w:rFonts w:cs="Arial"/>
                <w:b/>
                <w:bCs/>
                <w:sz w:val="20"/>
                <w:szCs w:val="20"/>
                <w:lang w:eastAsia="en-NZ"/>
              </w:rPr>
            </w:pPr>
            <w:r w:rsidRPr="000B4210">
              <w:rPr>
                <w:rFonts w:cs="Arial"/>
                <w:b/>
                <w:bCs/>
                <w:sz w:val="20"/>
                <w:szCs w:val="20"/>
                <w:lang w:eastAsia="en-NZ"/>
              </w:rPr>
              <w:t xml:space="preserve">Cash and cash equivalents at the </w:t>
            </w:r>
          </w:p>
          <w:p w:rsidR="00452ACA" w:rsidRPr="000B4210" w:rsidRDefault="00452ACA" w:rsidP="00452ACA">
            <w:pPr>
              <w:spacing w:after="0" w:line="240" w:lineRule="auto"/>
              <w:rPr>
                <w:rFonts w:cs="Arial"/>
                <w:b/>
                <w:bCs/>
                <w:sz w:val="20"/>
                <w:szCs w:val="20"/>
                <w:lang w:eastAsia="en-NZ"/>
              </w:rPr>
            </w:pPr>
            <w:r w:rsidRPr="000B4210">
              <w:rPr>
                <w:rFonts w:cs="Arial"/>
                <w:b/>
                <w:bCs/>
                <w:sz w:val="20"/>
                <w:szCs w:val="20"/>
                <w:lang w:eastAsia="en-NZ"/>
              </w:rPr>
              <w:t>end of the year</w:t>
            </w:r>
          </w:p>
        </w:tc>
        <w:tc>
          <w:tcPr>
            <w:tcW w:w="1172" w:type="dxa"/>
            <w:tcBorders>
              <w:top w:val="single" w:sz="8" w:space="0" w:color="auto"/>
              <w:left w:val="nil"/>
              <w:bottom w:val="double" w:sz="6" w:space="0" w:color="auto"/>
              <w:right w:val="nil"/>
            </w:tcBorders>
            <w:shd w:val="clear" w:color="000000" w:fill="FFFF99"/>
            <w:noWrap/>
          </w:tcPr>
          <w:p w:rsidR="00452ACA" w:rsidRPr="000B4210" w:rsidRDefault="00452ACA" w:rsidP="00452ACA">
            <w:pPr>
              <w:spacing w:after="0" w:line="240" w:lineRule="auto"/>
              <w:jc w:val="right"/>
              <w:rPr>
                <w:rFonts w:cs="Arial"/>
                <w:b/>
                <w:bCs/>
                <w:sz w:val="20"/>
                <w:szCs w:val="20"/>
                <w:lang w:eastAsia="en-NZ"/>
              </w:rPr>
            </w:pPr>
            <w:r>
              <w:rPr>
                <w:rFonts w:cs="Arial"/>
                <w:b/>
                <w:bCs/>
                <w:sz w:val="20"/>
                <w:szCs w:val="20"/>
                <w:lang w:eastAsia="en-NZ"/>
              </w:rPr>
              <w:t>42</w:t>
            </w:r>
            <w:r w:rsidR="006D17E2">
              <w:rPr>
                <w:rFonts w:cs="Arial"/>
                <w:b/>
                <w:bCs/>
                <w:sz w:val="20"/>
                <w:szCs w:val="20"/>
                <w:lang w:eastAsia="en-NZ"/>
              </w:rPr>
              <w:t>6</w:t>
            </w:r>
          </w:p>
        </w:tc>
        <w:tc>
          <w:tcPr>
            <w:tcW w:w="1068" w:type="dxa"/>
            <w:tcBorders>
              <w:top w:val="single" w:sz="8" w:space="0" w:color="auto"/>
              <w:left w:val="nil"/>
              <w:bottom w:val="double" w:sz="6" w:space="0" w:color="auto"/>
              <w:right w:val="nil"/>
            </w:tcBorders>
            <w:shd w:val="clear" w:color="000000" w:fill="FFFF99"/>
            <w:noWrap/>
            <w:hideMark/>
          </w:tcPr>
          <w:p w:rsidR="00452ACA" w:rsidRPr="000B4210" w:rsidRDefault="00452ACA">
            <w:pPr>
              <w:spacing w:after="0" w:line="240" w:lineRule="auto"/>
              <w:jc w:val="right"/>
              <w:rPr>
                <w:rFonts w:cs="Arial"/>
                <w:b/>
                <w:bCs/>
                <w:sz w:val="20"/>
                <w:szCs w:val="20"/>
                <w:lang w:eastAsia="en-NZ"/>
              </w:rPr>
            </w:pPr>
            <w:r>
              <w:rPr>
                <w:rFonts w:cs="Arial"/>
                <w:b/>
                <w:bCs/>
                <w:sz w:val="20"/>
                <w:szCs w:val="20"/>
                <w:lang w:eastAsia="en-NZ"/>
              </w:rPr>
              <w:t>38</w:t>
            </w:r>
            <w:r w:rsidR="006D17E2">
              <w:rPr>
                <w:rFonts w:cs="Arial"/>
                <w:b/>
                <w:bCs/>
                <w:sz w:val="20"/>
                <w:szCs w:val="20"/>
                <w:lang w:eastAsia="en-NZ"/>
              </w:rPr>
              <w:t>4</w:t>
            </w:r>
          </w:p>
        </w:tc>
        <w:tc>
          <w:tcPr>
            <w:tcW w:w="1054" w:type="dxa"/>
            <w:tcBorders>
              <w:top w:val="single" w:sz="8" w:space="0" w:color="auto"/>
              <w:left w:val="nil"/>
              <w:bottom w:val="double" w:sz="6" w:space="0" w:color="auto"/>
              <w:right w:val="nil"/>
            </w:tcBorders>
            <w:shd w:val="clear" w:color="000000" w:fill="FFFF99"/>
            <w:noWrap/>
            <w:hideMark/>
          </w:tcPr>
          <w:p w:rsidR="00452ACA" w:rsidRPr="000B4210" w:rsidRDefault="00452ACA">
            <w:pPr>
              <w:spacing w:after="0" w:line="240" w:lineRule="auto"/>
              <w:jc w:val="right"/>
              <w:rPr>
                <w:rFonts w:cs="Arial"/>
                <w:b/>
                <w:bCs/>
                <w:sz w:val="20"/>
                <w:szCs w:val="20"/>
                <w:lang w:eastAsia="en-NZ"/>
              </w:rPr>
            </w:pPr>
            <w:r>
              <w:rPr>
                <w:rFonts w:cs="Arial"/>
                <w:b/>
                <w:bCs/>
                <w:sz w:val="20"/>
                <w:szCs w:val="20"/>
                <w:lang w:eastAsia="en-NZ"/>
              </w:rPr>
              <w:t>52</w:t>
            </w:r>
            <w:r w:rsidR="006D17E2">
              <w:rPr>
                <w:rFonts w:cs="Arial"/>
                <w:b/>
                <w:bCs/>
                <w:sz w:val="20"/>
                <w:szCs w:val="20"/>
                <w:lang w:eastAsia="en-NZ"/>
              </w:rPr>
              <w:t>6</w:t>
            </w:r>
          </w:p>
        </w:tc>
        <w:tc>
          <w:tcPr>
            <w:tcW w:w="1082" w:type="dxa"/>
            <w:tcBorders>
              <w:top w:val="single" w:sz="8" w:space="0" w:color="auto"/>
              <w:left w:val="nil"/>
              <w:bottom w:val="double" w:sz="6" w:space="0" w:color="auto"/>
              <w:right w:val="nil"/>
            </w:tcBorders>
            <w:shd w:val="clear" w:color="000000" w:fill="FFFF99"/>
          </w:tcPr>
          <w:p w:rsidR="00452ACA" w:rsidRPr="000B4210" w:rsidRDefault="00452ACA">
            <w:pPr>
              <w:spacing w:after="0" w:line="240" w:lineRule="auto"/>
              <w:jc w:val="right"/>
              <w:rPr>
                <w:rFonts w:cs="Arial"/>
                <w:b/>
                <w:bCs/>
                <w:sz w:val="20"/>
                <w:szCs w:val="20"/>
                <w:lang w:eastAsia="en-NZ"/>
              </w:rPr>
            </w:pPr>
            <w:r w:rsidRPr="000B4210">
              <w:rPr>
                <w:rFonts w:cs="Arial"/>
                <w:b/>
                <w:bCs/>
                <w:sz w:val="20"/>
                <w:szCs w:val="20"/>
                <w:lang w:eastAsia="en-NZ"/>
              </w:rPr>
              <w:t>8</w:t>
            </w:r>
            <w:r>
              <w:rPr>
                <w:rFonts w:cs="Arial"/>
                <w:b/>
                <w:bCs/>
                <w:sz w:val="20"/>
                <w:szCs w:val="20"/>
                <w:lang w:eastAsia="en-NZ"/>
              </w:rPr>
              <w:t>4</w:t>
            </w:r>
            <w:r w:rsidR="006D17E2">
              <w:rPr>
                <w:rFonts w:cs="Arial"/>
                <w:b/>
                <w:bCs/>
                <w:sz w:val="20"/>
                <w:szCs w:val="20"/>
                <w:lang w:eastAsia="en-NZ"/>
              </w:rPr>
              <w:t>4</w:t>
            </w:r>
          </w:p>
        </w:tc>
        <w:tc>
          <w:tcPr>
            <w:tcW w:w="1069" w:type="dxa"/>
            <w:tcBorders>
              <w:top w:val="single" w:sz="8" w:space="0" w:color="auto"/>
              <w:left w:val="nil"/>
              <w:bottom w:val="double" w:sz="6" w:space="0" w:color="auto"/>
              <w:right w:val="nil"/>
            </w:tcBorders>
            <w:shd w:val="clear" w:color="000000" w:fill="FFFF99"/>
            <w:noWrap/>
          </w:tcPr>
          <w:p w:rsidR="00452ACA" w:rsidRPr="000B4210" w:rsidRDefault="00452ACA">
            <w:pPr>
              <w:spacing w:after="0" w:line="240" w:lineRule="auto"/>
              <w:jc w:val="right"/>
              <w:rPr>
                <w:rFonts w:cs="Arial"/>
                <w:b/>
                <w:bCs/>
                <w:sz w:val="20"/>
                <w:szCs w:val="20"/>
                <w:lang w:eastAsia="en-NZ"/>
              </w:rPr>
            </w:pPr>
            <w:r>
              <w:rPr>
                <w:rFonts w:cs="Arial"/>
                <w:b/>
                <w:bCs/>
                <w:sz w:val="20"/>
                <w:szCs w:val="20"/>
                <w:lang w:eastAsia="en-NZ"/>
              </w:rPr>
              <w:t>93</w:t>
            </w:r>
            <w:r w:rsidR="006D17E2">
              <w:rPr>
                <w:rFonts w:cs="Arial"/>
                <w:b/>
                <w:bCs/>
                <w:sz w:val="20"/>
                <w:szCs w:val="20"/>
                <w:lang w:eastAsia="en-NZ"/>
              </w:rPr>
              <w:t>8</w:t>
            </w:r>
          </w:p>
        </w:tc>
      </w:tr>
      <w:tr w:rsidR="00452ACA" w:rsidRPr="000B4210" w:rsidTr="00FB6559">
        <w:trPr>
          <w:trHeight w:val="315"/>
        </w:trPr>
        <w:tc>
          <w:tcPr>
            <w:tcW w:w="4395" w:type="dxa"/>
            <w:tcBorders>
              <w:top w:val="nil"/>
              <w:left w:val="nil"/>
              <w:bottom w:val="nil"/>
              <w:right w:val="nil"/>
            </w:tcBorders>
            <w:shd w:val="clear" w:color="auto" w:fill="auto"/>
            <w:hideMark/>
          </w:tcPr>
          <w:p w:rsidR="00452ACA" w:rsidRPr="000B4210" w:rsidRDefault="00452ACA" w:rsidP="00452ACA">
            <w:pPr>
              <w:spacing w:after="0" w:line="240" w:lineRule="auto"/>
              <w:rPr>
                <w:rFonts w:cs="Arial"/>
                <w:lang w:eastAsia="en-NZ"/>
              </w:rPr>
            </w:pPr>
          </w:p>
        </w:tc>
        <w:tc>
          <w:tcPr>
            <w:tcW w:w="1172"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p>
        </w:tc>
        <w:tc>
          <w:tcPr>
            <w:tcW w:w="1068"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p>
        </w:tc>
        <w:tc>
          <w:tcPr>
            <w:tcW w:w="1054"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p>
        </w:tc>
        <w:tc>
          <w:tcPr>
            <w:tcW w:w="1082" w:type="dxa"/>
            <w:tcBorders>
              <w:top w:val="nil"/>
              <w:left w:val="nil"/>
              <w:bottom w:val="nil"/>
              <w:right w:val="nil"/>
            </w:tcBorders>
          </w:tcPr>
          <w:p w:rsidR="00452ACA" w:rsidRPr="000B4210" w:rsidRDefault="00452ACA" w:rsidP="00452ACA">
            <w:pPr>
              <w:spacing w:after="0" w:line="240" w:lineRule="auto"/>
              <w:jc w:val="right"/>
              <w:rPr>
                <w:rFonts w:cs="Arial"/>
                <w:sz w:val="20"/>
                <w:szCs w:val="20"/>
                <w:lang w:eastAsia="en-NZ"/>
              </w:rPr>
            </w:pPr>
          </w:p>
        </w:tc>
        <w:tc>
          <w:tcPr>
            <w:tcW w:w="1069" w:type="dxa"/>
            <w:tcBorders>
              <w:top w:val="nil"/>
              <w:left w:val="nil"/>
              <w:bottom w:val="nil"/>
              <w:right w:val="nil"/>
            </w:tcBorders>
            <w:shd w:val="clear" w:color="auto" w:fill="auto"/>
            <w:noWrap/>
            <w:hideMark/>
          </w:tcPr>
          <w:p w:rsidR="00452ACA" w:rsidRPr="000B4210" w:rsidRDefault="00452ACA" w:rsidP="00452ACA">
            <w:pPr>
              <w:spacing w:after="0" w:line="240" w:lineRule="auto"/>
              <w:jc w:val="right"/>
              <w:rPr>
                <w:rFonts w:cs="Arial"/>
                <w:sz w:val="20"/>
                <w:szCs w:val="20"/>
                <w:lang w:eastAsia="en-NZ"/>
              </w:rPr>
            </w:pPr>
          </w:p>
        </w:tc>
      </w:tr>
    </w:tbl>
    <w:p w:rsidR="00346271" w:rsidRPr="000B4210" w:rsidRDefault="00346271" w:rsidP="00346271">
      <w:pPr>
        <w:spacing w:after="0" w:line="240" w:lineRule="auto"/>
      </w:pPr>
    </w:p>
    <w:p w:rsidR="00346271" w:rsidRPr="000B4210" w:rsidRDefault="00346271" w:rsidP="0057235E">
      <w:pPr>
        <w:pStyle w:val="Heading1"/>
        <w:jc w:val="both"/>
      </w:pPr>
      <w:bookmarkStart w:id="12" w:name="_Toc390680431"/>
      <w:r w:rsidRPr="000B4210">
        <w:t>Notes to and forming part of the Forecast Financial Statements</w:t>
      </w:r>
      <w:bookmarkEnd w:id="12"/>
    </w:p>
    <w:p w:rsidR="00346271" w:rsidRPr="000B4210" w:rsidRDefault="00346271" w:rsidP="0057235E">
      <w:pPr>
        <w:jc w:val="both"/>
        <w:rPr>
          <w:rFonts w:cs="Arial"/>
          <w:lang w:val="en-NZ"/>
        </w:rPr>
      </w:pPr>
      <w:bookmarkStart w:id="13" w:name="_Toc390680432"/>
      <w:r w:rsidRPr="000B4210">
        <w:rPr>
          <w:rFonts w:cs="Arial"/>
          <w:lang w:val="en-NZ"/>
        </w:rPr>
        <w:t xml:space="preserve">The Board of the Commission is responsible for the forecast financial statements presented in this </w:t>
      </w:r>
      <w:r w:rsidRPr="000B4210">
        <w:rPr>
          <w:rFonts w:cs="Arial"/>
          <w:i/>
          <w:lang w:val="en-NZ"/>
        </w:rPr>
        <w:t>Statement of Performance Expectations</w:t>
      </w:r>
      <w:r w:rsidRPr="000B4210">
        <w:rPr>
          <w:rFonts w:cs="Arial"/>
          <w:lang w:val="en-NZ"/>
        </w:rPr>
        <w:t>, including the appropriateness of the assumptions underlying the forecast financial statements and all other required disclosures.</w:t>
      </w:r>
    </w:p>
    <w:p w:rsidR="00346271" w:rsidRPr="000B4210" w:rsidRDefault="00346271" w:rsidP="0057235E">
      <w:pPr>
        <w:jc w:val="both"/>
      </w:pPr>
      <w:r w:rsidRPr="000B4210">
        <w:rPr>
          <w:rFonts w:cs="Arial"/>
          <w:lang w:val="en-NZ"/>
        </w:rPr>
        <w:t xml:space="preserve">The forecast financial statements were approved by the Board of the Commission on 30 June 2016. </w:t>
      </w:r>
    </w:p>
    <w:p w:rsidR="00346271" w:rsidRPr="000B4210" w:rsidRDefault="00346271" w:rsidP="0057235E">
      <w:pPr>
        <w:pStyle w:val="Heading2"/>
        <w:jc w:val="both"/>
        <w:rPr>
          <w:b/>
        </w:rPr>
      </w:pPr>
      <w:r w:rsidRPr="000B4210">
        <w:rPr>
          <w:b/>
        </w:rPr>
        <w:t>Statement of Significant Underlying Assumptions</w:t>
      </w:r>
      <w:bookmarkEnd w:id="13"/>
    </w:p>
    <w:p w:rsidR="00346271" w:rsidRPr="000B4210" w:rsidRDefault="00346271" w:rsidP="0057235E">
      <w:pPr>
        <w:jc w:val="both"/>
      </w:pPr>
      <w:r w:rsidRPr="000B4210">
        <w:t xml:space="preserve">The forecast financial statements are based on the following assumptions: </w:t>
      </w:r>
    </w:p>
    <w:p w:rsidR="00346271" w:rsidRPr="000B4210" w:rsidDel="00C53269" w:rsidRDefault="00FB2885">
      <w:pPr>
        <w:pStyle w:val="ListParagraph"/>
        <w:numPr>
          <w:ilvl w:val="0"/>
          <w:numId w:val="11"/>
        </w:numPr>
        <w:ind w:hanging="720"/>
        <w:jc w:val="both"/>
      </w:pPr>
      <w:r w:rsidRPr="00882ABA">
        <w:rPr>
          <w:rFonts w:cs="Arial"/>
        </w:rPr>
        <w:t>A</w:t>
      </w:r>
      <w:r w:rsidR="00346271" w:rsidRPr="00882ABA">
        <w:rPr>
          <w:rFonts w:cs="Arial"/>
        </w:rPr>
        <w:t>ccumulated funds, or reserves</w:t>
      </w:r>
      <w:r w:rsidRPr="00882ABA">
        <w:rPr>
          <w:rFonts w:cs="Arial"/>
        </w:rPr>
        <w:t>,</w:t>
      </w:r>
      <w:r w:rsidR="00346271" w:rsidRPr="00882ABA">
        <w:rPr>
          <w:rFonts w:cs="Arial"/>
        </w:rPr>
        <w:t xml:space="preserve"> will be used to fund operating deficits</w:t>
      </w:r>
      <w:r>
        <w:t xml:space="preserve"> o</w:t>
      </w:r>
      <w:r w:rsidRPr="00882ABA">
        <w:rPr>
          <w:rFonts w:cs="Arial"/>
        </w:rPr>
        <w:t xml:space="preserve">ver the period covered by the forecast financial statements and </w:t>
      </w:r>
      <w:r w:rsidR="00A30D45" w:rsidRPr="00882ABA">
        <w:rPr>
          <w:rFonts w:cs="Arial"/>
        </w:rPr>
        <w:t xml:space="preserve">provide for </w:t>
      </w:r>
      <w:r w:rsidRPr="00882ABA">
        <w:rPr>
          <w:rFonts w:cs="Arial"/>
        </w:rPr>
        <w:t>a depreciation reserve to replace assets</w:t>
      </w:r>
      <w:r w:rsidR="003A3923">
        <w:rPr>
          <w:rFonts w:cs="Arial"/>
        </w:rPr>
        <w:t xml:space="preserve"> as they wear out. Any excess accumulated </w:t>
      </w:r>
      <w:r w:rsidR="00A30D45" w:rsidRPr="00882ABA">
        <w:rPr>
          <w:rFonts w:cs="Arial"/>
        </w:rPr>
        <w:t>funds</w:t>
      </w:r>
      <w:r w:rsidR="003A3923">
        <w:rPr>
          <w:rFonts w:cs="Arial"/>
        </w:rPr>
        <w:t xml:space="preserve"> </w:t>
      </w:r>
      <w:r w:rsidR="00A30D45" w:rsidRPr="00882ABA">
        <w:rPr>
          <w:rFonts w:cs="Arial"/>
        </w:rPr>
        <w:t>will have diminished by 2020/21</w:t>
      </w:r>
      <w:r w:rsidR="00346271" w:rsidRPr="000B4210">
        <w:t>.</w:t>
      </w:r>
    </w:p>
    <w:p w:rsidR="00346271" w:rsidRPr="000B4210" w:rsidRDefault="00346271" w:rsidP="0057235E">
      <w:pPr>
        <w:pStyle w:val="ListParagraph"/>
        <w:numPr>
          <w:ilvl w:val="0"/>
          <w:numId w:val="11"/>
        </w:numPr>
        <w:ind w:hanging="720"/>
        <w:jc w:val="both"/>
      </w:pPr>
      <w:r w:rsidRPr="000B4210">
        <w:t>Functions will remain broadly the same as the previous year.</w:t>
      </w:r>
    </w:p>
    <w:p w:rsidR="00346271" w:rsidRPr="000B4210" w:rsidRDefault="00346271" w:rsidP="0057235E">
      <w:pPr>
        <w:pStyle w:val="ListParagraph"/>
        <w:numPr>
          <w:ilvl w:val="0"/>
          <w:numId w:val="11"/>
        </w:numPr>
        <w:ind w:hanging="720"/>
        <w:jc w:val="both"/>
      </w:pPr>
      <w:r w:rsidRPr="000B4210">
        <w:t>Except for funding of $100,000 per annum in 2015/16 and 2016/17 for an anti-racism campaign, n</w:t>
      </w:r>
      <w:r w:rsidRPr="000B4210" w:rsidDel="00C53269">
        <w:t>o extra Government funding will be received for the foreseeable future and at least until 2020</w:t>
      </w:r>
      <w:r w:rsidRPr="000B4210">
        <w:t>.</w:t>
      </w:r>
    </w:p>
    <w:p w:rsidR="00346271" w:rsidRPr="000B4210" w:rsidRDefault="00346271" w:rsidP="0057235E">
      <w:pPr>
        <w:pStyle w:val="ListParagraph"/>
        <w:numPr>
          <w:ilvl w:val="0"/>
          <w:numId w:val="11"/>
        </w:numPr>
        <w:ind w:hanging="720"/>
        <w:jc w:val="both"/>
      </w:pPr>
      <w:r w:rsidRPr="000B4210">
        <w:t>Staff numbers will remain static throughout the period</w:t>
      </w:r>
      <w:r w:rsidR="00B57BA1">
        <w:t xml:space="preserve"> and be supported by short-term contract assistance for specific programmes of work over a defined period of time</w:t>
      </w:r>
      <w:r w:rsidRPr="000B4210">
        <w:t>.</w:t>
      </w:r>
    </w:p>
    <w:p w:rsidR="00346271" w:rsidRPr="000B4210" w:rsidRDefault="00346271" w:rsidP="0057235E">
      <w:pPr>
        <w:pStyle w:val="ListParagraph"/>
        <w:numPr>
          <w:ilvl w:val="0"/>
          <w:numId w:val="11"/>
        </w:numPr>
        <w:ind w:hanging="720"/>
        <w:jc w:val="both"/>
      </w:pPr>
      <w:r w:rsidRPr="000B4210">
        <w:t>A moratorium on movement through pay scales agreed with unionised staff will end in November 2017 when the moratorium expires.</w:t>
      </w:r>
    </w:p>
    <w:p w:rsidR="00346271" w:rsidRPr="000B4210" w:rsidRDefault="00346271" w:rsidP="0057235E">
      <w:pPr>
        <w:pStyle w:val="ListParagraph"/>
        <w:numPr>
          <w:ilvl w:val="0"/>
          <w:numId w:val="11"/>
        </w:numPr>
        <w:ind w:hanging="720"/>
        <w:jc w:val="both"/>
      </w:pPr>
      <w:r w:rsidRPr="000B4210">
        <w:rPr>
          <w:rFonts w:cs="Arial"/>
        </w:rPr>
        <w:t>Offices will continue to operate in Auckland, Wellington and Christchurch.</w:t>
      </w:r>
    </w:p>
    <w:p w:rsidR="00346271" w:rsidRPr="000B4210" w:rsidRDefault="00346271" w:rsidP="0057235E">
      <w:pPr>
        <w:pStyle w:val="ListParagraph"/>
        <w:numPr>
          <w:ilvl w:val="0"/>
          <w:numId w:val="11"/>
        </w:numPr>
        <w:ind w:hanging="720"/>
        <w:jc w:val="both"/>
      </w:pPr>
      <w:r w:rsidRPr="000B4210">
        <w:rPr>
          <w:rFonts w:cs="Arial"/>
        </w:rPr>
        <w:t xml:space="preserve">The Auckland office will relocate to 41 Shortland Street in July 2016 following a surrender, at the landlord’s request, of </w:t>
      </w:r>
      <w:r w:rsidR="006F26FF">
        <w:rPr>
          <w:rFonts w:cs="Arial"/>
        </w:rPr>
        <w:t>the</w:t>
      </w:r>
      <w:r w:rsidRPr="000B4210">
        <w:rPr>
          <w:rFonts w:cs="Arial"/>
        </w:rPr>
        <w:t xml:space="preserve"> lease at 21 Queen Street. The cost </w:t>
      </w:r>
      <w:r w:rsidRPr="000B4210">
        <w:rPr>
          <w:rFonts w:cs="Arial"/>
        </w:rPr>
        <w:lastRenderedPageBreak/>
        <w:t>to fit-out the new premises is budgeted at $800,000</w:t>
      </w:r>
      <w:r w:rsidR="00A30D45">
        <w:rPr>
          <w:rFonts w:cs="Arial"/>
        </w:rPr>
        <w:t xml:space="preserve"> across the 2015/16 and 2016/17 financial years</w:t>
      </w:r>
      <w:r w:rsidRPr="000B4210">
        <w:rPr>
          <w:rFonts w:cs="Arial"/>
        </w:rPr>
        <w:t>.</w:t>
      </w:r>
    </w:p>
    <w:p w:rsidR="00346271" w:rsidRPr="000B4210" w:rsidRDefault="00346271" w:rsidP="0057235E">
      <w:pPr>
        <w:pStyle w:val="ListParagraph"/>
        <w:numPr>
          <w:ilvl w:val="0"/>
          <w:numId w:val="11"/>
        </w:numPr>
        <w:ind w:hanging="720"/>
        <w:jc w:val="both"/>
      </w:pPr>
      <w:r w:rsidRPr="000B4210">
        <w:rPr>
          <w:rFonts w:cs="Arial"/>
        </w:rPr>
        <w:t>A similar proportion of office space at 41 Shortland Street will be sublet to the Energy Efficiency and Conservation Authority as is sublet now at 21 Queen Street.</w:t>
      </w:r>
    </w:p>
    <w:p w:rsidR="00B57BA1" w:rsidRPr="00672AB8" w:rsidRDefault="004252DC" w:rsidP="0057235E">
      <w:pPr>
        <w:pStyle w:val="ListParagraph"/>
        <w:numPr>
          <w:ilvl w:val="0"/>
          <w:numId w:val="11"/>
        </w:numPr>
        <w:ind w:hanging="720"/>
        <w:jc w:val="both"/>
      </w:pPr>
      <w:r>
        <w:rPr>
          <w:rFonts w:cs="Arial"/>
        </w:rPr>
        <w:t xml:space="preserve">Implementation of a new </w:t>
      </w:r>
      <w:r w:rsidR="00346271" w:rsidRPr="000B4210">
        <w:rPr>
          <w:rFonts w:cs="Arial"/>
        </w:rPr>
        <w:t xml:space="preserve">knowledge management </w:t>
      </w:r>
      <w:r>
        <w:rPr>
          <w:rFonts w:cs="Arial"/>
        </w:rPr>
        <w:t xml:space="preserve">system </w:t>
      </w:r>
      <w:r w:rsidR="00346271" w:rsidRPr="000B4210">
        <w:rPr>
          <w:rFonts w:cs="Arial"/>
        </w:rPr>
        <w:t xml:space="preserve">will </w:t>
      </w:r>
      <w:r>
        <w:rPr>
          <w:rFonts w:cs="Arial"/>
        </w:rPr>
        <w:t xml:space="preserve">be completed </w:t>
      </w:r>
      <w:r w:rsidR="00346271" w:rsidRPr="000B4210">
        <w:rPr>
          <w:rFonts w:cs="Arial"/>
        </w:rPr>
        <w:t>in 2016/17</w:t>
      </w:r>
      <w:r w:rsidR="00B57BA1">
        <w:rPr>
          <w:rFonts w:cs="Arial"/>
        </w:rPr>
        <w:t xml:space="preserve"> and accounts for a large portion of the increase in other expenses in that year.</w:t>
      </w:r>
    </w:p>
    <w:p w:rsidR="00B57BA1" w:rsidRPr="000B4210" w:rsidRDefault="00B57BA1" w:rsidP="00B57BA1">
      <w:pPr>
        <w:pStyle w:val="ListParagraph"/>
        <w:numPr>
          <w:ilvl w:val="0"/>
          <w:numId w:val="11"/>
        </w:numPr>
        <w:ind w:hanging="720"/>
        <w:jc w:val="both"/>
      </w:pPr>
      <w:r w:rsidRPr="006F584E">
        <w:t>Inflation</w:t>
      </w:r>
      <w:r w:rsidRPr="000B4210">
        <w:t xml:space="preserve"> is assumed at an average of </w:t>
      </w:r>
      <w:r>
        <w:t>1.54</w:t>
      </w:r>
      <w:r w:rsidRPr="000B4210">
        <w:t>% per annum.</w:t>
      </w:r>
      <w:r>
        <w:t xml:space="preserve"> Interest rate assumptions are not material.</w:t>
      </w:r>
    </w:p>
    <w:p w:rsidR="00557B26" w:rsidRPr="00B57BA1" w:rsidRDefault="00557B26">
      <w:pPr>
        <w:pStyle w:val="ListParagraph"/>
        <w:numPr>
          <w:ilvl w:val="0"/>
          <w:numId w:val="11"/>
        </w:numPr>
        <w:spacing w:after="0"/>
        <w:ind w:hanging="720"/>
        <w:jc w:val="both"/>
        <w:rPr>
          <w:rFonts w:cs="Arial"/>
        </w:rPr>
      </w:pPr>
      <w:r w:rsidRPr="00B57BA1">
        <w:rPr>
          <w:rFonts w:cs="Arial"/>
        </w:rPr>
        <w:t>Prior to 20</w:t>
      </w:r>
      <w:r w:rsidR="00BA7DDB" w:rsidRPr="00B57BA1">
        <w:rPr>
          <w:rFonts w:cs="Arial"/>
        </w:rPr>
        <w:t>20</w:t>
      </w:r>
      <w:r w:rsidRPr="00B57BA1">
        <w:rPr>
          <w:rFonts w:cs="Arial"/>
        </w:rPr>
        <w:t>/21, the Commission will undertake a review to ascertain what action will be taken on cost structures, funding, and service delivery to ensure a financially sustainable organisation that has sufficient resources to deliver its statutory obligations effectively.</w:t>
      </w:r>
    </w:p>
    <w:p w:rsidR="00A30D45" w:rsidRDefault="00A30D45" w:rsidP="00672AB8">
      <w:pPr>
        <w:spacing w:after="0"/>
        <w:jc w:val="both"/>
      </w:pPr>
    </w:p>
    <w:p w:rsidR="00346271" w:rsidRPr="000B4210" w:rsidRDefault="00346271" w:rsidP="00672AB8">
      <w:pPr>
        <w:jc w:val="both"/>
      </w:pPr>
      <w:r w:rsidRPr="00672AB8">
        <w:t xml:space="preserve">The forecast financial statements have been prepared on the basis of actual events, transactions and financial results up to </w:t>
      </w:r>
      <w:r w:rsidR="00A30D45" w:rsidRPr="00672AB8">
        <w:t xml:space="preserve">31 May 2016 </w:t>
      </w:r>
      <w:r w:rsidRPr="00672AB8">
        <w:t xml:space="preserve">and </w:t>
      </w:r>
      <w:r w:rsidRPr="000B4210">
        <w:t xml:space="preserve">assumptions about future events that are reasonably expected to occur, associated with the actions that are reasonably expected to be taken, as at the date that this information was prepared. </w:t>
      </w:r>
    </w:p>
    <w:p w:rsidR="00346271" w:rsidRPr="000B4210" w:rsidRDefault="00346271" w:rsidP="0057235E">
      <w:pPr>
        <w:jc w:val="both"/>
      </w:pPr>
      <w:r w:rsidRPr="000B4210">
        <w:t>The purpose of these financial statements is to indicate the likely financial impact of implementing the Commission’s longer term strategic direction, and to assist Parliament’s consideration of the appropriations for, and planned performance of, the Commission. The information disclosed is indicative only and may not be appropriate for any other purpose.</w:t>
      </w:r>
    </w:p>
    <w:p w:rsidR="00346271" w:rsidRPr="000B4210" w:rsidRDefault="00346271" w:rsidP="0057235E">
      <w:pPr>
        <w:jc w:val="both"/>
      </w:pPr>
      <w:r w:rsidRPr="000B4210">
        <w:t>Readers are cautioned that actual results are likely to vary from the information presented here and that the variations may be material.</w:t>
      </w:r>
    </w:p>
    <w:p w:rsidR="00346271" w:rsidRPr="000B4210" w:rsidRDefault="00346271" w:rsidP="0057235E">
      <w:pPr>
        <w:jc w:val="both"/>
      </w:pPr>
      <w:r w:rsidRPr="000B4210">
        <w:t>It is not intended that this published material will be updated.</w:t>
      </w:r>
    </w:p>
    <w:p w:rsidR="00346271" w:rsidRPr="006F26FF" w:rsidRDefault="00346271" w:rsidP="0057235E">
      <w:pPr>
        <w:pStyle w:val="Heading2"/>
        <w:jc w:val="both"/>
        <w:rPr>
          <w:b/>
        </w:rPr>
      </w:pPr>
      <w:bookmarkStart w:id="14" w:name="_Toc390680433"/>
      <w:r w:rsidRPr="006F26FF">
        <w:rPr>
          <w:b/>
        </w:rPr>
        <w:lastRenderedPageBreak/>
        <w:t>Statement of Accounting Policies</w:t>
      </w:r>
      <w:bookmarkEnd w:id="14"/>
    </w:p>
    <w:p w:rsidR="00346271" w:rsidRPr="000B4210" w:rsidRDefault="00346271" w:rsidP="0057235E">
      <w:pPr>
        <w:pStyle w:val="Heading3"/>
        <w:jc w:val="both"/>
      </w:pPr>
      <w:bookmarkStart w:id="15" w:name="_Toc390680434"/>
      <w:r w:rsidRPr="000B4210">
        <w:t>Reporting entity</w:t>
      </w:r>
      <w:bookmarkEnd w:id="15"/>
    </w:p>
    <w:p w:rsidR="00346271" w:rsidRPr="000B4210" w:rsidRDefault="00346271" w:rsidP="0057235E">
      <w:pPr>
        <w:pStyle w:val="Heading3"/>
        <w:jc w:val="both"/>
        <w:rPr>
          <w:rFonts w:eastAsia="Times New Roman" w:cs="Times New Roman"/>
          <w:b w:val="0"/>
          <w:bCs w:val="0"/>
          <w:color w:val="auto"/>
        </w:rPr>
      </w:pPr>
      <w:r w:rsidRPr="000B4210">
        <w:rPr>
          <w:rFonts w:eastAsia="Times New Roman" w:cs="Times New Roman"/>
          <w:b w:val="0"/>
          <w:bCs w:val="0"/>
          <w:color w:val="auto"/>
        </w:rPr>
        <w:t>The Commission is a Crown entity as defined by the Crown Entities Act 2004. The Commission’s functions and responsibilities are set out in the Human Rights Act 1993 and it has designated itself as a public benefit entity (PBE) for financial reporting purposes.</w:t>
      </w:r>
    </w:p>
    <w:p w:rsidR="00346271" w:rsidRPr="000B4210" w:rsidRDefault="00346271" w:rsidP="0057235E">
      <w:pPr>
        <w:pStyle w:val="Heading3"/>
        <w:jc w:val="both"/>
      </w:pPr>
      <w:r w:rsidRPr="000B4210">
        <w:t>Basis of preparation</w:t>
      </w:r>
    </w:p>
    <w:p w:rsidR="00346271" w:rsidRPr="000B4210" w:rsidRDefault="00346271" w:rsidP="0057235E">
      <w:pPr>
        <w:jc w:val="both"/>
      </w:pPr>
      <w:r w:rsidRPr="000B4210">
        <w:t>The forecast financial statements have been prepared on a going concern basis and the accounting policies have been applied consistently throughout the period.</w:t>
      </w:r>
    </w:p>
    <w:p w:rsidR="00346271" w:rsidRPr="000B4210" w:rsidRDefault="00346271" w:rsidP="0057235E">
      <w:pPr>
        <w:pStyle w:val="Heading3"/>
        <w:jc w:val="both"/>
      </w:pPr>
      <w:bookmarkStart w:id="16" w:name="_Toc390680436"/>
      <w:r w:rsidRPr="000B4210">
        <w:t>Statement of compliance</w:t>
      </w:r>
      <w:bookmarkEnd w:id="16"/>
    </w:p>
    <w:p w:rsidR="00346271" w:rsidRPr="000B4210" w:rsidRDefault="00346271" w:rsidP="0057235E">
      <w:pPr>
        <w:jc w:val="both"/>
      </w:pPr>
      <w:r w:rsidRPr="000B4210">
        <w:t xml:space="preserve">The forecast financial statements have been prepared in accordance with the requirements of the Crown Entities Act 2004, which includes the requirement to comply with generally accepted accounting practice in New Zealand (NZ GAAP). </w:t>
      </w:r>
    </w:p>
    <w:p w:rsidR="00346271" w:rsidRPr="000B4210" w:rsidRDefault="00346271" w:rsidP="0057235E">
      <w:pPr>
        <w:jc w:val="both"/>
      </w:pPr>
      <w:r w:rsidRPr="000B4210">
        <w:t>The forecast financial statements have been prepared in accordance with Tier 2 PBE accounting standards as appropriate for public sector entities and comply with Public Benefit Entity Financial Reporting Standard 42</w:t>
      </w:r>
      <w:r w:rsidRPr="000B4210">
        <w:rPr>
          <w:i/>
          <w:iCs/>
        </w:rPr>
        <w:t xml:space="preserve"> Prospective Financial Statements</w:t>
      </w:r>
      <w:r w:rsidRPr="000B4210">
        <w:t>. The Commission is eligible to apply Tier 2 PBE accounting standards because it does not have public accountability, as defined in the PBE Standards, and its total expenses are less than $30 million.</w:t>
      </w:r>
    </w:p>
    <w:p w:rsidR="00346271" w:rsidRPr="000B4210" w:rsidRDefault="00346271" w:rsidP="0057235E">
      <w:pPr>
        <w:pStyle w:val="Heading3"/>
        <w:jc w:val="both"/>
      </w:pPr>
      <w:bookmarkStart w:id="17" w:name="_Toc390680438"/>
      <w:r w:rsidRPr="000B4210">
        <w:t>Presentation currency</w:t>
      </w:r>
      <w:bookmarkEnd w:id="17"/>
      <w:r w:rsidRPr="000B4210">
        <w:t xml:space="preserve"> and rounding</w:t>
      </w:r>
    </w:p>
    <w:p w:rsidR="00346271" w:rsidRPr="000B4210" w:rsidRDefault="00346271" w:rsidP="0057235E">
      <w:pPr>
        <w:jc w:val="both"/>
      </w:pPr>
      <w:r w:rsidRPr="000B4210">
        <w:t>The forecast financial statements are presented in New Zealand dollars and all values are rounded to the nearest thousand dollars ($000).</w:t>
      </w:r>
    </w:p>
    <w:p w:rsidR="00346271" w:rsidRPr="006F26FF" w:rsidRDefault="00346271" w:rsidP="0057235E">
      <w:pPr>
        <w:pStyle w:val="Heading3"/>
        <w:jc w:val="both"/>
        <w:rPr>
          <w:sz w:val="28"/>
          <w:szCs w:val="28"/>
          <w:lang w:val="en-NZ"/>
        </w:rPr>
      </w:pPr>
      <w:bookmarkStart w:id="18" w:name="_Toc390680440"/>
      <w:r w:rsidRPr="006F26FF">
        <w:rPr>
          <w:sz w:val="28"/>
          <w:szCs w:val="28"/>
        </w:rPr>
        <w:t>Summary of significant accounting policies</w:t>
      </w:r>
      <w:bookmarkEnd w:id="18"/>
    </w:p>
    <w:p w:rsidR="00346271" w:rsidRPr="000B4210" w:rsidRDefault="00346271" w:rsidP="0057235E">
      <w:pPr>
        <w:pStyle w:val="Heading3"/>
        <w:jc w:val="both"/>
      </w:pPr>
      <w:bookmarkStart w:id="19" w:name="_Toc390680441"/>
      <w:r w:rsidRPr="000B4210">
        <w:t>Revenue</w:t>
      </w:r>
      <w:bookmarkEnd w:id="19"/>
    </w:p>
    <w:p w:rsidR="00346271" w:rsidRPr="000B4210" w:rsidRDefault="00346271" w:rsidP="0057235E">
      <w:pPr>
        <w:jc w:val="both"/>
      </w:pPr>
      <w:r w:rsidRPr="000B4210">
        <w:t>Revenue is measured at the fair value of consideration received or receivable.</w:t>
      </w:r>
    </w:p>
    <w:p w:rsidR="00346271" w:rsidRPr="000B4210" w:rsidRDefault="00346271" w:rsidP="0057235E">
      <w:pPr>
        <w:autoSpaceDE w:val="0"/>
        <w:autoSpaceDN w:val="0"/>
        <w:adjustRightInd w:val="0"/>
        <w:jc w:val="both"/>
      </w:pPr>
      <w:r w:rsidRPr="000B4210">
        <w:t>The specific accounting policies for significant revenue items are explained below:</w:t>
      </w:r>
    </w:p>
    <w:p w:rsidR="00346271" w:rsidRPr="000B4210" w:rsidRDefault="00346271" w:rsidP="0057235E">
      <w:pPr>
        <w:pStyle w:val="Heading3"/>
        <w:jc w:val="both"/>
      </w:pPr>
      <w:bookmarkStart w:id="20" w:name="_Toc390680442"/>
      <w:r w:rsidRPr="000B4210">
        <w:lastRenderedPageBreak/>
        <w:t>Revenue from the Crown</w:t>
      </w:r>
      <w:bookmarkEnd w:id="20"/>
    </w:p>
    <w:p w:rsidR="00346271" w:rsidRPr="000B4210" w:rsidRDefault="00346271" w:rsidP="0057235E">
      <w:pPr>
        <w:autoSpaceDE w:val="0"/>
        <w:autoSpaceDN w:val="0"/>
        <w:adjustRightInd w:val="0"/>
        <w:jc w:val="both"/>
      </w:pPr>
      <w:r w:rsidRPr="000B4210">
        <w:rPr>
          <w:bCs/>
        </w:rPr>
        <w:t xml:space="preserve">The Commission is primarily funded by </w:t>
      </w:r>
      <w:r w:rsidRPr="000B4210">
        <w:t>r</w:t>
      </w:r>
      <w:r w:rsidRPr="000B4210">
        <w:rPr>
          <w:bCs/>
        </w:rPr>
        <w:t>evenue</w:t>
      </w:r>
      <w:r w:rsidRPr="000B4210">
        <w:t xml:space="preserve"> received from the Crown through the Ministry of Justice for the provision of outputs. This funding is dedicated to the Commission meeting the objectives specified in the Human Rights Act 1993 and the scope of the relevant appropriations of the funder. The Commission considers there are no conditions attached to the funding and it is recognised as non-exchange revenue at the point of entitlement. The fair value of revenue from the Crown has been determined to be equivalent to the amounts due in the funding arrangements.</w:t>
      </w:r>
    </w:p>
    <w:p w:rsidR="00346271" w:rsidRPr="000B4210" w:rsidRDefault="00346271" w:rsidP="0057235E">
      <w:pPr>
        <w:pStyle w:val="Heading3"/>
        <w:jc w:val="both"/>
      </w:pPr>
      <w:r w:rsidRPr="000B4210">
        <w:t>Interest received</w:t>
      </w:r>
    </w:p>
    <w:p w:rsidR="00346271" w:rsidRPr="000B4210" w:rsidRDefault="00346271" w:rsidP="0057235E">
      <w:pPr>
        <w:jc w:val="both"/>
      </w:pPr>
      <w:r w:rsidRPr="000B4210">
        <w:t>Interest revenue is recognised using the effective interest method.</w:t>
      </w:r>
    </w:p>
    <w:p w:rsidR="00346271" w:rsidRPr="000B4210" w:rsidRDefault="00346271" w:rsidP="0057235E">
      <w:pPr>
        <w:pStyle w:val="Heading3"/>
        <w:jc w:val="both"/>
      </w:pPr>
      <w:r w:rsidRPr="000B4210">
        <w:rPr>
          <w:rFonts w:eastAsia="Times New Roman"/>
        </w:rPr>
        <w:t>Rental revenue</w:t>
      </w:r>
    </w:p>
    <w:p w:rsidR="00346271" w:rsidRPr="000B4210" w:rsidRDefault="00346271" w:rsidP="0057235E">
      <w:pPr>
        <w:jc w:val="both"/>
      </w:pPr>
      <w:r w:rsidRPr="000B4210">
        <w:t>Lease receipts under an operating sublease are recognised as revenue on a straight-line basis over the lease term.</w:t>
      </w:r>
    </w:p>
    <w:p w:rsidR="00346271" w:rsidRPr="000B4210" w:rsidRDefault="00346271" w:rsidP="0057235E">
      <w:pPr>
        <w:pStyle w:val="Heading3"/>
        <w:jc w:val="both"/>
      </w:pPr>
      <w:r w:rsidRPr="000B4210">
        <w:rPr>
          <w:lang w:val="en-US"/>
        </w:rPr>
        <w:t>Provision of services</w:t>
      </w:r>
    </w:p>
    <w:p w:rsidR="00346271" w:rsidRPr="000B4210" w:rsidRDefault="00346271" w:rsidP="0057235E">
      <w:pPr>
        <w:autoSpaceDE w:val="0"/>
        <w:autoSpaceDN w:val="0"/>
        <w:adjustRightInd w:val="0"/>
        <w:jc w:val="both"/>
        <w:rPr>
          <w:rFonts w:ascii="TwCenMTMi,Bold" w:hAnsi="TwCenMTMi,Bold" w:cs="TwCenMTMi,Bold"/>
          <w:b/>
          <w:bCs/>
          <w:sz w:val="18"/>
          <w:szCs w:val="18"/>
        </w:rPr>
      </w:pPr>
      <w:r w:rsidRPr="000B4210">
        <w:t>Services provided to third parties on commercial terms, such as the provision of advice and educational workshops, are exchange transactions. Revenue from these services is recognised in proportion to the stage of completion at balance date.</w:t>
      </w:r>
    </w:p>
    <w:p w:rsidR="00346271" w:rsidRPr="000B4210" w:rsidRDefault="00346271" w:rsidP="0057235E">
      <w:pPr>
        <w:pStyle w:val="Heading3"/>
        <w:jc w:val="both"/>
        <w:rPr>
          <w:b w:val="0"/>
          <w:bCs w:val="0"/>
        </w:rPr>
      </w:pPr>
      <w:r w:rsidRPr="000B4210">
        <w:t>Grants received</w:t>
      </w:r>
    </w:p>
    <w:p w:rsidR="00346271" w:rsidRPr="000B4210" w:rsidRDefault="00346271" w:rsidP="0057235E">
      <w:pPr>
        <w:autoSpaceDE w:val="0"/>
        <w:autoSpaceDN w:val="0"/>
        <w:adjustRightInd w:val="0"/>
        <w:jc w:val="both"/>
      </w:pPr>
      <w:r w:rsidRPr="000B4210">
        <w:t>Grants are recognised as revenue when they become receivable unless there is an obligation in substance to return the funds if conditions of the grant are not met. If there is such an obligation, the grants are initially recorded as grants received in advance and recognised as revenue when conditions of the grant are satisfied.</w:t>
      </w:r>
    </w:p>
    <w:p w:rsidR="00346271" w:rsidRPr="000B4210" w:rsidRDefault="00346271" w:rsidP="0057235E">
      <w:pPr>
        <w:pStyle w:val="Heading3"/>
        <w:jc w:val="both"/>
      </w:pPr>
      <w:bookmarkStart w:id="21" w:name="_Toc390680445"/>
      <w:r w:rsidRPr="000B4210">
        <w:t>Grant expenditure</w:t>
      </w:r>
      <w:bookmarkEnd w:id="21"/>
    </w:p>
    <w:p w:rsidR="00346271" w:rsidRPr="000B4210" w:rsidRDefault="00346271" w:rsidP="0057235E">
      <w:pPr>
        <w:jc w:val="both"/>
      </w:pPr>
      <w:r w:rsidRPr="000B4210">
        <w:t>Discretionary grants are those grants where the Commission has no obligation to award on the receipt of a grant application and are recognised as expenditure when approved by the Commission and the approval has been communicated to the applicant.</w:t>
      </w:r>
    </w:p>
    <w:p w:rsidR="00346271" w:rsidRPr="000B4210" w:rsidRDefault="00346271" w:rsidP="0057235E">
      <w:pPr>
        <w:pStyle w:val="Heading3"/>
        <w:jc w:val="both"/>
      </w:pPr>
      <w:r w:rsidRPr="000B4210">
        <w:lastRenderedPageBreak/>
        <w:t>Project and programme costs</w:t>
      </w:r>
    </w:p>
    <w:p w:rsidR="00346271" w:rsidRPr="000B4210" w:rsidRDefault="00346271" w:rsidP="0057235E">
      <w:pPr>
        <w:jc w:val="both"/>
      </w:pPr>
      <w:r w:rsidRPr="000B4210">
        <w:t>Costs that are directly attributable to a project or programme activity are reported in the statement of comprehensive revenue and expense as project and programme costs. This includes the cost of travel where the primary purpose of the travel relates to the project activity.</w:t>
      </w:r>
    </w:p>
    <w:p w:rsidR="00346271" w:rsidRPr="006F26FF" w:rsidRDefault="00346271" w:rsidP="0057235E">
      <w:pPr>
        <w:pStyle w:val="Heading3"/>
        <w:jc w:val="both"/>
        <w:rPr>
          <w:sz w:val="28"/>
          <w:szCs w:val="28"/>
        </w:rPr>
      </w:pPr>
      <w:bookmarkStart w:id="22" w:name="_Toc390680446"/>
      <w:r w:rsidRPr="006F26FF">
        <w:rPr>
          <w:sz w:val="28"/>
          <w:szCs w:val="28"/>
        </w:rPr>
        <w:t>Leases</w:t>
      </w:r>
      <w:bookmarkEnd w:id="22"/>
    </w:p>
    <w:p w:rsidR="00346271" w:rsidRPr="000B4210" w:rsidRDefault="00346271" w:rsidP="0057235E">
      <w:pPr>
        <w:pStyle w:val="Heading3"/>
        <w:jc w:val="both"/>
      </w:pPr>
      <w:bookmarkStart w:id="23" w:name="_Toc390680448"/>
      <w:r w:rsidRPr="000B4210">
        <w:t>Operating leases</w:t>
      </w:r>
      <w:bookmarkEnd w:id="23"/>
    </w:p>
    <w:p w:rsidR="00346271" w:rsidRPr="000B4210" w:rsidRDefault="00346271" w:rsidP="0057235E">
      <w:pPr>
        <w:jc w:val="both"/>
      </w:pPr>
      <w:r w:rsidRPr="000B4210">
        <w:t xml:space="preserve">An operating lease is a lease that does not transfer substantially all the risks and rewards incidental to ownership of an asset. </w:t>
      </w:r>
    </w:p>
    <w:p w:rsidR="00346271" w:rsidRPr="000B4210" w:rsidRDefault="00346271" w:rsidP="0057235E">
      <w:pPr>
        <w:jc w:val="both"/>
      </w:pPr>
      <w:r w:rsidRPr="000B4210">
        <w:t>Lease payments under an operating lease are recognised as an expense on a straight-line basis over the lease term.</w:t>
      </w:r>
    </w:p>
    <w:p w:rsidR="00346271" w:rsidRPr="000B4210" w:rsidRDefault="00346271" w:rsidP="0057235E">
      <w:pPr>
        <w:jc w:val="both"/>
      </w:pPr>
      <w:r w:rsidRPr="000B4210">
        <w:t>Lease incentives received are recognised in the surplus or deficit in the statement of comprehensive revenue and expense as a reduction in rental expense over the lease term.</w:t>
      </w:r>
    </w:p>
    <w:p w:rsidR="00346271" w:rsidRPr="000B4210" w:rsidRDefault="00346271" w:rsidP="0057235E">
      <w:pPr>
        <w:pStyle w:val="Heading3"/>
        <w:jc w:val="both"/>
      </w:pPr>
      <w:bookmarkStart w:id="24" w:name="_Toc390680449"/>
      <w:r w:rsidRPr="000B4210">
        <w:t>Foreign currency transactions</w:t>
      </w:r>
      <w:bookmarkEnd w:id="24"/>
    </w:p>
    <w:p w:rsidR="00346271" w:rsidRPr="000B4210" w:rsidRDefault="00346271" w:rsidP="0057235E">
      <w:pPr>
        <w:jc w:val="both"/>
        <w:rPr>
          <w:lang w:val="en-US"/>
        </w:rPr>
      </w:pPr>
      <w:r w:rsidRPr="000B4210">
        <w:rPr>
          <w:lang w:val="en-US"/>
        </w:rPr>
        <w:t xml:space="preserve">Foreign currency transactions are translated into New Zealand dollars using the exchange rates prevailing at the dates of the transactions. Foreign exchange gains and losses resulting from the settlement of such transactions and from the translation at year end exchange rates of monetary assets and liabilities denominated in foreign currencies are </w:t>
      </w:r>
      <w:r w:rsidR="0057235E" w:rsidRPr="000B4210">
        <w:rPr>
          <w:lang w:val="en-US"/>
        </w:rPr>
        <w:t>recognized</w:t>
      </w:r>
      <w:r w:rsidRPr="000B4210">
        <w:rPr>
          <w:lang w:val="en-US"/>
        </w:rPr>
        <w:t xml:space="preserve"> in the surplus or deficit in the statement of comprehensive revenue and expense.</w:t>
      </w:r>
    </w:p>
    <w:p w:rsidR="00346271" w:rsidRPr="000B4210" w:rsidRDefault="00346271" w:rsidP="0057235E">
      <w:pPr>
        <w:pStyle w:val="Heading3"/>
        <w:jc w:val="both"/>
      </w:pPr>
      <w:bookmarkStart w:id="25" w:name="_Toc390680451"/>
      <w:r w:rsidRPr="000B4210">
        <w:t>Cash and cash equivalents</w:t>
      </w:r>
      <w:bookmarkEnd w:id="25"/>
    </w:p>
    <w:p w:rsidR="00346271" w:rsidRPr="000B4210" w:rsidRDefault="00346271" w:rsidP="0057235E">
      <w:pPr>
        <w:jc w:val="both"/>
      </w:pPr>
      <w:r w:rsidRPr="000B4210">
        <w:t>Cash and cash equivalents include cash on hand and funds on deposit at banks with an original maturity of three months or less.</w:t>
      </w:r>
    </w:p>
    <w:p w:rsidR="00346271" w:rsidRPr="000B4210" w:rsidRDefault="00346271" w:rsidP="0057235E">
      <w:pPr>
        <w:pStyle w:val="Heading3"/>
        <w:jc w:val="both"/>
      </w:pPr>
      <w:bookmarkStart w:id="26" w:name="_Toc390680452"/>
      <w:r w:rsidRPr="000B4210">
        <w:t>Short-term deposits</w:t>
      </w:r>
      <w:bookmarkEnd w:id="26"/>
    </w:p>
    <w:p w:rsidR="00346271" w:rsidRPr="000B4210" w:rsidRDefault="00346271" w:rsidP="0057235E">
      <w:pPr>
        <w:jc w:val="both"/>
      </w:pPr>
      <w:r w:rsidRPr="000B4210">
        <w:t>Short-term deposits include funds on deposit at banks with an original maturity of more than three months but not more than 12 months and are initially measured at the amount invested.</w:t>
      </w:r>
    </w:p>
    <w:p w:rsidR="00346271" w:rsidRPr="000B4210" w:rsidRDefault="00346271" w:rsidP="0057235E">
      <w:pPr>
        <w:pStyle w:val="Heading3"/>
        <w:jc w:val="both"/>
      </w:pPr>
      <w:bookmarkStart w:id="27" w:name="_Toc390680453"/>
      <w:r w:rsidRPr="000B4210">
        <w:lastRenderedPageBreak/>
        <w:t>Receivables</w:t>
      </w:r>
      <w:bookmarkEnd w:id="27"/>
    </w:p>
    <w:p w:rsidR="00346271" w:rsidRPr="000B4210" w:rsidRDefault="00346271" w:rsidP="0057235E">
      <w:pPr>
        <w:jc w:val="both"/>
      </w:pPr>
      <w:r w:rsidRPr="000B4210">
        <w:t>Short-term receivables are recorded at their face value, less any provision for impairment.</w:t>
      </w:r>
    </w:p>
    <w:p w:rsidR="00346271" w:rsidRPr="000B4210" w:rsidRDefault="00346271" w:rsidP="0057235E">
      <w:pPr>
        <w:jc w:val="both"/>
      </w:pPr>
      <w:r w:rsidRPr="000B4210">
        <w:t>A receivable is considered impaired when there is evidence that the Commission will not be able to collect the amount due. The amount of the impairment is the difference between the carrying amount of the receivable and the present value of the amounts expected to be collected.</w:t>
      </w:r>
    </w:p>
    <w:p w:rsidR="00346271" w:rsidRPr="000B4210" w:rsidRDefault="00346271" w:rsidP="0057235E">
      <w:pPr>
        <w:pStyle w:val="Heading3"/>
        <w:jc w:val="both"/>
        <w:rPr>
          <w:lang w:val="en-US"/>
        </w:rPr>
      </w:pPr>
      <w:bookmarkStart w:id="28" w:name="_Toc390680454"/>
      <w:r w:rsidRPr="000B4210">
        <w:rPr>
          <w:lang w:val="en-US"/>
        </w:rPr>
        <w:t>Property, plant and equipment</w:t>
      </w:r>
      <w:bookmarkEnd w:id="28"/>
    </w:p>
    <w:p w:rsidR="00346271" w:rsidRPr="000B4210" w:rsidRDefault="00346271" w:rsidP="0057235E">
      <w:pPr>
        <w:jc w:val="both"/>
        <w:rPr>
          <w:lang w:val="en-US"/>
        </w:rPr>
      </w:pPr>
      <w:r w:rsidRPr="000B4210">
        <w:rPr>
          <w:lang w:val="en-US"/>
        </w:rPr>
        <w:t>Property, plant and equipment consists of equipment, furniture and fittings, leasehold improvements, library books and motor vehicles.</w:t>
      </w:r>
    </w:p>
    <w:p w:rsidR="00346271" w:rsidRPr="000B4210" w:rsidRDefault="00346271" w:rsidP="0057235E">
      <w:pPr>
        <w:jc w:val="both"/>
        <w:rPr>
          <w:lang w:val="en-US"/>
        </w:rPr>
      </w:pPr>
      <w:r w:rsidRPr="000B4210">
        <w:rPr>
          <w:lang w:val="en-US"/>
        </w:rPr>
        <w:t>Property, plant and equipment is measured at cost less any accumulated depreciation and impairment losses.</w:t>
      </w:r>
    </w:p>
    <w:p w:rsidR="00346271" w:rsidRPr="000B4210" w:rsidRDefault="00346271" w:rsidP="0057235E">
      <w:pPr>
        <w:pStyle w:val="Heading3"/>
        <w:jc w:val="both"/>
        <w:rPr>
          <w:lang w:val="en-US"/>
        </w:rPr>
      </w:pPr>
      <w:bookmarkStart w:id="29" w:name="_Toc390680455"/>
      <w:r w:rsidRPr="000B4210">
        <w:rPr>
          <w:lang w:val="en-US"/>
        </w:rPr>
        <w:t>Additions</w:t>
      </w:r>
      <w:bookmarkEnd w:id="29"/>
    </w:p>
    <w:p w:rsidR="00346271" w:rsidRPr="000B4210" w:rsidRDefault="00346271" w:rsidP="0057235E">
      <w:pPr>
        <w:jc w:val="both"/>
        <w:rPr>
          <w:lang w:val="en-US"/>
        </w:rPr>
      </w:pPr>
      <w:r w:rsidRPr="000B4210">
        <w:rPr>
          <w:lang w:val="en-US"/>
        </w:rPr>
        <w:t xml:space="preserve">The cost of an item of property, plant and equipment is </w:t>
      </w:r>
      <w:r w:rsidR="0057235E" w:rsidRPr="000B4210">
        <w:rPr>
          <w:lang w:val="en-US"/>
        </w:rPr>
        <w:t>recognized</w:t>
      </w:r>
      <w:r w:rsidRPr="000B4210">
        <w:rPr>
          <w:lang w:val="en-US"/>
        </w:rPr>
        <w:t xml:space="preserve"> as an asset when it is probable that future economic benefits or service potential associated with the item will flow to the Commission and the cost of the item can be measured reliably.</w:t>
      </w:r>
    </w:p>
    <w:p w:rsidR="00346271" w:rsidRPr="000B4210" w:rsidRDefault="00346271" w:rsidP="0057235E">
      <w:pPr>
        <w:jc w:val="both"/>
        <w:rPr>
          <w:lang w:val="en-US"/>
        </w:rPr>
      </w:pPr>
      <w:r w:rsidRPr="000B4210">
        <w:rPr>
          <w:lang w:val="en-US"/>
        </w:rPr>
        <w:t>Work in progress is measured at cost less impairment and is not depreciated.</w:t>
      </w:r>
    </w:p>
    <w:p w:rsidR="00346271" w:rsidRPr="000B4210" w:rsidRDefault="00346271" w:rsidP="0057235E">
      <w:pPr>
        <w:jc w:val="both"/>
        <w:rPr>
          <w:lang w:val="en-US"/>
        </w:rPr>
      </w:pPr>
      <w:r w:rsidRPr="000B4210">
        <w:rPr>
          <w:lang w:val="en-US"/>
        </w:rPr>
        <w:t xml:space="preserve">In most instances, an item of property, plant and equipment is initially </w:t>
      </w:r>
      <w:r w:rsidR="0057235E" w:rsidRPr="000B4210">
        <w:rPr>
          <w:lang w:val="en-US"/>
        </w:rPr>
        <w:t>recognized</w:t>
      </w:r>
      <w:r w:rsidRPr="000B4210">
        <w:rPr>
          <w:lang w:val="en-US"/>
        </w:rPr>
        <w:t xml:space="preserve"> at its cost. Where an asset is acquired through a non-exchange transaction, it is </w:t>
      </w:r>
      <w:r w:rsidR="0057235E" w:rsidRPr="000B4210">
        <w:rPr>
          <w:lang w:val="en-US"/>
        </w:rPr>
        <w:t>recognized</w:t>
      </w:r>
      <w:r w:rsidRPr="000B4210">
        <w:rPr>
          <w:lang w:val="en-US"/>
        </w:rPr>
        <w:t xml:space="preserve"> at its fair value at the date of acquisition.</w:t>
      </w:r>
    </w:p>
    <w:p w:rsidR="00346271" w:rsidRPr="000B4210" w:rsidRDefault="00346271" w:rsidP="0057235E">
      <w:pPr>
        <w:pStyle w:val="Heading3"/>
        <w:jc w:val="both"/>
        <w:rPr>
          <w:lang w:val="en-US"/>
        </w:rPr>
      </w:pPr>
      <w:bookmarkStart w:id="30" w:name="_Toc390680456"/>
      <w:r w:rsidRPr="000B4210">
        <w:rPr>
          <w:lang w:val="en-US"/>
        </w:rPr>
        <w:t>Disposals</w:t>
      </w:r>
      <w:bookmarkEnd w:id="30"/>
    </w:p>
    <w:p w:rsidR="00346271" w:rsidRPr="000B4210" w:rsidRDefault="00346271" w:rsidP="0057235E">
      <w:pPr>
        <w:jc w:val="both"/>
        <w:rPr>
          <w:lang w:val="en-US"/>
        </w:rPr>
      </w:pPr>
      <w:r w:rsidRPr="000B4210">
        <w:rPr>
          <w:lang w:val="en-US"/>
        </w:rPr>
        <w:t>Gains and losses on disposals are determined by comparing the proceeds with the carrying amount of the asset. Gains and losses on disposals are reported as a net amount in the surplus or deficit in the statement of comprehensive revenue and expense.</w:t>
      </w:r>
    </w:p>
    <w:p w:rsidR="00346271" w:rsidRPr="000B4210" w:rsidRDefault="00346271" w:rsidP="0057235E">
      <w:pPr>
        <w:pStyle w:val="Heading3"/>
        <w:jc w:val="both"/>
        <w:rPr>
          <w:lang w:val="en-US"/>
        </w:rPr>
      </w:pPr>
      <w:bookmarkStart w:id="31" w:name="_Toc390680457"/>
      <w:r w:rsidRPr="000B4210">
        <w:rPr>
          <w:lang w:val="en-US"/>
        </w:rPr>
        <w:lastRenderedPageBreak/>
        <w:t>Subsequent costs</w:t>
      </w:r>
      <w:bookmarkEnd w:id="31"/>
    </w:p>
    <w:p w:rsidR="00346271" w:rsidRPr="000B4210" w:rsidRDefault="00346271" w:rsidP="0057235E">
      <w:pPr>
        <w:jc w:val="both"/>
        <w:rPr>
          <w:lang w:val="en-US"/>
        </w:rPr>
      </w:pPr>
      <w:r w:rsidRPr="000B4210">
        <w:rPr>
          <w:lang w:val="en-US"/>
        </w:rPr>
        <w:t xml:space="preserve">Costs incurred subsequent to initial acquisition are </w:t>
      </w:r>
      <w:r w:rsidR="0057235E" w:rsidRPr="000B4210">
        <w:rPr>
          <w:lang w:val="en-US"/>
        </w:rPr>
        <w:t>capitalized</w:t>
      </w:r>
      <w:r w:rsidRPr="000B4210">
        <w:rPr>
          <w:lang w:val="en-US"/>
        </w:rPr>
        <w:t xml:space="preserve"> only when it is probable that future economic benefits or service potential associated with the item will flow to the Commission and the cost of the item can be measured reliably.</w:t>
      </w:r>
    </w:p>
    <w:p w:rsidR="00346271" w:rsidRPr="000B4210" w:rsidRDefault="00346271" w:rsidP="0057235E">
      <w:pPr>
        <w:jc w:val="both"/>
        <w:rPr>
          <w:lang w:val="en-US"/>
        </w:rPr>
      </w:pPr>
      <w:r w:rsidRPr="000B4210">
        <w:rPr>
          <w:lang w:val="en-US"/>
        </w:rPr>
        <w:t xml:space="preserve">The costs of day-to-day servicing of property, plant and equipment are </w:t>
      </w:r>
      <w:r w:rsidR="0057235E" w:rsidRPr="000B4210">
        <w:rPr>
          <w:lang w:val="en-US"/>
        </w:rPr>
        <w:t>recognized</w:t>
      </w:r>
      <w:r w:rsidRPr="000B4210">
        <w:rPr>
          <w:lang w:val="en-US"/>
        </w:rPr>
        <w:t xml:space="preserve"> in the surplus or deficit in the statement of comprehensive revenue and expense as they are incurred.</w:t>
      </w:r>
    </w:p>
    <w:p w:rsidR="00346271" w:rsidRPr="000B4210" w:rsidRDefault="00346271" w:rsidP="0057235E">
      <w:pPr>
        <w:pStyle w:val="Heading3"/>
        <w:jc w:val="both"/>
        <w:rPr>
          <w:lang w:val="en-US"/>
        </w:rPr>
      </w:pPr>
      <w:bookmarkStart w:id="32" w:name="_Toc390680458"/>
      <w:r w:rsidRPr="000B4210">
        <w:rPr>
          <w:lang w:val="en-US"/>
        </w:rPr>
        <w:t>Depreciation</w:t>
      </w:r>
      <w:bookmarkEnd w:id="32"/>
    </w:p>
    <w:p w:rsidR="00346271" w:rsidRPr="000B4210" w:rsidRDefault="00346271" w:rsidP="0057235E">
      <w:pPr>
        <w:jc w:val="both"/>
        <w:rPr>
          <w:lang w:val="en-US"/>
        </w:rPr>
      </w:pPr>
      <w:r w:rsidRPr="000B4210">
        <w:rPr>
          <w:lang w:val="en-US"/>
        </w:rPr>
        <w:t>Depreciation is provided on a straight-line basis on all property, plant and equipment, at rates that will write off the cost of the assets to their estimated residual values over their useful lives. The useful lives and associated depreciation rates of major classes of property, plant and equipment have been estimated as follows:</w:t>
      </w:r>
    </w:p>
    <w:p w:rsidR="00346271" w:rsidRPr="000B4210" w:rsidRDefault="00346271" w:rsidP="0057235E">
      <w:pPr>
        <w:tabs>
          <w:tab w:val="left" w:pos="2970"/>
          <w:tab w:val="left" w:pos="5040"/>
          <w:tab w:val="left" w:pos="5130"/>
        </w:tabs>
        <w:jc w:val="both"/>
        <w:rPr>
          <w:lang w:val="en-US"/>
        </w:rPr>
      </w:pPr>
      <w:r w:rsidRPr="000B4210">
        <w:rPr>
          <w:lang w:val="en-US"/>
        </w:rPr>
        <w:t>Equipment</w:t>
      </w:r>
      <w:r w:rsidRPr="000B4210">
        <w:rPr>
          <w:lang w:val="en-US"/>
        </w:rPr>
        <w:tab/>
        <w:t>2.5</w:t>
      </w:r>
      <w:r w:rsidRPr="000B4210">
        <w:rPr>
          <w:rFonts w:cs="Arial"/>
          <w:lang w:val="en-US"/>
        </w:rPr>
        <w:t>−</w:t>
      </w:r>
      <w:r w:rsidRPr="000B4210">
        <w:rPr>
          <w:lang w:val="en-US"/>
        </w:rPr>
        <w:t>10 years</w:t>
      </w:r>
      <w:r w:rsidRPr="000B4210">
        <w:rPr>
          <w:lang w:val="en-US"/>
        </w:rPr>
        <w:tab/>
        <w:t>10</w:t>
      </w:r>
      <w:r w:rsidRPr="000B4210">
        <w:rPr>
          <w:rFonts w:cs="Arial"/>
          <w:lang w:val="en-US"/>
        </w:rPr>
        <w:t>−</w:t>
      </w:r>
      <w:r w:rsidRPr="000B4210">
        <w:rPr>
          <w:lang w:val="en-US"/>
        </w:rPr>
        <w:t>40%</w:t>
      </w:r>
      <w:r w:rsidRPr="000B4210">
        <w:rPr>
          <w:lang w:val="en-US"/>
        </w:rPr>
        <w:br/>
        <w:t>Furniture and fittings</w:t>
      </w:r>
      <w:r w:rsidRPr="000B4210">
        <w:rPr>
          <w:lang w:val="en-US"/>
        </w:rPr>
        <w:tab/>
        <w:t>5</w:t>
      </w:r>
      <w:r w:rsidRPr="000B4210">
        <w:rPr>
          <w:rFonts w:cs="Arial"/>
          <w:lang w:val="en-US"/>
        </w:rPr>
        <w:t>−</w:t>
      </w:r>
      <w:r w:rsidRPr="000B4210">
        <w:rPr>
          <w:lang w:val="en-US"/>
        </w:rPr>
        <w:t>10 years</w:t>
      </w:r>
      <w:r w:rsidRPr="000B4210">
        <w:rPr>
          <w:lang w:val="en-US"/>
        </w:rPr>
        <w:tab/>
        <w:t>10</w:t>
      </w:r>
      <w:r w:rsidRPr="000B4210">
        <w:rPr>
          <w:rFonts w:cs="Arial"/>
          <w:lang w:val="en-US"/>
        </w:rPr>
        <w:t>−</w:t>
      </w:r>
      <w:r w:rsidRPr="000B4210">
        <w:rPr>
          <w:lang w:val="en-US"/>
        </w:rPr>
        <w:t>20%</w:t>
      </w:r>
      <w:r w:rsidRPr="000B4210">
        <w:rPr>
          <w:lang w:val="en-US"/>
        </w:rPr>
        <w:br/>
        <w:t>Leasehold improvements</w:t>
      </w:r>
      <w:r w:rsidRPr="000B4210">
        <w:rPr>
          <w:lang w:val="en-US"/>
        </w:rPr>
        <w:tab/>
        <w:t>5</w:t>
      </w:r>
      <w:r w:rsidRPr="000B4210">
        <w:rPr>
          <w:rFonts w:cs="Arial"/>
          <w:lang w:val="en-US"/>
        </w:rPr>
        <w:t>−</w:t>
      </w:r>
      <w:r w:rsidR="00F324BF">
        <w:rPr>
          <w:lang w:val="en-US"/>
        </w:rPr>
        <w:t>12</w:t>
      </w:r>
      <w:r w:rsidR="00F324BF" w:rsidRPr="000B4210">
        <w:rPr>
          <w:lang w:val="en-US"/>
        </w:rPr>
        <w:t xml:space="preserve"> </w:t>
      </w:r>
      <w:r w:rsidRPr="000B4210">
        <w:rPr>
          <w:lang w:val="en-US"/>
        </w:rPr>
        <w:t>years</w:t>
      </w:r>
      <w:r w:rsidRPr="000B4210">
        <w:rPr>
          <w:lang w:val="en-US"/>
        </w:rPr>
        <w:tab/>
      </w:r>
      <w:r w:rsidR="00F324BF">
        <w:rPr>
          <w:lang w:val="en-US"/>
        </w:rPr>
        <w:t>8.3</w:t>
      </w:r>
      <w:r w:rsidRPr="000B4210">
        <w:rPr>
          <w:rFonts w:cs="Arial"/>
          <w:lang w:val="en-US"/>
        </w:rPr>
        <w:t>−</w:t>
      </w:r>
      <w:r w:rsidRPr="000B4210">
        <w:rPr>
          <w:lang w:val="en-US"/>
        </w:rPr>
        <w:t>20%</w:t>
      </w:r>
      <w:r w:rsidRPr="000B4210">
        <w:rPr>
          <w:lang w:val="en-US"/>
        </w:rPr>
        <w:br/>
        <w:t>Library books</w:t>
      </w:r>
      <w:r w:rsidRPr="000B4210">
        <w:rPr>
          <w:lang w:val="en-US"/>
        </w:rPr>
        <w:tab/>
        <w:t>5 years</w:t>
      </w:r>
      <w:r w:rsidRPr="000B4210">
        <w:rPr>
          <w:lang w:val="en-US"/>
        </w:rPr>
        <w:tab/>
        <w:t>20%</w:t>
      </w:r>
      <w:r w:rsidRPr="000B4210">
        <w:rPr>
          <w:lang w:val="en-US"/>
        </w:rPr>
        <w:br/>
        <w:t>Motor vehicles</w:t>
      </w:r>
      <w:r w:rsidRPr="000B4210">
        <w:rPr>
          <w:lang w:val="en-US"/>
        </w:rPr>
        <w:tab/>
        <w:t>5 years</w:t>
      </w:r>
      <w:r w:rsidRPr="000B4210">
        <w:rPr>
          <w:lang w:val="en-US"/>
        </w:rPr>
        <w:tab/>
        <w:t>20%</w:t>
      </w:r>
    </w:p>
    <w:p w:rsidR="00346271" w:rsidRPr="000B4210" w:rsidRDefault="00346271" w:rsidP="0057235E">
      <w:pPr>
        <w:jc w:val="both"/>
        <w:rPr>
          <w:lang w:val="en-US"/>
        </w:rPr>
      </w:pPr>
      <w:r w:rsidRPr="000B4210">
        <w:rPr>
          <w:lang w:val="en-US"/>
        </w:rPr>
        <w:t>Leasehold improvements are depreciated over the unexpired period of the lease or the estimated remaining useful lives of the improvement, whichever is the shorter.</w:t>
      </w:r>
    </w:p>
    <w:p w:rsidR="00346271" w:rsidRPr="000B4210" w:rsidRDefault="00346271" w:rsidP="0057235E">
      <w:pPr>
        <w:jc w:val="both"/>
        <w:rPr>
          <w:lang w:val="en-US"/>
        </w:rPr>
      </w:pPr>
      <w:r w:rsidRPr="000B4210">
        <w:rPr>
          <w:lang w:val="en-US"/>
        </w:rPr>
        <w:t>The residual value and useful life of an asset is reviewed, and adjusted if applicable, at each financial year-end.</w:t>
      </w:r>
    </w:p>
    <w:p w:rsidR="00346271" w:rsidRPr="006F26FF" w:rsidRDefault="00346271" w:rsidP="0057235E">
      <w:pPr>
        <w:pStyle w:val="Heading3"/>
        <w:jc w:val="both"/>
        <w:rPr>
          <w:sz w:val="28"/>
          <w:szCs w:val="28"/>
          <w:lang w:val="en-US"/>
        </w:rPr>
      </w:pPr>
      <w:bookmarkStart w:id="33" w:name="_Toc390680459"/>
      <w:r w:rsidRPr="006F26FF">
        <w:rPr>
          <w:sz w:val="28"/>
          <w:szCs w:val="28"/>
          <w:lang w:val="en-US"/>
        </w:rPr>
        <w:t>Intangible assets</w:t>
      </w:r>
      <w:bookmarkEnd w:id="33"/>
    </w:p>
    <w:p w:rsidR="00346271" w:rsidRPr="000B4210" w:rsidRDefault="00346271" w:rsidP="0057235E">
      <w:pPr>
        <w:pStyle w:val="Heading3"/>
        <w:jc w:val="both"/>
        <w:rPr>
          <w:lang w:val="en-US"/>
        </w:rPr>
      </w:pPr>
      <w:bookmarkStart w:id="34" w:name="_Toc390680460"/>
      <w:r w:rsidRPr="000B4210">
        <w:rPr>
          <w:lang w:val="en-US"/>
        </w:rPr>
        <w:t>Software acquisition</w:t>
      </w:r>
      <w:bookmarkEnd w:id="34"/>
    </w:p>
    <w:p w:rsidR="00346271" w:rsidRPr="000B4210" w:rsidRDefault="00346271" w:rsidP="0057235E">
      <w:pPr>
        <w:jc w:val="both"/>
        <w:rPr>
          <w:lang w:val="en-US"/>
        </w:rPr>
      </w:pPr>
      <w:r w:rsidRPr="000B4210">
        <w:rPr>
          <w:lang w:val="en-US"/>
        </w:rPr>
        <w:t xml:space="preserve">Acquired computer software licenses are </w:t>
      </w:r>
      <w:r w:rsidR="0057235E" w:rsidRPr="000B4210">
        <w:rPr>
          <w:lang w:val="en-US"/>
        </w:rPr>
        <w:t>capitalized</w:t>
      </w:r>
      <w:r w:rsidRPr="000B4210">
        <w:rPr>
          <w:lang w:val="en-US"/>
        </w:rPr>
        <w:t xml:space="preserve"> on the basis of the costs incurred to acquire and bring to use the specific software.</w:t>
      </w:r>
    </w:p>
    <w:p w:rsidR="00346271" w:rsidRPr="000B4210" w:rsidRDefault="00346271" w:rsidP="0057235E">
      <w:pPr>
        <w:jc w:val="both"/>
        <w:rPr>
          <w:lang w:val="en-US"/>
        </w:rPr>
      </w:pPr>
      <w:r w:rsidRPr="000B4210">
        <w:rPr>
          <w:lang w:val="en-US"/>
        </w:rPr>
        <w:lastRenderedPageBreak/>
        <w:t xml:space="preserve">Costs associated with maintaining computer software, the development and maintenance of the Commission’s website, and staff training costs are </w:t>
      </w:r>
      <w:r w:rsidR="0057235E" w:rsidRPr="000B4210">
        <w:rPr>
          <w:lang w:val="en-US"/>
        </w:rPr>
        <w:t>recognized</w:t>
      </w:r>
      <w:r w:rsidRPr="000B4210">
        <w:rPr>
          <w:lang w:val="en-US"/>
        </w:rPr>
        <w:t xml:space="preserve"> as an expense when incurred.</w:t>
      </w:r>
    </w:p>
    <w:p w:rsidR="00346271" w:rsidRPr="000B4210" w:rsidRDefault="00346271" w:rsidP="0057235E">
      <w:pPr>
        <w:pStyle w:val="Heading3"/>
        <w:jc w:val="both"/>
        <w:rPr>
          <w:lang w:val="en-US"/>
        </w:rPr>
      </w:pPr>
      <w:bookmarkStart w:id="35" w:name="_Toc390680461"/>
      <w:r w:rsidRPr="000B4210">
        <w:rPr>
          <w:lang w:val="en-US"/>
        </w:rPr>
        <w:t>Trademarks</w:t>
      </w:r>
      <w:bookmarkEnd w:id="35"/>
    </w:p>
    <w:p w:rsidR="00346271" w:rsidRPr="000B4210" w:rsidRDefault="00346271" w:rsidP="0057235E">
      <w:pPr>
        <w:jc w:val="both"/>
        <w:rPr>
          <w:lang w:val="en-US"/>
        </w:rPr>
      </w:pPr>
      <w:r w:rsidRPr="000B4210">
        <w:rPr>
          <w:lang w:val="en-US"/>
        </w:rPr>
        <w:t xml:space="preserve">Trademarks are </w:t>
      </w:r>
      <w:r w:rsidR="0057235E" w:rsidRPr="000B4210">
        <w:rPr>
          <w:lang w:val="en-US"/>
        </w:rPr>
        <w:t>capitalized</w:t>
      </w:r>
      <w:r w:rsidRPr="000B4210">
        <w:rPr>
          <w:lang w:val="en-US"/>
        </w:rPr>
        <w:t xml:space="preserve"> on the basis of the costs incurred to register the trademark with the Intellectual Property Office of New Zealand.</w:t>
      </w:r>
    </w:p>
    <w:p w:rsidR="00346271" w:rsidRPr="000B4210" w:rsidRDefault="0057235E" w:rsidP="0057235E">
      <w:pPr>
        <w:pStyle w:val="Heading3"/>
        <w:jc w:val="both"/>
        <w:rPr>
          <w:lang w:val="en-US"/>
        </w:rPr>
      </w:pPr>
      <w:r w:rsidRPr="000B4210">
        <w:rPr>
          <w:lang w:val="en-US"/>
        </w:rPr>
        <w:t>Amortization</w:t>
      </w:r>
    </w:p>
    <w:p w:rsidR="00346271" w:rsidRPr="000B4210" w:rsidRDefault="00346271" w:rsidP="0057235E">
      <w:pPr>
        <w:jc w:val="both"/>
        <w:rPr>
          <w:lang w:val="en-US"/>
        </w:rPr>
      </w:pPr>
      <w:r w:rsidRPr="000B4210">
        <w:rPr>
          <w:lang w:val="en-US"/>
        </w:rPr>
        <w:t xml:space="preserve">The carrying value of an intangible asset with a finite life is </w:t>
      </w:r>
      <w:r w:rsidR="0057235E" w:rsidRPr="000B4210">
        <w:rPr>
          <w:lang w:val="en-US"/>
        </w:rPr>
        <w:t>amortized</w:t>
      </w:r>
      <w:r w:rsidRPr="000B4210">
        <w:rPr>
          <w:lang w:val="en-US"/>
        </w:rPr>
        <w:t xml:space="preserve"> on a straight-line basis over its useful life. </w:t>
      </w:r>
      <w:r w:rsidR="0057235E" w:rsidRPr="000B4210">
        <w:rPr>
          <w:lang w:val="en-US"/>
        </w:rPr>
        <w:t>Amortization</w:t>
      </w:r>
      <w:r w:rsidRPr="000B4210">
        <w:rPr>
          <w:lang w:val="en-US"/>
        </w:rPr>
        <w:t xml:space="preserve"> begins when the asset is available for use and ceases at the date that the asset is </w:t>
      </w:r>
      <w:r w:rsidR="0057235E" w:rsidRPr="000B4210">
        <w:rPr>
          <w:lang w:val="en-US"/>
        </w:rPr>
        <w:t>derecognized</w:t>
      </w:r>
      <w:r w:rsidRPr="000B4210">
        <w:rPr>
          <w:lang w:val="en-US"/>
        </w:rPr>
        <w:t xml:space="preserve">. The </w:t>
      </w:r>
      <w:r w:rsidR="0057235E" w:rsidRPr="000B4210">
        <w:rPr>
          <w:lang w:val="en-US"/>
        </w:rPr>
        <w:t>amortization</w:t>
      </w:r>
      <w:r w:rsidRPr="000B4210">
        <w:rPr>
          <w:lang w:val="en-US"/>
        </w:rPr>
        <w:t xml:space="preserve"> charge for each financial year is </w:t>
      </w:r>
      <w:r w:rsidR="0057235E" w:rsidRPr="000B4210">
        <w:rPr>
          <w:lang w:val="en-US"/>
        </w:rPr>
        <w:t>recognized</w:t>
      </w:r>
      <w:r w:rsidRPr="000B4210">
        <w:rPr>
          <w:lang w:val="en-US"/>
        </w:rPr>
        <w:t xml:space="preserve"> in the surplus or deficit in the statement of comprehensive revenue and expense.</w:t>
      </w:r>
    </w:p>
    <w:p w:rsidR="00346271" w:rsidRPr="000B4210" w:rsidRDefault="00346271" w:rsidP="0057235E">
      <w:pPr>
        <w:jc w:val="both"/>
        <w:rPr>
          <w:lang w:val="en-US"/>
        </w:rPr>
      </w:pPr>
      <w:r w:rsidRPr="000B4210">
        <w:rPr>
          <w:lang w:val="en-US"/>
        </w:rPr>
        <w:t xml:space="preserve">The useful lives and associated </w:t>
      </w:r>
      <w:r w:rsidR="0057235E" w:rsidRPr="000B4210">
        <w:rPr>
          <w:lang w:val="en-US"/>
        </w:rPr>
        <w:t>amortization</w:t>
      </w:r>
      <w:r w:rsidRPr="000B4210">
        <w:rPr>
          <w:lang w:val="en-US"/>
        </w:rPr>
        <w:t xml:space="preserve"> rates of major classes of intangible assets have been estimated as follows:</w:t>
      </w:r>
    </w:p>
    <w:p w:rsidR="00346271" w:rsidRPr="000B4210" w:rsidRDefault="00346271" w:rsidP="0057235E">
      <w:pPr>
        <w:tabs>
          <w:tab w:val="left" w:pos="2880"/>
          <w:tab w:val="left" w:pos="5040"/>
        </w:tabs>
        <w:jc w:val="both"/>
      </w:pPr>
      <w:r w:rsidRPr="000B4210">
        <w:rPr>
          <w:lang w:val="en-US"/>
        </w:rPr>
        <w:t>Computer software</w:t>
      </w:r>
      <w:r w:rsidRPr="000B4210">
        <w:rPr>
          <w:lang w:val="en-US"/>
        </w:rPr>
        <w:tab/>
        <w:t>2</w:t>
      </w:r>
      <w:r w:rsidRPr="000B4210">
        <w:rPr>
          <w:rFonts w:cs="Arial"/>
          <w:lang w:val="en-US"/>
        </w:rPr>
        <w:t>−</w:t>
      </w:r>
      <w:r w:rsidRPr="000B4210">
        <w:rPr>
          <w:lang w:val="en-US"/>
        </w:rPr>
        <w:t>10 years</w:t>
      </w:r>
      <w:r w:rsidRPr="000B4210">
        <w:rPr>
          <w:lang w:val="en-US"/>
        </w:rPr>
        <w:tab/>
        <w:t>10</w:t>
      </w:r>
      <w:r w:rsidRPr="000B4210">
        <w:rPr>
          <w:rFonts w:cs="Arial"/>
          <w:lang w:val="en-US"/>
        </w:rPr>
        <w:t>−</w:t>
      </w:r>
      <w:r w:rsidRPr="000B4210">
        <w:rPr>
          <w:lang w:val="en-US"/>
        </w:rPr>
        <w:t>50%</w:t>
      </w:r>
      <w:r w:rsidRPr="000B4210">
        <w:rPr>
          <w:lang w:val="en-US"/>
        </w:rPr>
        <w:br/>
        <w:t>Trademarks</w:t>
      </w:r>
      <w:r w:rsidRPr="000B4210">
        <w:rPr>
          <w:lang w:val="en-US"/>
        </w:rPr>
        <w:tab/>
        <w:t>10 years</w:t>
      </w:r>
      <w:r w:rsidRPr="000B4210">
        <w:rPr>
          <w:lang w:val="en-US"/>
        </w:rPr>
        <w:tab/>
        <w:t>10%</w:t>
      </w:r>
    </w:p>
    <w:p w:rsidR="00346271" w:rsidRPr="006F26FF" w:rsidRDefault="00346271" w:rsidP="0057235E">
      <w:pPr>
        <w:pStyle w:val="Heading3"/>
        <w:jc w:val="both"/>
        <w:rPr>
          <w:sz w:val="28"/>
          <w:szCs w:val="28"/>
        </w:rPr>
      </w:pPr>
      <w:bookmarkStart w:id="36" w:name="_Toc390680463"/>
      <w:r w:rsidRPr="006F26FF">
        <w:rPr>
          <w:sz w:val="28"/>
          <w:szCs w:val="28"/>
        </w:rPr>
        <w:t>Impairment of property, plant and equipment and intangible assets</w:t>
      </w:r>
      <w:bookmarkEnd w:id="36"/>
    </w:p>
    <w:p w:rsidR="00346271" w:rsidRPr="000B4210" w:rsidRDefault="00346271" w:rsidP="0057235E">
      <w:pPr>
        <w:pStyle w:val="Heading3"/>
        <w:jc w:val="both"/>
        <w:rPr>
          <w:lang w:val="en-US"/>
        </w:rPr>
      </w:pPr>
      <w:r w:rsidRPr="000B4210">
        <w:rPr>
          <w:lang w:val="en-US"/>
        </w:rPr>
        <w:t>Cash generating assets</w:t>
      </w:r>
    </w:p>
    <w:p w:rsidR="00346271" w:rsidRPr="000B4210" w:rsidRDefault="00346271" w:rsidP="0057235E">
      <w:pPr>
        <w:jc w:val="both"/>
        <w:rPr>
          <w:lang w:val="en-US"/>
        </w:rPr>
      </w:pPr>
      <w:r w:rsidRPr="000B4210">
        <w:rPr>
          <w:lang w:val="en-US"/>
        </w:rPr>
        <w:t>The Commission does not hold any property, plant and equipment or intangible assets that are cash generating. Assets are considered cash-generating where their primary objective is to generate a commercial return, otherwise they are considered non-cash generating.</w:t>
      </w:r>
    </w:p>
    <w:p w:rsidR="00346271" w:rsidRPr="000B4210" w:rsidRDefault="00346271" w:rsidP="0057235E">
      <w:pPr>
        <w:pStyle w:val="Heading3"/>
        <w:jc w:val="both"/>
        <w:rPr>
          <w:lang w:val="en-US"/>
        </w:rPr>
      </w:pPr>
      <w:r w:rsidRPr="000B4210">
        <w:rPr>
          <w:lang w:val="en-US"/>
        </w:rPr>
        <w:t>Non-cash generating assets</w:t>
      </w:r>
    </w:p>
    <w:p w:rsidR="00346271" w:rsidRPr="000B4210" w:rsidRDefault="00346271" w:rsidP="0057235E">
      <w:pPr>
        <w:jc w:val="both"/>
        <w:rPr>
          <w:lang w:val="en-US"/>
        </w:rPr>
      </w:pPr>
      <w:r w:rsidRPr="000B4210">
        <w:rPr>
          <w:lang w:val="en-US"/>
        </w:rPr>
        <w:t xml:space="preserve">Property, plant and equipment and intangible assets that have a finite useful life are reviewed for impairment whenever events or changes in circumstances indicate that the carrying amount may not be recoverable. An impairment loss is </w:t>
      </w:r>
      <w:r w:rsidR="0057235E" w:rsidRPr="000B4210">
        <w:rPr>
          <w:lang w:val="en-US"/>
        </w:rPr>
        <w:t>recognized</w:t>
      </w:r>
      <w:r w:rsidRPr="000B4210">
        <w:rPr>
          <w:lang w:val="en-US"/>
        </w:rPr>
        <w:t xml:space="preserve"> for the amount by which the asset's carrying amount exceeds its recoverable service amount. </w:t>
      </w:r>
      <w:r w:rsidRPr="000B4210">
        <w:rPr>
          <w:lang w:val="en-US"/>
        </w:rPr>
        <w:lastRenderedPageBreak/>
        <w:t>The recoverable service amount is the higher of an asset's fair value less costs to sell and value in use.</w:t>
      </w:r>
    </w:p>
    <w:p w:rsidR="00346271" w:rsidRPr="000B4210" w:rsidRDefault="00346271" w:rsidP="0057235E">
      <w:pPr>
        <w:autoSpaceDE w:val="0"/>
        <w:autoSpaceDN w:val="0"/>
        <w:adjustRightInd w:val="0"/>
        <w:jc w:val="both"/>
        <w:rPr>
          <w:lang w:val="en-US"/>
        </w:rPr>
      </w:pPr>
      <w:r w:rsidRPr="000B4210">
        <w:rPr>
          <w:lang w:val="en-US"/>
        </w:rPr>
        <w:t xml:space="preserve">Value in use is determined using an approach based on either a depreciated replacement cost approach, restoration cost approach, or a service </w:t>
      </w:r>
      <w:r w:rsidR="0057235E" w:rsidRPr="000B4210">
        <w:rPr>
          <w:lang w:val="en-US"/>
        </w:rPr>
        <w:t>units’</w:t>
      </w:r>
      <w:r w:rsidRPr="000B4210">
        <w:rPr>
          <w:lang w:val="en-US"/>
        </w:rPr>
        <w:t xml:space="preserve"> approach. The most appropriate approach used to measure value in use depends on the nature of the impairment and availability of information.</w:t>
      </w:r>
    </w:p>
    <w:p w:rsidR="00346271" w:rsidRPr="000B4210" w:rsidRDefault="00346271" w:rsidP="0057235E">
      <w:pPr>
        <w:autoSpaceDE w:val="0"/>
        <w:autoSpaceDN w:val="0"/>
        <w:adjustRightInd w:val="0"/>
        <w:jc w:val="both"/>
        <w:rPr>
          <w:lang w:val="en-US"/>
        </w:rPr>
      </w:pPr>
      <w:r w:rsidRPr="000B4210">
        <w:rPr>
          <w:lang w:val="en-US"/>
        </w:rPr>
        <w:t xml:space="preserve">If an asset’s carrying amount exceeds its recoverable service amount, the asset is regarded as impaired and the carrying amount is written-down to the recoverable amount. The total impairment loss is </w:t>
      </w:r>
      <w:r w:rsidR="0057235E" w:rsidRPr="000B4210">
        <w:rPr>
          <w:lang w:val="en-US"/>
        </w:rPr>
        <w:t>recognized</w:t>
      </w:r>
      <w:r w:rsidRPr="000B4210">
        <w:rPr>
          <w:lang w:val="en-US"/>
        </w:rPr>
        <w:t xml:space="preserve"> in the surplus or deficit in the statement of comprehensive revenue and expense. The reversal of an impairment loss is also </w:t>
      </w:r>
      <w:r w:rsidR="0057235E" w:rsidRPr="000B4210">
        <w:rPr>
          <w:lang w:val="en-US"/>
        </w:rPr>
        <w:t>recognized</w:t>
      </w:r>
      <w:r w:rsidRPr="000B4210">
        <w:rPr>
          <w:lang w:val="en-US"/>
        </w:rPr>
        <w:t xml:space="preserve"> in the surplus or deficit in the statement of comprehensive revenue and expense.</w:t>
      </w:r>
    </w:p>
    <w:p w:rsidR="00346271" w:rsidRPr="000B4210" w:rsidRDefault="00346271" w:rsidP="0057235E">
      <w:pPr>
        <w:jc w:val="both"/>
        <w:rPr>
          <w:lang w:val="en-US"/>
        </w:rPr>
      </w:pPr>
      <w:r w:rsidRPr="000B4210">
        <w:rPr>
          <w:lang w:val="en-US"/>
        </w:rPr>
        <w:t xml:space="preserve">Intangible assets that have an indefinite useful life are not subject to </w:t>
      </w:r>
      <w:r w:rsidR="0057235E" w:rsidRPr="000B4210">
        <w:rPr>
          <w:lang w:val="en-US"/>
        </w:rPr>
        <w:t>amortization</w:t>
      </w:r>
      <w:r w:rsidRPr="000B4210">
        <w:rPr>
          <w:lang w:val="en-US"/>
        </w:rPr>
        <w:t xml:space="preserve"> and are tested annually for impairment. An intangible asset that is not yet available for use at the balance sheet date is tested for impairment annually.</w:t>
      </w:r>
    </w:p>
    <w:p w:rsidR="00346271" w:rsidRPr="000B4210" w:rsidRDefault="00346271" w:rsidP="0057235E">
      <w:pPr>
        <w:pStyle w:val="Heading3"/>
        <w:jc w:val="both"/>
        <w:rPr>
          <w:lang w:val="en-US"/>
        </w:rPr>
      </w:pPr>
      <w:bookmarkStart w:id="37" w:name="_Toc390680464"/>
      <w:r w:rsidRPr="000B4210">
        <w:rPr>
          <w:lang w:val="en-US"/>
        </w:rPr>
        <w:t>Payables</w:t>
      </w:r>
      <w:bookmarkEnd w:id="37"/>
    </w:p>
    <w:p w:rsidR="00346271" w:rsidRPr="000B4210" w:rsidRDefault="00346271" w:rsidP="0057235E">
      <w:pPr>
        <w:jc w:val="both"/>
        <w:rPr>
          <w:lang w:val="en-US"/>
        </w:rPr>
      </w:pPr>
      <w:r w:rsidRPr="000B4210">
        <w:rPr>
          <w:lang w:val="en-US"/>
        </w:rPr>
        <w:t>Short-term payables are recorded at their face value.</w:t>
      </w:r>
    </w:p>
    <w:p w:rsidR="00346271" w:rsidRPr="006F26FF" w:rsidRDefault="00346271" w:rsidP="0057235E">
      <w:pPr>
        <w:pStyle w:val="Heading3"/>
        <w:jc w:val="both"/>
        <w:rPr>
          <w:sz w:val="28"/>
          <w:szCs w:val="28"/>
          <w:lang w:val="en-US"/>
        </w:rPr>
      </w:pPr>
      <w:bookmarkStart w:id="38" w:name="_Toc390680466"/>
      <w:r w:rsidRPr="006F26FF">
        <w:rPr>
          <w:sz w:val="28"/>
          <w:szCs w:val="28"/>
          <w:lang w:val="en-US"/>
        </w:rPr>
        <w:t>Employee entitlements</w:t>
      </w:r>
      <w:bookmarkEnd w:id="38"/>
    </w:p>
    <w:p w:rsidR="00346271" w:rsidRPr="000B4210" w:rsidRDefault="00346271" w:rsidP="0057235E">
      <w:pPr>
        <w:pStyle w:val="Heading3"/>
        <w:jc w:val="both"/>
        <w:rPr>
          <w:lang w:val="en-US"/>
        </w:rPr>
      </w:pPr>
      <w:bookmarkStart w:id="39" w:name="_Toc390680467"/>
      <w:r w:rsidRPr="000B4210">
        <w:rPr>
          <w:lang w:val="en-US"/>
        </w:rPr>
        <w:t>Short-term employee entitlements</w:t>
      </w:r>
      <w:bookmarkEnd w:id="39"/>
    </w:p>
    <w:p w:rsidR="00346271" w:rsidRPr="000B4210" w:rsidRDefault="00346271" w:rsidP="0057235E">
      <w:pPr>
        <w:jc w:val="both"/>
        <w:rPr>
          <w:lang w:val="en-US"/>
        </w:rPr>
      </w:pPr>
      <w:r w:rsidRPr="000B4210">
        <w:rPr>
          <w:lang w:val="en-US"/>
        </w:rPr>
        <w:t>Employee benefits that are due to be settled within 12 months after the end of the period in which the employee renders the related service are measured based on accrued entitlements at current rates of pay. These include salaries and wages accrued up to balance date and annual leave earned but not yet taken at balance date.</w:t>
      </w:r>
    </w:p>
    <w:p w:rsidR="00346271" w:rsidRPr="000B4210" w:rsidRDefault="00346271" w:rsidP="0057235E">
      <w:pPr>
        <w:jc w:val="both"/>
        <w:rPr>
          <w:lang w:val="en-US"/>
        </w:rPr>
      </w:pPr>
      <w:r w:rsidRPr="000B4210">
        <w:rPr>
          <w:lang w:val="en-US"/>
        </w:rPr>
        <w:t xml:space="preserve">A liability and an expense are </w:t>
      </w:r>
      <w:r w:rsidR="0057235E" w:rsidRPr="000B4210">
        <w:rPr>
          <w:lang w:val="en-US"/>
        </w:rPr>
        <w:t>recognized</w:t>
      </w:r>
      <w:r w:rsidRPr="000B4210">
        <w:rPr>
          <w:lang w:val="en-US"/>
        </w:rPr>
        <w:t xml:space="preserve"> for bonuses where there is a contractual obligation or where there is a past practice that has created a constructive obligation and a reliable estimate of the obligation can be made.</w:t>
      </w:r>
    </w:p>
    <w:p w:rsidR="00346271" w:rsidRPr="000B4210" w:rsidRDefault="00346271" w:rsidP="0057235E">
      <w:pPr>
        <w:jc w:val="both"/>
        <w:rPr>
          <w:lang w:val="en-US"/>
        </w:rPr>
      </w:pPr>
      <w:r w:rsidRPr="000B4210">
        <w:rPr>
          <w:lang w:val="en-US"/>
        </w:rPr>
        <w:lastRenderedPageBreak/>
        <w:t xml:space="preserve">Permanent employees are entitled to actual and reasonable sick leave to recover from genuine illness but entitlements do not accumulate and are </w:t>
      </w:r>
      <w:r w:rsidR="0057235E" w:rsidRPr="000B4210">
        <w:rPr>
          <w:lang w:val="en-US"/>
        </w:rPr>
        <w:t>recognized</w:t>
      </w:r>
      <w:r w:rsidRPr="000B4210">
        <w:rPr>
          <w:lang w:val="en-US"/>
        </w:rPr>
        <w:t xml:space="preserve"> as an expense when the absence occurs.</w:t>
      </w:r>
    </w:p>
    <w:p w:rsidR="00346271" w:rsidRPr="000B4210" w:rsidRDefault="00346271" w:rsidP="0057235E">
      <w:pPr>
        <w:pStyle w:val="Heading3"/>
        <w:jc w:val="both"/>
        <w:rPr>
          <w:lang w:val="en-US"/>
        </w:rPr>
      </w:pPr>
      <w:bookmarkStart w:id="40" w:name="_Toc390680468"/>
      <w:r w:rsidRPr="000B4210">
        <w:rPr>
          <w:lang w:val="en-US"/>
        </w:rPr>
        <w:t>Long-term employee entitlements</w:t>
      </w:r>
      <w:bookmarkEnd w:id="40"/>
    </w:p>
    <w:p w:rsidR="00346271" w:rsidRPr="000B4210" w:rsidRDefault="00346271" w:rsidP="0057235E">
      <w:pPr>
        <w:jc w:val="both"/>
        <w:rPr>
          <w:lang w:val="en-US"/>
        </w:rPr>
      </w:pPr>
      <w:r w:rsidRPr="000B4210">
        <w:rPr>
          <w:lang w:val="en-US"/>
        </w:rPr>
        <w:t>Employee benefits that are due to be settled beyond 12 months after the end of the period in which the employee renders the related service, such as long service leave and retirement leave, have been calculated on an actuarial basis. The calculations are based on:</w:t>
      </w:r>
    </w:p>
    <w:p w:rsidR="00346271" w:rsidRPr="000B4210" w:rsidRDefault="00346271" w:rsidP="0057235E">
      <w:pPr>
        <w:pStyle w:val="ListParagraph"/>
        <w:numPr>
          <w:ilvl w:val="0"/>
          <w:numId w:val="12"/>
        </w:numPr>
        <w:ind w:hanging="720"/>
        <w:jc w:val="both"/>
        <w:rPr>
          <w:lang w:val="en-US"/>
        </w:rPr>
      </w:pPr>
      <w:r w:rsidRPr="000B4210">
        <w:rPr>
          <w:lang w:val="en-US"/>
        </w:rPr>
        <w:t xml:space="preserve">likely future entitlements accruing to staff, based on years of service, years to entitlement, the likelihood that staff will reach the point of entitlement and contractual entitlements information and </w:t>
      </w:r>
    </w:p>
    <w:p w:rsidR="00346271" w:rsidRPr="000B4210" w:rsidRDefault="00346271" w:rsidP="0057235E">
      <w:pPr>
        <w:pStyle w:val="ListParagraph"/>
        <w:numPr>
          <w:ilvl w:val="0"/>
          <w:numId w:val="12"/>
        </w:numPr>
        <w:ind w:hanging="720"/>
        <w:jc w:val="both"/>
        <w:rPr>
          <w:lang w:val="en-US"/>
        </w:rPr>
      </w:pPr>
      <w:r w:rsidRPr="000B4210">
        <w:rPr>
          <w:lang w:val="en-US"/>
        </w:rPr>
        <w:t>the present value of the estimated future cash flows.</w:t>
      </w:r>
    </w:p>
    <w:p w:rsidR="00346271" w:rsidRPr="000B4210" w:rsidRDefault="00346271" w:rsidP="0057235E">
      <w:pPr>
        <w:pStyle w:val="Heading3"/>
        <w:jc w:val="both"/>
        <w:rPr>
          <w:lang w:val="en-US"/>
        </w:rPr>
      </w:pPr>
      <w:bookmarkStart w:id="41" w:name="_Toc390680469"/>
      <w:r w:rsidRPr="000B4210">
        <w:rPr>
          <w:lang w:val="en-US"/>
        </w:rPr>
        <w:t>Presentation of employee entitlements</w:t>
      </w:r>
      <w:bookmarkEnd w:id="41"/>
    </w:p>
    <w:p w:rsidR="00346271" w:rsidRPr="000B4210" w:rsidRDefault="00346271" w:rsidP="0057235E">
      <w:pPr>
        <w:jc w:val="both"/>
        <w:rPr>
          <w:lang w:val="en-US"/>
        </w:rPr>
      </w:pPr>
      <w:r w:rsidRPr="000B4210">
        <w:rPr>
          <w:lang w:val="en-US"/>
        </w:rPr>
        <w:t>Accrued salaries and wages, bonuses, annual leave and vested long service leave are classified as a current liability. Non-vested long service leave and retirement leave expected to be settled within 12 months of balance date are classified as a current liability. All other employee entitlements are classified as a non-current liability.</w:t>
      </w:r>
    </w:p>
    <w:p w:rsidR="00346271" w:rsidRPr="006F26FF" w:rsidRDefault="00346271" w:rsidP="0057235E">
      <w:pPr>
        <w:pStyle w:val="Heading3"/>
        <w:jc w:val="both"/>
        <w:rPr>
          <w:sz w:val="28"/>
          <w:szCs w:val="28"/>
          <w:lang w:val="en-US"/>
        </w:rPr>
      </w:pPr>
      <w:bookmarkStart w:id="42" w:name="_Toc390680470"/>
      <w:r w:rsidRPr="006F26FF">
        <w:rPr>
          <w:sz w:val="28"/>
          <w:szCs w:val="28"/>
          <w:lang w:val="en-US"/>
        </w:rPr>
        <w:t>Superannuation sc</w:t>
      </w:r>
      <w:r w:rsidRPr="006F26FF">
        <w:rPr>
          <w:bCs w:val="0"/>
          <w:sz w:val="28"/>
          <w:szCs w:val="28"/>
          <w:lang w:val="en-US"/>
        </w:rPr>
        <w:t>hemes</w:t>
      </w:r>
      <w:bookmarkEnd w:id="42"/>
    </w:p>
    <w:p w:rsidR="00346271" w:rsidRPr="000B4210" w:rsidRDefault="00346271" w:rsidP="0057235E">
      <w:pPr>
        <w:pStyle w:val="Heading3"/>
        <w:jc w:val="both"/>
        <w:rPr>
          <w:lang w:val="en-US"/>
        </w:rPr>
      </w:pPr>
      <w:bookmarkStart w:id="43" w:name="_Toc390680471"/>
      <w:r w:rsidRPr="000B4210">
        <w:rPr>
          <w:lang w:val="en-US"/>
        </w:rPr>
        <w:t>Defined contribution schemes</w:t>
      </w:r>
      <w:bookmarkEnd w:id="43"/>
    </w:p>
    <w:p w:rsidR="00346271" w:rsidRPr="000B4210" w:rsidRDefault="00346271" w:rsidP="0057235E">
      <w:pPr>
        <w:jc w:val="both"/>
        <w:rPr>
          <w:lang w:val="en-US"/>
        </w:rPr>
      </w:pPr>
      <w:r w:rsidRPr="000B4210">
        <w:rPr>
          <w:lang w:val="en-US"/>
        </w:rPr>
        <w:t xml:space="preserve">Obligations for contributions to KiwiSaver are accounted for as defined contribution schemes and are </w:t>
      </w:r>
      <w:r w:rsidR="0057235E" w:rsidRPr="000B4210">
        <w:rPr>
          <w:lang w:val="en-US"/>
        </w:rPr>
        <w:t>recognized</w:t>
      </w:r>
      <w:r w:rsidRPr="000B4210">
        <w:rPr>
          <w:lang w:val="en-US"/>
        </w:rPr>
        <w:t xml:space="preserve"> as an expense in the surplus or deficit in the statement of comprehensive revenue and expense as incurred.</w:t>
      </w:r>
    </w:p>
    <w:p w:rsidR="00346271" w:rsidRPr="000B4210" w:rsidRDefault="00346271" w:rsidP="0057235E">
      <w:pPr>
        <w:pStyle w:val="Heading3"/>
        <w:jc w:val="both"/>
        <w:rPr>
          <w:lang w:val="en-US"/>
        </w:rPr>
      </w:pPr>
      <w:bookmarkStart w:id="44" w:name="_Toc390680472"/>
      <w:r w:rsidRPr="000B4210">
        <w:rPr>
          <w:lang w:val="en-US"/>
        </w:rPr>
        <w:t>Defined benefit schemes</w:t>
      </w:r>
      <w:bookmarkEnd w:id="44"/>
    </w:p>
    <w:p w:rsidR="00346271" w:rsidRPr="000B4210" w:rsidRDefault="00346271" w:rsidP="0057235E">
      <w:pPr>
        <w:jc w:val="both"/>
        <w:rPr>
          <w:lang w:val="en-US"/>
        </w:rPr>
      </w:pPr>
      <w:r w:rsidRPr="000B4210">
        <w:rPr>
          <w:lang w:val="en-US"/>
        </w:rPr>
        <w:t>The Commission does not make contributions to defined benefit schemes.</w:t>
      </w:r>
    </w:p>
    <w:p w:rsidR="00346271" w:rsidRPr="000B4210" w:rsidRDefault="00346271" w:rsidP="0057235E">
      <w:pPr>
        <w:pStyle w:val="Heading3"/>
        <w:jc w:val="both"/>
      </w:pPr>
      <w:bookmarkStart w:id="45" w:name="_Toc390680474"/>
      <w:r w:rsidRPr="000B4210">
        <w:t>Commitments</w:t>
      </w:r>
      <w:bookmarkEnd w:id="45"/>
    </w:p>
    <w:p w:rsidR="00346271" w:rsidRPr="000B4210" w:rsidRDefault="00346271" w:rsidP="0057235E">
      <w:pPr>
        <w:jc w:val="both"/>
      </w:pPr>
      <w:r w:rsidRPr="000B4210">
        <w:t>Expenses yet to be incurred on non-cancellable contracts that have been entered into on or before balance date are disclosed as commitments to the extent that there are equally unperformed obligations.</w:t>
      </w:r>
    </w:p>
    <w:p w:rsidR="00346271" w:rsidRPr="000B4210" w:rsidRDefault="00346271" w:rsidP="0057235E">
      <w:pPr>
        <w:jc w:val="both"/>
      </w:pPr>
      <w:r w:rsidRPr="000B4210">
        <w:lastRenderedPageBreak/>
        <w:t>Cancellable commitments that have penalty or exit costs explicit in the agreement on exercising that option to cancel are disclosed at the value of that penalty or exit cost.</w:t>
      </w:r>
    </w:p>
    <w:p w:rsidR="00346271" w:rsidRPr="000B4210" w:rsidRDefault="00346271" w:rsidP="0057235E">
      <w:pPr>
        <w:pStyle w:val="Heading3"/>
        <w:jc w:val="both"/>
      </w:pPr>
      <w:bookmarkStart w:id="46" w:name="_Toc390680475"/>
      <w:r w:rsidRPr="000B4210">
        <w:t>Accumulated funds</w:t>
      </w:r>
      <w:bookmarkEnd w:id="46"/>
    </w:p>
    <w:p w:rsidR="00346271" w:rsidRPr="000B4210" w:rsidRDefault="00346271" w:rsidP="0057235E">
      <w:pPr>
        <w:jc w:val="both"/>
      </w:pPr>
      <w:r w:rsidRPr="000B4210">
        <w:t>Accumulated funds are the net surpluses and deficits that have accumulated over time and represent the Crown’s investment in the Commission. Accumulated funds are measured as the difference between total assets and total liabilities.</w:t>
      </w:r>
    </w:p>
    <w:p w:rsidR="00346271" w:rsidRPr="000B4210" w:rsidRDefault="00346271" w:rsidP="0057235E">
      <w:pPr>
        <w:pStyle w:val="Heading3"/>
        <w:jc w:val="both"/>
      </w:pPr>
      <w:bookmarkStart w:id="47" w:name="_Toc390680476"/>
      <w:r w:rsidRPr="000B4210">
        <w:t>Goods and services tax (GST)</w:t>
      </w:r>
      <w:bookmarkEnd w:id="47"/>
    </w:p>
    <w:p w:rsidR="00346271" w:rsidRPr="000B4210" w:rsidRDefault="00346271" w:rsidP="0057235E">
      <w:pPr>
        <w:jc w:val="both"/>
        <w:rPr>
          <w:lang w:val="en-US"/>
        </w:rPr>
      </w:pPr>
      <w:r w:rsidRPr="000B4210">
        <w:rPr>
          <w:lang w:val="en-US"/>
        </w:rPr>
        <w:t xml:space="preserve">All items in the forecast financial statements are stated exclusive of GST, except for receivables and payables, which are stated on a GST inclusive basis. Where GST is not recoverable as input tax it is </w:t>
      </w:r>
      <w:r w:rsidR="0057235E" w:rsidRPr="000B4210">
        <w:rPr>
          <w:lang w:val="en-US"/>
        </w:rPr>
        <w:t>recognized</w:t>
      </w:r>
      <w:r w:rsidRPr="000B4210">
        <w:rPr>
          <w:lang w:val="en-US"/>
        </w:rPr>
        <w:t xml:space="preserve"> as part of the related asset or expense.</w:t>
      </w:r>
    </w:p>
    <w:p w:rsidR="00346271" w:rsidRPr="000B4210" w:rsidRDefault="00346271" w:rsidP="0057235E">
      <w:pPr>
        <w:jc w:val="both"/>
        <w:rPr>
          <w:lang w:val="en-US"/>
        </w:rPr>
      </w:pPr>
      <w:r w:rsidRPr="000B4210">
        <w:rPr>
          <w:lang w:val="en-US"/>
        </w:rPr>
        <w:t>The net amount of GST recoverable from, or payable to, the Inland Revenue Department (IRD) is presented in the statement of financial position.</w:t>
      </w:r>
    </w:p>
    <w:p w:rsidR="00346271" w:rsidRPr="000B4210" w:rsidRDefault="00346271" w:rsidP="0057235E">
      <w:pPr>
        <w:jc w:val="both"/>
        <w:rPr>
          <w:lang w:val="en-US"/>
        </w:rPr>
      </w:pPr>
      <w:r w:rsidRPr="000B4210">
        <w:rPr>
          <w:lang w:val="en-US"/>
        </w:rPr>
        <w:t>The net GST paid to, or received from the IRD, including the GST relating to investing and financing activities, is classified as an operating cash flow in the statement of cash flows.</w:t>
      </w:r>
    </w:p>
    <w:p w:rsidR="00346271" w:rsidRPr="000B4210" w:rsidRDefault="00346271" w:rsidP="0057235E">
      <w:pPr>
        <w:jc w:val="both"/>
        <w:rPr>
          <w:lang w:val="en-US"/>
        </w:rPr>
      </w:pPr>
      <w:bookmarkStart w:id="48" w:name="_Toc390680477"/>
      <w:r w:rsidRPr="000B4210">
        <w:rPr>
          <w:lang w:val="en-US"/>
        </w:rPr>
        <w:t>Commitments and contingencies are disclosed exclusive of GST.</w:t>
      </w:r>
      <w:bookmarkEnd w:id="48"/>
    </w:p>
    <w:p w:rsidR="00346271" w:rsidRPr="000B4210" w:rsidRDefault="00346271" w:rsidP="0057235E">
      <w:pPr>
        <w:pStyle w:val="Heading3"/>
        <w:jc w:val="both"/>
        <w:rPr>
          <w:lang w:val="en-US"/>
        </w:rPr>
      </w:pPr>
      <w:bookmarkStart w:id="49" w:name="_Toc390680478"/>
      <w:r w:rsidRPr="000B4210">
        <w:rPr>
          <w:lang w:val="en-US"/>
        </w:rPr>
        <w:t>Income tax</w:t>
      </w:r>
      <w:bookmarkEnd w:id="49"/>
    </w:p>
    <w:p w:rsidR="00346271" w:rsidRPr="000B4210" w:rsidRDefault="00346271" w:rsidP="0057235E">
      <w:pPr>
        <w:jc w:val="both"/>
        <w:rPr>
          <w:lang w:val="en-US"/>
        </w:rPr>
      </w:pPr>
      <w:r w:rsidRPr="000B4210">
        <w:rPr>
          <w:rFonts w:cs="Arial"/>
        </w:rPr>
        <w:t>The Commission is a public authority and consequently is exempt from the payment of income tax.</w:t>
      </w:r>
      <w:r w:rsidRPr="000B4210">
        <w:rPr>
          <w:lang w:val="en-US"/>
        </w:rPr>
        <w:t xml:space="preserve"> Accordingly, no provision has been made for income tax.</w:t>
      </w:r>
    </w:p>
    <w:p w:rsidR="00346271" w:rsidRPr="000B4210" w:rsidRDefault="00346271" w:rsidP="0057235E">
      <w:pPr>
        <w:pStyle w:val="Heading3"/>
        <w:jc w:val="both"/>
        <w:rPr>
          <w:lang w:val="en-US"/>
        </w:rPr>
      </w:pPr>
      <w:bookmarkStart w:id="50" w:name="_Toc390680480"/>
      <w:r w:rsidRPr="000B4210">
        <w:rPr>
          <w:lang w:val="en-US"/>
        </w:rPr>
        <w:t>Critical accounting estimates and assumptions</w:t>
      </w:r>
      <w:bookmarkEnd w:id="50"/>
    </w:p>
    <w:p w:rsidR="00346271" w:rsidRPr="000B4210" w:rsidRDefault="00346271" w:rsidP="0057235E">
      <w:pPr>
        <w:jc w:val="both"/>
        <w:rPr>
          <w:lang w:val="en-US"/>
        </w:rPr>
      </w:pPr>
      <w:r w:rsidRPr="000B4210">
        <w:rPr>
          <w:lang w:val="en-US"/>
        </w:rPr>
        <w:t>In preparing these forecast financial statements the Commission has made estimates and assumptions concerning the future. These estimates and assumptions may differ from the subsequent actual results. Estimates and assumptions are continually evaluated and are based on historical experience and other factors, including expectations of future events that are believed to be reasonable under the circumstances. The estimates and assumptions that have a significant risk of causing material adjustment to the carrying amount of assets and liabilities within the forecast financial statements are discussed below:</w:t>
      </w:r>
    </w:p>
    <w:p w:rsidR="00346271" w:rsidRPr="000B4210" w:rsidRDefault="00346271" w:rsidP="0057235E">
      <w:pPr>
        <w:pStyle w:val="Heading3"/>
        <w:jc w:val="both"/>
        <w:rPr>
          <w:lang w:val="en-US"/>
        </w:rPr>
      </w:pPr>
      <w:r w:rsidRPr="000B4210">
        <w:rPr>
          <w:lang w:val="en-US"/>
        </w:rPr>
        <w:lastRenderedPageBreak/>
        <w:t>Estimating useful lives and residual values of property, plant and equipment and intangible assets</w:t>
      </w:r>
    </w:p>
    <w:p w:rsidR="00346271" w:rsidRPr="000B4210" w:rsidRDefault="00346271" w:rsidP="0057235E">
      <w:pPr>
        <w:jc w:val="both"/>
        <w:rPr>
          <w:lang w:val="en-US"/>
        </w:rPr>
      </w:pPr>
      <w:r w:rsidRPr="000B4210">
        <w:rPr>
          <w:lang w:val="en-US"/>
        </w:rPr>
        <w:t xml:space="preserve">At each balance date, the useful lives and residual values of property, plant, and equipment and intangible assets are reviewed. Assessing the appropriateness of useful life and residual value estimates of property, plant and equipment and intangible assets requires a number of factors to be considered such as the physical condition of the asset, expected period of use of the asset by the Commission, and expected disposal proceeds from the future sale of the asset. An incorrect estimate of the useful life or residual value will affect the depreciation or </w:t>
      </w:r>
      <w:r w:rsidR="0057235E" w:rsidRPr="000B4210">
        <w:rPr>
          <w:lang w:val="en-US"/>
        </w:rPr>
        <w:t>amortization</w:t>
      </w:r>
      <w:r w:rsidRPr="000B4210">
        <w:rPr>
          <w:lang w:val="en-US"/>
        </w:rPr>
        <w:t xml:space="preserve"> expense </w:t>
      </w:r>
      <w:r w:rsidR="0057235E" w:rsidRPr="000B4210">
        <w:rPr>
          <w:lang w:val="en-US"/>
        </w:rPr>
        <w:t>recognized</w:t>
      </w:r>
      <w:r w:rsidRPr="000B4210">
        <w:rPr>
          <w:lang w:val="en-US"/>
        </w:rPr>
        <w:t xml:space="preserve"> in the surplus or deficit in the statement of comprehensive revenue and expense, and the carrying amount of the asset in the statement of financial position.</w:t>
      </w:r>
    </w:p>
    <w:p w:rsidR="00346271" w:rsidRPr="000B4210" w:rsidRDefault="00346271" w:rsidP="0057235E">
      <w:pPr>
        <w:pStyle w:val="Heading3"/>
        <w:jc w:val="both"/>
      </w:pPr>
      <w:r w:rsidRPr="000B4210">
        <w:t>Critical judgements in applying accounting policies</w:t>
      </w:r>
    </w:p>
    <w:p w:rsidR="00346271" w:rsidRPr="000B4210" w:rsidRDefault="00346271" w:rsidP="0057235E">
      <w:pPr>
        <w:pStyle w:val="Heading3"/>
        <w:jc w:val="both"/>
      </w:pPr>
      <w:r w:rsidRPr="000B4210">
        <w:t>Computer software</w:t>
      </w:r>
    </w:p>
    <w:p w:rsidR="00346271" w:rsidRPr="000B4210" w:rsidRDefault="00346271" w:rsidP="0057235E">
      <w:pPr>
        <w:autoSpaceDE w:val="0"/>
        <w:autoSpaceDN w:val="0"/>
        <w:adjustRightInd w:val="0"/>
        <w:jc w:val="both"/>
        <w:rPr>
          <w:lang w:val="en-AU"/>
        </w:rPr>
      </w:pPr>
      <w:r w:rsidRPr="000B4210">
        <w:rPr>
          <w:lang w:val="en-US"/>
        </w:rPr>
        <w:t>The Commission must exercise judgement to determine whether expenditure on developing and configuring computer software meets the criteria for recognition as an intangible asset. This includes an assessment of whether the expenditure creates an item that can be identified and separated from the Commission, is under the control of the Commission, and will provide future economic benefits or service potential. This judgement will be based on the facts and circumstances of the expenditure.</w:t>
      </w:r>
    </w:p>
    <w:p w:rsidR="00346271" w:rsidRPr="000B4210" w:rsidRDefault="00346271" w:rsidP="0057235E">
      <w:pPr>
        <w:pStyle w:val="Heading3"/>
        <w:jc w:val="both"/>
      </w:pPr>
      <w:r w:rsidRPr="000B4210">
        <w:t>Grants received</w:t>
      </w:r>
    </w:p>
    <w:p w:rsidR="00346271" w:rsidRPr="000B4210" w:rsidRDefault="00346271" w:rsidP="0057235E">
      <w:pPr>
        <w:autoSpaceDE w:val="0"/>
        <w:autoSpaceDN w:val="0"/>
        <w:adjustRightInd w:val="0"/>
        <w:jc w:val="both"/>
        <w:rPr>
          <w:lang w:val="en-AU"/>
        </w:rPr>
      </w:pPr>
      <w:r w:rsidRPr="000B4210">
        <w:rPr>
          <w:lang w:val="en-US"/>
        </w:rPr>
        <w:t xml:space="preserve">The Commission must exercise judgement when </w:t>
      </w:r>
      <w:r w:rsidR="0057235E" w:rsidRPr="000B4210">
        <w:rPr>
          <w:lang w:val="en-US"/>
        </w:rPr>
        <w:t>recognizing</w:t>
      </w:r>
      <w:r w:rsidRPr="000B4210">
        <w:rPr>
          <w:lang w:val="en-US"/>
        </w:rPr>
        <w:t xml:space="preserve"> grant revenue to determine if conditions of the grant contract have been satisfied. This judgement will be based on the facts and circumstances that are evident for each grant contract.</w:t>
      </w:r>
    </w:p>
    <w:p w:rsidR="00346271" w:rsidRPr="000B4210" w:rsidRDefault="00346271" w:rsidP="0057235E">
      <w:pPr>
        <w:pStyle w:val="Heading3"/>
        <w:jc w:val="both"/>
      </w:pPr>
      <w:bookmarkStart w:id="51" w:name="_Toc390680482"/>
      <w:r w:rsidRPr="000B4210">
        <w:t>Comparatives</w:t>
      </w:r>
      <w:bookmarkEnd w:id="51"/>
      <w:r w:rsidRPr="000B4210">
        <w:t xml:space="preserve"> </w:t>
      </w:r>
    </w:p>
    <w:p w:rsidR="00346271" w:rsidRPr="00AF68EB" w:rsidRDefault="00346271" w:rsidP="0057235E">
      <w:pPr>
        <w:jc w:val="both"/>
        <w:rPr>
          <w:lang w:val="en-NZ"/>
        </w:rPr>
      </w:pPr>
      <w:r w:rsidRPr="000B4210">
        <w:t>When presentation or classification of items in</w:t>
      </w:r>
      <w:r w:rsidRPr="000B4210">
        <w:rPr>
          <w:b/>
          <w:bCs/>
        </w:rPr>
        <w:t xml:space="preserve"> </w:t>
      </w:r>
      <w:r w:rsidRPr="000B4210">
        <w:t>the financial statements is amended or accounting</w:t>
      </w:r>
      <w:r w:rsidRPr="000B4210">
        <w:rPr>
          <w:b/>
          <w:bCs/>
        </w:rPr>
        <w:t xml:space="preserve"> </w:t>
      </w:r>
      <w:r w:rsidRPr="000B4210">
        <w:t>policies are changed voluntarily, comparative figures</w:t>
      </w:r>
      <w:r w:rsidRPr="000B4210">
        <w:rPr>
          <w:b/>
          <w:bCs/>
        </w:rPr>
        <w:t xml:space="preserve"> </w:t>
      </w:r>
      <w:r w:rsidRPr="000B4210">
        <w:t>are restated to ensure consistency with the current</w:t>
      </w:r>
      <w:r w:rsidRPr="000B4210">
        <w:rPr>
          <w:b/>
          <w:bCs/>
        </w:rPr>
        <w:t xml:space="preserve"> </w:t>
      </w:r>
      <w:r w:rsidRPr="000B4210">
        <w:t>period unless it is impracticable to do so.</w:t>
      </w:r>
    </w:p>
    <w:p w:rsidR="001602FB" w:rsidRDefault="001602FB" w:rsidP="0057235E">
      <w:pPr>
        <w:spacing w:after="200" w:line="276" w:lineRule="auto"/>
        <w:jc w:val="both"/>
        <w:rPr>
          <w:rFonts w:cs="Arial"/>
          <w:b/>
          <w:lang w:val="en-NZ"/>
        </w:rPr>
      </w:pPr>
    </w:p>
    <w:sectPr w:rsidR="001602FB" w:rsidSect="00C0609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CB3" w:rsidRDefault="00473CB3" w:rsidP="00055A8C">
      <w:r>
        <w:separator/>
      </w:r>
    </w:p>
  </w:endnote>
  <w:endnote w:type="continuationSeparator" w:id="0">
    <w:p w:rsidR="00473CB3" w:rsidRDefault="00473CB3" w:rsidP="0005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roman"/>
    <w:notTrueType/>
    <w:pitch w:val="default"/>
  </w:font>
  <w:font w:name="CorisMacron Light">
    <w:altName w:val="Arial"/>
    <w:panose1 w:val="00000000000000000000"/>
    <w:charset w:val="00"/>
    <w:family w:val="modern"/>
    <w:notTrueType/>
    <w:pitch w:val="variable"/>
    <w:sig w:usb0="800000AF" w:usb1="40000048" w:usb2="00000000" w:usb3="00000000" w:csb0="00000111" w:csb1="00000000"/>
  </w:font>
  <w:font w:name="Corisande">
    <w:altName w:val="Cambria"/>
    <w:panose1 w:val="00000000000000000000"/>
    <w:charset w:val="00"/>
    <w:family w:val="auto"/>
    <w:notTrueType/>
    <w:pitch w:val="default"/>
    <w:sig w:usb0="00000003" w:usb1="00000000" w:usb2="00000000" w:usb3="00000000" w:csb0="00000001" w:csb1="00000000"/>
  </w:font>
  <w:font w:name="BEWYV T+ Humanist Slabserif 712">
    <w:altName w:val="Humanist Slabserif"/>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CenMT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074144"/>
      <w:docPartObj>
        <w:docPartGallery w:val="Page Numbers (Bottom of Page)"/>
        <w:docPartUnique/>
      </w:docPartObj>
    </w:sdtPr>
    <w:sdtEndPr>
      <w:rPr>
        <w:noProof/>
      </w:rPr>
    </w:sdtEndPr>
    <w:sdtContent>
      <w:p w:rsidR="00B63AD4" w:rsidRDefault="00B63AD4">
        <w:pPr>
          <w:pStyle w:val="Footer"/>
          <w:jc w:val="right"/>
        </w:pPr>
        <w:r>
          <w:fldChar w:fldCharType="begin"/>
        </w:r>
        <w:r>
          <w:instrText xml:space="preserve"> PAGE   \* MERGEFORMAT </w:instrText>
        </w:r>
        <w:r>
          <w:fldChar w:fldCharType="separate"/>
        </w:r>
        <w:r w:rsidR="00251007">
          <w:rPr>
            <w:noProof/>
          </w:rPr>
          <w:t>2</w:t>
        </w:r>
        <w:r>
          <w:fldChar w:fldCharType="end"/>
        </w:r>
      </w:p>
    </w:sdtContent>
  </w:sdt>
  <w:p w:rsidR="00B63AD4" w:rsidRDefault="00B6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CB3" w:rsidRDefault="00473CB3" w:rsidP="00055A8C">
      <w:r>
        <w:separator/>
      </w:r>
    </w:p>
  </w:footnote>
  <w:footnote w:type="continuationSeparator" w:id="0">
    <w:p w:rsidR="00473CB3" w:rsidRDefault="00473CB3" w:rsidP="00055A8C">
      <w:r>
        <w:continuationSeparator/>
      </w:r>
    </w:p>
  </w:footnote>
  <w:footnote w:id="1">
    <w:p w:rsidR="00B63AD4" w:rsidRPr="005C52DB" w:rsidRDefault="00B63AD4" w:rsidP="00B933E3">
      <w:pPr>
        <w:pStyle w:val="FootnoteText"/>
        <w:spacing w:line="240" w:lineRule="auto"/>
        <w:jc w:val="both"/>
        <w:rPr>
          <w:lang w:val="en-US"/>
        </w:rPr>
      </w:pPr>
      <w:r>
        <w:rPr>
          <w:rStyle w:val="FootnoteReference"/>
        </w:rPr>
        <w:footnoteRef/>
      </w:r>
      <w:r>
        <w:t xml:space="preserve"> </w:t>
      </w:r>
      <w:r w:rsidRPr="00E56B6C">
        <w:t>The Paris Principles were defined at the first International Workshop on National Institutions for the Promotion and Protection of Human Rights held in Paris in October 1991. They were adopted by the United Nations Human Rights Commission by Resolution 1992/54 of 1992, and by the UN General Assembly in its Resolution 48/134 of 1993. The Paris Principles relate to the status and functioning of national institutions for the protection and promotion of human rights. It includes a comprehensive series of recommendations on the role, composition, status and functions of national human rights institutions (NHRIs)</w:t>
      </w:r>
    </w:p>
  </w:footnote>
  <w:footnote w:id="2">
    <w:p w:rsidR="00B63AD4" w:rsidRPr="00E56B6C" w:rsidRDefault="00B63AD4">
      <w:pPr>
        <w:pStyle w:val="FootnoteText"/>
        <w:rPr>
          <w:lang w:val="en-US"/>
        </w:rPr>
      </w:pPr>
      <w:r>
        <w:rPr>
          <w:rStyle w:val="FootnoteReference"/>
        </w:rPr>
        <w:footnoteRef/>
      </w:r>
      <w:r>
        <w:t xml:space="preserve"> </w:t>
      </w:r>
      <w:r w:rsidRPr="00E56B6C">
        <w:t>The United Nations Guiding Principles on Business and Human Rights (UNGPs) are a global standard for preventing and addressing the risk of adverse impacts on human rights linked to business activity.</w:t>
      </w:r>
    </w:p>
  </w:footnote>
  <w:footnote w:id="3">
    <w:p w:rsidR="00B63AD4" w:rsidRPr="00500EBD" w:rsidRDefault="00B63AD4" w:rsidP="00346271">
      <w:pPr>
        <w:pStyle w:val="FootnoteText"/>
        <w:rPr>
          <w:lang w:val="en-NZ"/>
        </w:rPr>
      </w:pPr>
      <w:r>
        <w:rPr>
          <w:rStyle w:val="FootnoteReference"/>
        </w:rPr>
        <w:footnoteRef/>
      </w:r>
      <w:r>
        <w:t xml:space="preserve"> </w:t>
      </w:r>
      <w:r w:rsidRPr="00672AB8">
        <w:rPr>
          <w:rFonts w:ascii="Arial Narrow" w:hAnsi="Arial Narrow"/>
          <w:lang w:val="en-US"/>
        </w:rPr>
        <w:t>General operating costs, such as office accommodation and depreciation, are included in on-going activities.</w:t>
      </w:r>
    </w:p>
  </w:footnote>
  <w:footnote w:id="4">
    <w:p w:rsidR="00B63AD4" w:rsidRPr="00F3545B" w:rsidRDefault="00B63AD4" w:rsidP="00F3545B">
      <w:pPr>
        <w:pStyle w:val="FootnoteText"/>
        <w:jc w:val="both"/>
        <w:rPr>
          <w:rFonts w:ascii="Arial Narrow" w:hAnsi="Arial Narrow"/>
          <w:lang w:val="en-US"/>
        </w:rPr>
      </w:pPr>
      <w:r>
        <w:rPr>
          <w:rStyle w:val="FootnoteReference"/>
        </w:rPr>
        <w:footnoteRef/>
      </w:r>
      <w:r>
        <w:t xml:space="preserve"> </w:t>
      </w:r>
      <w:r w:rsidRPr="00F3545B">
        <w:rPr>
          <w:rFonts w:ascii="Arial Narrow" w:hAnsi="Arial Narrow"/>
        </w:rPr>
        <w:t>T</w:t>
      </w:r>
      <w:r w:rsidRPr="00F3545B">
        <w:rPr>
          <w:rFonts w:ascii="Arial Narrow" w:hAnsi="Arial Narrow"/>
          <w:lang w:val="en-US"/>
        </w:rPr>
        <w:t xml:space="preserve">he Commission will measure civil society and government stakeholder feedback on the effectiveness of its communications and engagement on a biennial basis. </w:t>
      </w:r>
      <w:r>
        <w:rPr>
          <w:rFonts w:ascii="Arial Narrow" w:hAnsi="Arial Narrow"/>
          <w:lang w:val="en-US"/>
        </w:rPr>
        <w:t>The n</w:t>
      </w:r>
      <w:r w:rsidRPr="00F3545B">
        <w:rPr>
          <w:rFonts w:ascii="Arial Narrow" w:hAnsi="Arial Narrow"/>
          <w:lang w:val="en-US"/>
        </w:rPr>
        <w:t>ext survey will be during the 2017/18 financial year.</w:t>
      </w:r>
    </w:p>
  </w:footnote>
  <w:footnote w:id="5">
    <w:p w:rsidR="00B63AD4" w:rsidRPr="00F3545B" w:rsidRDefault="00B63AD4" w:rsidP="00F3545B">
      <w:pPr>
        <w:pStyle w:val="FootnoteText"/>
        <w:jc w:val="both"/>
        <w:rPr>
          <w:rFonts w:ascii="Arial Narrow" w:hAnsi="Arial Narrow"/>
          <w:lang w:val="en-US"/>
        </w:rPr>
      </w:pPr>
      <w:r w:rsidRPr="00F3545B">
        <w:rPr>
          <w:rStyle w:val="FootnoteReference"/>
          <w:rFonts w:ascii="Arial Narrow" w:hAnsi="Arial Narrow"/>
        </w:rPr>
        <w:footnoteRef/>
      </w:r>
      <w:r w:rsidRPr="00F3545B">
        <w:rPr>
          <w:rFonts w:ascii="Arial Narrow" w:hAnsi="Arial Narrow"/>
        </w:rPr>
        <w:t xml:space="preserve"> Measured through formal feedback solicited at key external events.</w:t>
      </w:r>
    </w:p>
  </w:footnote>
  <w:footnote w:id="6">
    <w:p w:rsidR="00B63AD4" w:rsidRPr="00F3545B" w:rsidRDefault="00B63AD4" w:rsidP="00F3545B">
      <w:pPr>
        <w:pStyle w:val="FootnoteText"/>
        <w:jc w:val="both"/>
        <w:rPr>
          <w:rFonts w:ascii="Arial Narrow" w:hAnsi="Arial Narrow"/>
          <w:lang w:val="en-US"/>
        </w:rPr>
      </w:pPr>
      <w:r w:rsidRPr="00F3545B">
        <w:rPr>
          <w:rStyle w:val="FootnoteReference"/>
        </w:rPr>
        <w:footnoteRef/>
      </w:r>
      <w:r w:rsidRPr="00F3545B">
        <w:t xml:space="preserve"> </w:t>
      </w:r>
      <w:r w:rsidRPr="00F3545B">
        <w:rPr>
          <w:rFonts w:ascii="Arial Narrow" w:hAnsi="Arial Narrow"/>
        </w:rPr>
        <w:t>I</w:t>
      </w:r>
      <w:r w:rsidRPr="00F3545B">
        <w:rPr>
          <w:rFonts w:ascii="Arial Narrow" w:hAnsi="Arial Narrow"/>
          <w:lang w:val="en-US"/>
        </w:rPr>
        <w:t>ncludes face to face and written engagement, incl. but not limited to, facilitation of events and submissions.  Engagements occur in line with the strategic objectives and advocacy areas as defined in the Commission’s business plan.</w:t>
      </w:r>
    </w:p>
  </w:footnote>
  <w:footnote w:id="7">
    <w:p w:rsidR="00B63AD4" w:rsidRPr="00F3545B" w:rsidRDefault="00B63AD4">
      <w:pPr>
        <w:pStyle w:val="FootnoteText"/>
        <w:rPr>
          <w:rFonts w:ascii="Arial Narrow" w:hAnsi="Arial Narrow"/>
          <w:lang w:val="en-US"/>
        </w:rPr>
      </w:pPr>
      <w:r w:rsidRPr="00F3545B">
        <w:rPr>
          <w:rStyle w:val="FootnoteReference"/>
          <w:rFonts w:ascii="Arial Narrow" w:hAnsi="Arial Narrow"/>
        </w:rPr>
        <w:footnoteRef/>
      </w:r>
      <w:r w:rsidRPr="00F3545B">
        <w:rPr>
          <w:rFonts w:ascii="Arial Narrow" w:hAnsi="Arial Narrow"/>
        </w:rPr>
        <w:t xml:space="preserve"> The Commission intervenes in legal proceedings in Courts and tribunals when there are significant human rights issues involved and where our participation will contribute positively to the development of jurisprudence, policies or practice that will enhance observance of human rights in New Zealand. Legal interventions require significant preparation work, input and time commitment due to the nature of key human rights issue cases brought before the Courts.</w:t>
      </w:r>
    </w:p>
  </w:footnote>
  <w:footnote w:id="8">
    <w:p w:rsidR="00B63AD4" w:rsidRPr="00F3545B" w:rsidRDefault="00B63AD4">
      <w:pPr>
        <w:pStyle w:val="FootnoteText"/>
        <w:rPr>
          <w:rFonts w:ascii="Arial Narrow" w:hAnsi="Arial Narrow"/>
          <w:lang w:val="en-US"/>
        </w:rPr>
      </w:pPr>
      <w:r w:rsidRPr="00F3545B">
        <w:rPr>
          <w:rStyle w:val="FootnoteReference"/>
          <w:rFonts w:ascii="Arial Narrow" w:hAnsi="Arial Narrow"/>
        </w:rPr>
        <w:footnoteRef/>
      </w:r>
      <w:r w:rsidRPr="00F3545B">
        <w:rPr>
          <w:rFonts w:ascii="Arial Narrow" w:hAnsi="Arial Narrow"/>
        </w:rPr>
        <w:t xml:space="preserve"> Relates to Crown </w:t>
      </w:r>
      <w:r>
        <w:rPr>
          <w:rFonts w:ascii="Arial Narrow" w:hAnsi="Arial Narrow"/>
        </w:rPr>
        <w:t>e</w:t>
      </w:r>
      <w:r w:rsidRPr="00F3545B">
        <w:rPr>
          <w:rFonts w:ascii="Arial Narrow" w:hAnsi="Arial Narrow"/>
        </w:rPr>
        <w:t>ntities who are progressing towards 100% compliance</w:t>
      </w:r>
    </w:p>
  </w:footnote>
  <w:footnote w:id="9">
    <w:p w:rsidR="00B63AD4" w:rsidRPr="00F3545B" w:rsidRDefault="00B63AD4" w:rsidP="00210088">
      <w:pPr>
        <w:pStyle w:val="FootnoteText"/>
        <w:jc w:val="both"/>
        <w:rPr>
          <w:rFonts w:ascii="Arial Narrow" w:hAnsi="Arial Narrow"/>
          <w:lang w:val="en-US"/>
        </w:rPr>
      </w:pPr>
      <w:r>
        <w:rPr>
          <w:rStyle w:val="FootnoteReference"/>
        </w:rPr>
        <w:footnoteRef/>
      </w:r>
      <w:r>
        <w:t xml:space="preserve"> </w:t>
      </w:r>
      <w:r w:rsidRPr="00F3545B">
        <w:rPr>
          <w:rFonts w:ascii="Arial Narrow" w:hAnsi="Arial Narrow"/>
        </w:rPr>
        <w:t>The Commission, reporting to United Nation treaty monitoring bodies, works with government and civil society; providing reports, advice and technical assistance in response to periodic compliance examinations.</w:t>
      </w:r>
    </w:p>
  </w:footnote>
  <w:footnote w:id="10">
    <w:p w:rsidR="00B63AD4" w:rsidRPr="00F3545B" w:rsidRDefault="00B63AD4">
      <w:pPr>
        <w:pStyle w:val="FootnoteText"/>
        <w:rPr>
          <w:rFonts w:ascii="Arial Narrow" w:hAnsi="Arial Narrow"/>
          <w:lang w:val="en-US"/>
        </w:rPr>
      </w:pPr>
      <w:r w:rsidRPr="00F3545B">
        <w:rPr>
          <w:rStyle w:val="FootnoteReference"/>
          <w:rFonts w:ascii="Arial Narrow" w:hAnsi="Arial Narrow"/>
        </w:rPr>
        <w:footnoteRef/>
      </w:r>
      <w:r w:rsidRPr="00F3545B">
        <w:rPr>
          <w:rFonts w:ascii="Arial Narrow" w:hAnsi="Arial Narrow"/>
        </w:rPr>
        <w:t xml:space="preserve"> The Commission’s role as NPM (National Preventive Mechanism) mandates the Commission to monitor places of detention and produce annual reports on its activities, issues and recommendations made.</w:t>
      </w:r>
    </w:p>
  </w:footnote>
  <w:footnote w:id="11">
    <w:p w:rsidR="00B63AD4" w:rsidRPr="00F3545B" w:rsidRDefault="00B63AD4">
      <w:pPr>
        <w:pStyle w:val="FootnoteText"/>
        <w:rPr>
          <w:rFonts w:ascii="Arial Narrow" w:hAnsi="Arial Narrow"/>
          <w:lang w:val="en-US"/>
        </w:rPr>
      </w:pPr>
      <w:r w:rsidRPr="00F3545B">
        <w:rPr>
          <w:rStyle w:val="FootnoteReference"/>
          <w:rFonts w:ascii="Arial Narrow" w:hAnsi="Arial Narrow"/>
        </w:rPr>
        <w:footnoteRef/>
      </w:r>
      <w:r w:rsidRPr="00F3545B">
        <w:rPr>
          <w:rFonts w:ascii="Arial Narrow" w:hAnsi="Arial Narrow"/>
        </w:rPr>
        <w:t xml:space="preserve"> </w:t>
      </w:r>
      <w:r>
        <w:rPr>
          <w:rFonts w:ascii="Arial Narrow" w:hAnsi="Arial Narrow"/>
        </w:rPr>
        <w:t xml:space="preserve">The HRC’s </w:t>
      </w:r>
      <w:r w:rsidRPr="00F3545B">
        <w:rPr>
          <w:rFonts w:ascii="Arial Narrow" w:hAnsi="Arial Narrow"/>
        </w:rPr>
        <w:t xml:space="preserve">role as monitoring mechanism (IMM) mandates it to monitor and report on the Government’s performance against the </w:t>
      </w:r>
      <w:r>
        <w:rPr>
          <w:rFonts w:ascii="Arial Narrow" w:hAnsi="Arial Narrow"/>
        </w:rPr>
        <w:t>obligations in the Convention on the Rights of Persons with Disabilities.</w:t>
      </w:r>
    </w:p>
  </w:footnote>
  <w:footnote w:id="12">
    <w:p w:rsidR="00B63AD4" w:rsidRPr="00F3545B" w:rsidRDefault="00B63AD4">
      <w:pPr>
        <w:pStyle w:val="FootnoteText"/>
        <w:rPr>
          <w:rFonts w:ascii="Arial Narrow" w:hAnsi="Arial Narrow"/>
          <w:lang w:val="en-US"/>
        </w:rPr>
      </w:pPr>
      <w:r>
        <w:rPr>
          <w:rStyle w:val="FootnoteReference"/>
        </w:rPr>
        <w:footnoteRef/>
      </w:r>
      <w:r>
        <w:t xml:space="preserve"> </w:t>
      </w:r>
      <w:r w:rsidRPr="00F3545B">
        <w:rPr>
          <w:rFonts w:ascii="Arial Narrow" w:hAnsi="Arial Narrow"/>
        </w:rPr>
        <w:t xml:space="preserve">The NZ Government’s human rights record was reviewed by the United Nations as part of the UPR or Universal Periodic Review. The NPA monitors </w:t>
      </w:r>
      <w:r>
        <w:rPr>
          <w:rFonts w:ascii="Arial Narrow" w:hAnsi="Arial Narrow"/>
        </w:rPr>
        <w:t xml:space="preserve">the </w:t>
      </w:r>
      <w:r w:rsidRPr="00F3545B">
        <w:rPr>
          <w:rFonts w:ascii="Arial Narrow" w:hAnsi="Arial Narrow"/>
        </w:rPr>
        <w:t>Government’s action</w:t>
      </w:r>
      <w:r>
        <w:rPr>
          <w:rFonts w:ascii="Arial Narrow" w:hAnsi="Arial Narrow"/>
        </w:rPr>
        <w:t>s</w:t>
      </w:r>
      <w:r w:rsidRPr="00F3545B">
        <w:rPr>
          <w:rFonts w:ascii="Arial Narrow" w:hAnsi="Arial Narrow"/>
        </w:rPr>
        <w:t xml:space="preserve"> on the 121 recommendations it accepted. The Commission works with government and civil society on how to successfully address the identified issues and monitor progress. An indicators framework that measure the outcomes from those actions and progress against </w:t>
      </w:r>
      <w:r>
        <w:rPr>
          <w:rFonts w:ascii="Arial Narrow" w:hAnsi="Arial Narrow"/>
        </w:rPr>
        <w:t xml:space="preserve">UN </w:t>
      </w:r>
      <w:r w:rsidRPr="00F3545B">
        <w:rPr>
          <w:rFonts w:ascii="Arial Narrow" w:hAnsi="Arial Narrow"/>
        </w:rPr>
        <w:t xml:space="preserve">treaty body recommendations has been developed, and annually, a report is produced on the status of human rights based on the actions that will progress the UPR recommendations accepted by </w:t>
      </w:r>
      <w:r>
        <w:rPr>
          <w:rFonts w:ascii="Arial Narrow" w:hAnsi="Arial Narrow"/>
        </w:rPr>
        <w:t xml:space="preserve">the </w:t>
      </w:r>
      <w:r w:rsidRPr="00F3545B">
        <w:rPr>
          <w:rFonts w:ascii="Arial Narrow" w:hAnsi="Arial Narrow"/>
        </w:rPr>
        <w:t>government.</w:t>
      </w:r>
    </w:p>
  </w:footnote>
  <w:footnote w:id="13">
    <w:p w:rsidR="00B63AD4" w:rsidRPr="00F3545B" w:rsidRDefault="00B63AD4">
      <w:pPr>
        <w:pStyle w:val="FootnoteText"/>
        <w:rPr>
          <w:rFonts w:ascii="Arial Narrow" w:hAnsi="Arial Narrow"/>
          <w:lang w:val="en-US"/>
        </w:rPr>
      </w:pPr>
      <w:r w:rsidRPr="00F3545B">
        <w:rPr>
          <w:rStyle w:val="FootnoteReference"/>
          <w:rFonts w:ascii="Arial Narrow" w:hAnsi="Arial Narrow"/>
        </w:rPr>
        <w:footnoteRef/>
      </w:r>
      <w:r w:rsidRPr="00F3545B">
        <w:rPr>
          <w:rFonts w:ascii="Arial Narrow" w:hAnsi="Arial Narrow"/>
        </w:rPr>
        <w:t xml:space="preserve"> The Commission participates in a number of international commitments and engagements which aim to have a positive impact in the realisation of human rights, not only locally but also </w:t>
      </w:r>
      <w:r>
        <w:rPr>
          <w:rFonts w:ascii="Arial Narrow" w:hAnsi="Arial Narrow"/>
        </w:rPr>
        <w:t>i</w:t>
      </w:r>
      <w:r w:rsidRPr="00F3545B">
        <w:rPr>
          <w:rFonts w:ascii="Arial Narrow" w:hAnsi="Arial Narrow"/>
        </w:rPr>
        <w:t>n the international s</w:t>
      </w:r>
      <w:r>
        <w:rPr>
          <w:rFonts w:ascii="Arial Narrow" w:hAnsi="Arial Narrow"/>
        </w:rPr>
        <w:t>phere</w:t>
      </w:r>
      <w:r w:rsidRPr="00F3545B">
        <w:rPr>
          <w:rFonts w:ascii="Arial Narrow" w:hAnsi="Arial Narrow"/>
        </w:rPr>
        <w:t xml:space="preserve">. </w:t>
      </w:r>
      <w:r w:rsidRPr="00F3545B">
        <w:rPr>
          <w:rFonts w:ascii="Arial Narrow" w:hAnsi="Arial Narrow"/>
          <w:lang w:val="en-US"/>
        </w:rPr>
        <w:t xml:space="preserve">Impact </w:t>
      </w:r>
      <w:r>
        <w:rPr>
          <w:rFonts w:ascii="Arial Narrow" w:hAnsi="Arial Narrow"/>
          <w:lang w:val="en-US"/>
        </w:rPr>
        <w:t xml:space="preserve">is </w:t>
      </w:r>
      <w:r w:rsidRPr="00F3545B">
        <w:rPr>
          <w:rFonts w:ascii="Arial Narrow" w:hAnsi="Arial Narrow"/>
          <w:lang w:val="en-US"/>
        </w:rPr>
        <w:t xml:space="preserve">measured by inclusion or acceptance of </w:t>
      </w:r>
      <w:r>
        <w:rPr>
          <w:rFonts w:ascii="Arial Narrow" w:hAnsi="Arial Narrow"/>
          <w:lang w:val="en-US"/>
        </w:rPr>
        <w:t xml:space="preserve">the </w:t>
      </w:r>
      <w:r w:rsidRPr="00F3545B">
        <w:rPr>
          <w:rFonts w:ascii="Arial Narrow" w:hAnsi="Arial Narrow"/>
          <w:lang w:val="en-US"/>
        </w:rPr>
        <w:t>Commission’s contributions into the advice, guidelines and directives by international institutions and guiding bodies that contribute to the advancement of human rights.</w:t>
      </w:r>
    </w:p>
  </w:footnote>
  <w:footnote w:id="14">
    <w:p w:rsidR="00B63AD4" w:rsidRPr="00F3545B" w:rsidRDefault="00B63AD4" w:rsidP="00F3545B">
      <w:pPr>
        <w:pStyle w:val="FootnoteText"/>
        <w:jc w:val="both"/>
        <w:rPr>
          <w:rFonts w:ascii="Arial Narrow" w:hAnsi="Arial Narrow"/>
          <w:lang w:val="en-US"/>
        </w:rPr>
      </w:pPr>
      <w:r>
        <w:rPr>
          <w:rStyle w:val="FootnoteReference"/>
        </w:rPr>
        <w:footnoteRef/>
      </w:r>
      <w:r>
        <w:t xml:space="preserve"> </w:t>
      </w:r>
      <w:r w:rsidRPr="00F3545B">
        <w:rPr>
          <w:rFonts w:ascii="Arial Narrow" w:hAnsi="Arial Narrow"/>
          <w:lang w:val="en-US"/>
        </w:rPr>
        <w:t>The Commission has an A-status accreditation as a National Human Rights Institution with the Global Alliance of National Human Rights Institutions (GANHRI). This status is the highest recognition of the independence a national human rights institution can achieve. NHRIs which are awarded A-status are recognised for their credibility and professionalism. It shows that the NHRI “is legitimate, relevant and effective in promoting human rights at the national level” (OHCHR, 2012). A-status also provides formal participation in the United Nations Human Rights Council and engagement with other UN treaty bodies. Re-accreditation occurs every 5 years involving a sub-committee of GANHRI, and approval of the organisation on behalf of the United Nations.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82"/>
    <w:multiLevelType w:val="hybridMultilevel"/>
    <w:tmpl w:val="8794C256"/>
    <w:lvl w:ilvl="0" w:tplc="CE82E436">
      <w:numFmt w:val="bullet"/>
      <w:lvlText w:val="-"/>
      <w:lvlJc w:val="left"/>
      <w:pPr>
        <w:ind w:left="720" w:hanging="360"/>
      </w:pPr>
      <w:rPr>
        <w:rFonts w:ascii="Calibri" w:eastAsiaTheme="minorHAnsi" w:hAnsi="Calibri" w:cs="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2B6512"/>
    <w:multiLevelType w:val="hybridMultilevel"/>
    <w:tmpl w:val="3B42C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9733CF"/>
    <w:multiLevelType w:val="hybridMultilevel"/>
    <w:tmpl w:val="8BBAD662"/>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275F67"/>
    <w:multiLevelType w:val="hybridMultilevel"/>
    <w:tmpl w:val="238037B8"/>
    <w:lvl w:ilvl="0" w:tplc="14090001">
      <w:start w:val="1"/>
      <w:numFmt w:val="bullet"/>
      <w:lvlText w:val=""/>
      <w:lvlJc w:val="left"/>
      <w:pPr>
        <w:ind w:left="678" w:hanging="360"/>
      </w:pPr>
      <w:rPr>
        <w:rFonts w:ascii="Symbol" w:hAnsi="Symbol" w:hint="default"/>
      </w:rPr>
    </w:lvl>
    <w:lvl w:ilvl="1" w:tplc="14090003" w:tentative="1">
      <w:start w:val="1"/>
      <w:numFmt w:val="bullet"/>
      <w:lvlText w:val="o"/>
      <w:lvlJc w:val="left"/>
      <w:pPr>
        <w:ind w:left="1398" w:hanging="360"/>
      </w:pPr>
      <w:rPr>
        <w:rFonts w:ascii="Courier New" w:hAnsi="Courier New" w:cs="Courier New" w:hint="default"/>
      </w:rPr>
    </w:lvl>
    <w:lvl w:ilvl="2" w:tplc="14090005" w:tentative="1">
      <w:start w:val="1"/>
      <w:numFmt w:val="bullet"/>
      <w:lvlText w:val=""/>
      <w:lvlJc w:val="left"/>
      <w:pPr>
        <w:ind w:left="2118" w:hanging="360"/>
      </w:pPr>
      <w:rPr>
        <w:rFonts w:ascii="Wingdings" w:hAnsi="Wingdings" w:hint="default"/>
      </w:rPr>
    </w:lvl>
    <w:lvl w:ilvl="3" w:tplc="14090001" w:tentative="1">
      <w:start w:val="1"/>
      <w:numFmt w:val="bullet"/>
      <w:lvlText w:val=""/>
      <w:lvlJc w:val="left"/>
      <w:pPr>
        <w:ind w:left="2838" w:hanging="360"/>
      </w:pPr>
      <w:rPr>
        <w:rFonts w:ascii="Symbol" w:hAnsi="Symbol" w:hint="default"/>
      </w:rPr>
    </w:lvl>
    <w:lvl w:ilvl="4" w:tplc="14090003" w:tentative="1">
      <w:start w:val="1"/>
      <w:numFmt w:val="bullet"/>
      <w:lvlText w:val="o"/>
      <w:lvlJc w:val="left"/>
      <w:pPr>
        <w:ind w:left="3558" w:hanging="360"/>
      </w:pPr>
      <w:rPr>
        <w:rFonts w:ascii="Courier New" w:hAnsi="Courier New" w:cs="Courier New" w:hint="default"/>
      </w:rPr>
    </w:lvl>
    <w:lvl w:ilvl="5" w:tplc="14090005" w:tentative="1">
      <w:start w:val="1"/>
      <w:numFmt w:val="bullet"/>
      <w:lvlText w:val=""/>
      <w:lvlJc w:val="left"/>
      <w:pPr>
        <w:ind w:left="4278" w:hanging="360"/>
      </w:pPr>
      <w:rPr>
        <w:rFonts w:ascii="Wingdings" w:hAnsi="Wingdings" w:hint="default"/>
      </w:rPr>
    </w:lvl>
    <w:lvl w:ilvl="6" w:tplc="14090001" w:tentative="1">
      <w:start w:val="1"/>
      <w:numFmt w:val="bullet"/>
      <w:lvlText w:val=""/>
      <w:lvlJc w:val="left"/>
      <w:pPr>
        <w:ind w:left="4998" w:hanging="360"/>
      </w:pPr>
      <w:rPr>
        <w:rFonts w:ascii="Symbol" w:hAnsi="Symbol" w:hint="default"/>
      </w:rPr>
    </w:lvl>
    <w:lvl w:ilvl="7" w:tplc="14090003" w:tentative="1">
      <w:start w:val="1"/>
      <w:numFmt w:val="bullet"/>
      <w:lvlText w:val="o"/>
      <w:lvlJc w:val="left"/>
      <w:pPr>
        <w:ind w:left="5718" w:hanging="360"/>
      </w:pPr>
      <w:rPr>
        <w:rFonts w:ascii="Courier New" w:hAnsi="Courier New" w:cs="Courier New" w:hint="default"/>
      </w:rPr>
    </w:lvl>
    <w:lvl w:ilvl="8" w:tplc="14090005" w:tentative="1">
      <w:start w:val="1"/>
      <w:numFmt w:val="bullet"/>
      <w:lvlText w:val=""/>
      <w:lvlJc w:val="left"/>
      <w:pPr>
        <w:ind w:left="6438" w:hanging="360"/>
      </w:pPr>
      <w:rPr>
        <w:rFonts w:ascii="Wingdings" w:hAnsi="Wingdings" w:hint="default"/>
      </w:rPr>
    </w:lvl>
  </w:abstractNum>
  <w:abstractNum w:abstractNumId="4" w15:restartNumberingAfterBreak="0">
    <w:nsid w:val="1D6B4912"/>
    <w:multiLevelType w:val="hybridMultilevel"/>
    <w:tmpl w:val="B9688178"/>
    <w:lvl w:ilvl="0" w:tplc="77B257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C34C7"/>
    <w:multiLevelType w:val="hybridMultilevel"/>
    <w:tmpl w:val="08FC104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CA60C0A"/>
    <w:multiLevelType w:val="hybridMultilevel"/>
    <w:tmpl w:val="208A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EE6D17"/>
    <w:multiLevelType w:val="hybridMultilevel"/>
    <w:tmpl w:val="A51CA9A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887F65"/>
    <w:multiLevelType w:val="hybridMultilevel"/>
    <w:tmpl w:val="2C3A0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3B3D80"/>
    <w:multiLevelType w:val="hybridMultilevel"/>
    <w:tmpl w:val="CCE897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220C3D"/>
    <w:multiLevelType w:val="hybridMultilevel"/>
    <w:tmpl w:val="4EBE588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D571A"/>
    <w:multiLevelType w:val="hybridMultilevel"/>
    <w:tmpl w:val="919C8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1903F7"/>
    <w:multiLevelType w:val="hybridMultilevel"/>
    <w:tmpl w:val="A3988414"/>
    <w:lvl w:ilvl="0" w:tplc="884435F6">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66244A"/>
    <w:multiLevelType w:val="hybridMultilevel"/>
    <w:tmpl w:val="04AED6DE"/>
    <w:lvl w:ilvl="0" w:tplc="14090001">
      <w:start w:val="2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C24CC0"/>
    <w:multiLevelType w:val="hybridMultilevel"/>
    <w:tmpl w:val="3C04B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EAA24A0"/>
    <w:multiLevelType w:val="hybridMultilevel"/>
    <w:tmpl w:val="B07AA534"/>
    <w:lvl w:ilvl="0" w:tplc="88443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96936"/>
    <w:multiLevelType w:val="hybridMultilevel"/>
    <w:tmpl w:val="42202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FE2BA9"/>
    <w:multiLevelType w:val="hybridMultilevel"/>
    <w:tmpl w:val="7DB61B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58947B8D"/>
    <w:multiLevelType w:val="hybridMultilevel"/>
    <w:tmpl w:val="F9F828B6"/>
    <w:lvl w:ilvl="0" w:tplc="1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9269F"/>
    <w:multiLevelType w:val="hybridMultilevel"/>
    <w:tmpl w:val="A05A29DA"/>
    <w:lvl w:ilvl="0" w:tplc="5538A86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6556648B"/>
    <w:multiLevelType w:val="hybridMultilevel"/>
    <w:tmpl w:val="E3B08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6895126"/>
    <w:multiLevelType w:val="hybridMultilevel"/>
    <w:tmpl w:val="BF9C5EE6"/>
    <w:lvl w:ilvl="0" w:tplc="88443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07403"/>
    <w:multiLevelType w:val="hybridMultilevel"/>
    <w:tmpl w:val="D850F7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8956AF5"/>
    <w:multiLevelType w:val="hybridMultilevel"/>
    <w:tmpl w:val="D8105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3E56DA8"/>
    <w:multiLevelType w:val="hybridMultilevel"/>
    <w:tmpl w:val="04688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6A6E2A"/>
    <w:multiLevelType w:val="hybridMultilevel"/>
    <w:tmpl w:val="08702ACE"/>
    <w:lvl w:ilvl="0" w:tplc="9BD495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EED143F"/>
    <w:multiLevelType w:val="hybridMultilevel"/>
    <w:tmpl w:val="F0AC8A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23"/>
  </w:num>
  <w:num w:numId="5">
    <w:abstractNumId w:val="1"/>
  </w:num>
  <w:num w:numId="6">
    <w:abstractNumId w:val="10"/>
  </w:num>
  <w:num w:numId="7">
    <w:abstractNumId w:val="11"/>
  </w:num>
  <w:num w:numId="8">
    <w:abstractNumId w:val="24"/>
  </w:num>
  <w:num w:numId="9">
    <w:abstractNumId w:val="8"/>
  </w:num>
  <w:num w:numId="10">
    <w:abstractNumId w:val="12"/>
  </w:num>
  <w:num w:numId="11">
    <w:abstractNumId w:val="18"/>
  </w:num>
  <w:num w:numId="12">
    <w:abstractNumId w:val="21"/>
  </w:num>
  <w:num w:numId="13">
    <w:abstractNumId w:val="25"/>
  </w:num>
  <w:num w:numId="14">
    <w:abstractNumId w:val="2"/>
  </w:num>
  <w:num w:numId="15">
    <w:abstractNumId w:val="26"/>
  </w:num>
  <w:num w:numId="16">
    <w:abstractNumId w:val="5"/>
  </w:num>
  <w:num w:numId="17">
    <w:abstractNumId w:val="17"/>
  </w:num>
  <w:num w:numId="18">
    <w:abstractNumId w:val="0"/>
  </w:num>
  <w:num w:numId="19">
    <w:abstractNumId w:val="4"/>
  </w:num>
  <w:num w:numId="20">
    <w:abstractNumId w:val="19"/>
  </w:num>
  <w:num w:numId="21">
    <w:abstractNumId w:val="9"/>
  </w:num>
  <w:num w:numId="22">
    <w:abstractNumId w:val="20"/>
  </w:num>
  <w:num w:numId="23">
    <w:abstractNumId w:val="13"/>
  </w:num>
  <w:num w:numId="24">
    <w:abstractNumId w:val="7"/>
  </w:num>
  <w:num w:numId="25">
    <w:abstractNumId w:val="22"/>
  </w:num>
  <w:num w:numId="26">
    <w:abstractNumId w:val="18"/>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NZ" w:vendorID="64" w:dllVersion="131078" w:nlCheck="1" w:checkStyle="0"/>
  <w:activeWritingStyle w:appName="MSWord" w:lang="en-US" w:vendorID="64" w:dllVersion="131078" w:nlCheck="1" w:checkStyle="0"/>
  <w:defaultTabStop w:val="720"/>
  <w:drawingGridHorizontalSpacing w:val="120"/>
  <w:displayHorizontalDrawingGridEvery w:val="2"/>
  <w:characterSpacingControl w:val="doNotCompress"/>
  <w:hdrShapeDefaults>
    <o:shapedefaults v:ext="edit" spidmax="2049">
      <o:colormru v:ext="edit" colors="#3bc2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HkhYWBpamZiYmxko6SsGpxcWZ+XkgBYa1ALUztn8sAAAA"/>
  </w:docVars>
  <w:rsids>
    <w:rsidRoot w:val="00055A8C"/>
    <w:rsid w:val="0000068B"/>
    <w:rsid w:val="000012C3"/>
    <w:rsid w:val="00002F09"/>
    <w:rsid w:val="00003B2D"/>
    <w:rsid w:val="00003D65"/>
    <w:rsid w:val="00003FE8"/>
    <w:rsid w:val="00006DAE"/>
    <w:rsid w:val="00011D18"/>
    <w:rsid w:val="00012147"/>
    <w:rsid w:val="00015216"/>
    <w:rsid w:val="0002282D"/>
    <w:rsid w:val="00023377"/>
    <w:rsid w:val="000252FA"/>
    <w:rsid w:val="00025F13"/>
    <w:rsid w:val="00026053"/>
    <w:rsid w:val="00031898"/>
    <w:rsid w:val="00031BED"/>
    <w:rsid w:val="00035573"/>
    <w:rsid w:val="0003637B"/>
    <w:rsid w:val="00036448"/>
    <w:rsid w:val="000364A7"/>
    <w:rsid w:val="00037431"/>
    <w:rsid w:val="00037DFB"/>
    <w:rsid w:val="00042C9C"/>
    <w:rsid w:val="000512A0"/>
    <w:rsid w:val="00051FDC"/>
    <w:rsid w:val="000524AD"/>
    <w:rsid w:val="000550D2"/>
    <w:rsid w:val="00055A8C"/>
    <w:rsid w:val="00057082"/>
    <w:rsid w:val="00057204"/>
    <w:rsid w:val="000572E7"/>
    <w:rsid w:val="00057E01"/>
    <w:rsid w:val="0006203F"/>
    <w:rsid w:val="00062ADD"/>
    <w:rsid w:val="0006311B"/>
    <w:rsid w:val="000648DD"/>
    <w:rsid w:val="0006629A"/>
    <w:rsid w:val="000662AC"/>
    <w:rsid w:val="00067141"/>
    <w:rsid w:val="00071827"/>
    <w:rsid w:val="000730DE"/>
    <w:rsid w:val="0007526C"/>
    <w:rsid w:val="000760EB"/>
    <w:rsid w:val="00076CE2"/>
    <w:rsid w:val="00077A0D"/>
    <w:rsid w:val="00077C3D"/>
    <w:rsid w:val="00080EAE"/>
    <w:rsid w:val="0008414A"/>
    <w:rsid w:val="00084C6D"/>
    <w:rsid w:val="00084F72"/>
    <w:rsid w:val="00085AC5"/>
    <w:rsid w:val="0008621F"/>
    <w:rsid w:val="000863EE"/>
    <w:rsid w:val="0008749F"/>
    <w:rsid w:val="00091360"/>
    <w:rsid w:val="00093783"/>
    <w:rsid w:val="00093F22"/>
    <w:rsid w:val="000A2850"/>
    <w:rsid w:val="000A40DD"/>
    <w:rsid w:val="000A7B9A"/>
    <w:rsid w:val="000B288D"/>
    <w:rsid w:val="000B4210"/>
    <w:rsid w:val="000B5A6F"/>
    <w:rsid w:val="000B7978"/>
    <w:rsid w:val="000C15C2"/>
    <w:rsid w:val="000C3008"/>
    <w:rsid w:val="000C3DE1"/>
    <w:rsid w:val="000C500C"/>
    <w:rsid w:val="000C69D5"/>
    <w:rsid w:val="000D090D"/>
    <w:rsid w:val="000D2B2D"/>
    <w:rsid w:val="000D671E"/>
    <w:rsid w:val="000D69EE"/>
    <w:rsid w:val="000D7EFE"/>
    <w:rsid w:val="000E2F4B"/>
    <w:rsid w:val="000E6FBF"/>
    <w:rsid w:val="000F2485"/>
    <w:rsid w:val="000F435D"/>
    <w:rsid w:val="000F4360"/>
    <w:rsid w:val="000F56D6"/>
    <w:rsid w:val="000F5704"/>
    <w:rsid w:val="001021EA"/>
    <w:rsid w:val="00103791"/>
    <w:rsid w:val="00107EC3"/>
    <w:rsid w:val="0011118B"/>
    <w:rsid w:val="00114936"/>
    <w:rsid w:val="001158C3"/>
    <w:rsid w:val="00115D6B"/>
    <w:rsid w:val="00116C31"/>
    <w:rsid w:val="001204F7"/>
    <w:rsid w:val="001226FC"/>
    <w:rsid w:val="001269B2"/>
    <w:rsid w:val="00126F17"/>
    <w:rsid w:val="00127DF3"/>
    <w:rsid w:val="0013128A"/>
    <w:rsid w:val="00131714"/>
    <w:rsid w:val="001339FB"/>
    <w:rsid w:val="00140CDA"/>
    <w:rsid w:val="00141563"/>
    <w:rsid w:val="00141C79"/>
    <w:rsid w:val="001541C0"/>
    <w:rsid w:val="00155371"/>
    <w:rsid w:val="00155648"/>
    <w:rsid w:val="001568F7"/>
    <w:rsid w:val="00157465"/>
    <w:rsid w:val="001578CC"/>
    <w:rsid w:val="001602FB"/>
    <w:rsid w:val="0016498E"/>
    <w:rsid w:val="00166107"/>
    <w:rsid w:val="00166FDF"/>
    <w:rsid w:val="001676FC"/>
    <w:rsid w:val="001718B1"/>
    <w:rsid w:val="001734F6"/>
    <w:rsid w:val="00176037"/>
    <w:rsid w:val="00181BB8"/>
    <w:rsid w:val="0018330C"/>
    <w:rsid w:val="00184841"/>
    <w:rsid w:val="0018584E"/>
    <w:rsid w:val="00186F26"/>
    <w:rsid w:val="001878D7"/>
    <w:rsid w:val="00191980"/>
    <w:rsid w:val="00193DFF"/>
    <w:rsid w:val="00195384"/>
    <w:rsid w:val="001A194C"/>
    <w:rsid w:val="001A30E1"/>
    <w:rsid w:val="001A472A"/>
    <w:rsid w:val="001A4B69"/>
    <w:rsid w:val="001A5B50"/>
    <w:rsid w:val="001A72AA"/>
    <w:rsid w:val="001B0788"/>
    <w:rsid w:val="001B2F4E"/>
    <w:rsid w:val="001B40EF"/>
    <w:rsid w:val="001B548A"/>
    <w:rsid w:val="001B6A3F"/>
    <w:rsid w:val="001B6FE0"/>
    <w:rsid w:val="001C3F4F"/>
    <w:rsid w:val="001C65E3"/>
    <w:rsid w:val="001D2F8B"/>
    <w:rsid w:val="001D47C9"/>
    <w:rsid w:val="001D5954"/>
    <w:rsid w:val="001D5FC5"/>
    <w:rsid w:val="001D6966"/>
    <w:rsid w:val="001D6C07"/>
    <w:rsid w:val="001D7296"/>
    <w:rsid w:val="001E0B35"/>
    <w:rsid w:val="001E0C08"/>
    <w:rsid w:val="001E13FB"/>
    <w:rsid w:val="001E504B"/>
    <w:rsid w:val="001F11FB"/>
    <w:rsid w:val="001F690E"/>
    <w:rsid w:val="001F7CA0"/>
    <w:rsid w:val="00200260"/>
    <w:rsid w:val="00200EE4"/>
    <w:rsid w:val="00201AB9"/>
    <w:rsid w:val="00205518"/>
    <w:rsid w:val="00206163"/>
    <w:rsid w:val="00207AB1"/>
    <w:rsid w:val="00210088"/>
    <w:rsid w:val="00210CC3"/>
    <w:rsid w:val="00211E6B"/>
    <w:rsid w:val="00213D9D"/>
    <w:rsid w:val="002142F6"/>
    <w:rsid w:val="00215E8C"/>
    <w:rsid w:val="0022167A"/>
    <w:rsid w:val="00221750"/>
    <w:rsid w:val="002219AD"/>
    <w:rsid w:val="00221E40"/>
    <w:rsid w:val="0022566B"/>
    <w:rsid w:val="002323EA"/>
    <w:rsid w:val="00233798"/>
    <w:rsid w:val="002339D1"/>
    <w:rsid w:val="00234012"/>
    <w:rsid w:val="00236045"/>
    <w:rsid w:val="00236E0C"/>
    <w:rsid w:val="002400A9"/>
    <w:rsid w:val="00246B66"/>
    <w:rsid w:val="00246CEF"/>
    <w:rsid w:val="00251007"/>
    <w:rsid w:val="00252C87"/>
    <w:rsid w:val="00253BEA"/>
    <w:rsid w:val="00254AC3"/>
    <w:rsid w:val="00255292"/>
    <w:rsid w:val="00256BEE"/>
    <w:rsid w:val="0025722C"/>
    <w:rsid w:val="00266200"/>
    <w:rsid w:val="00267830"/>
    <w:rsid w:val="00270395"/>
    <w:rsid w:val="00270831"/>
    <w:rsid w:val="002718A0"/>
    <w:rsid w:val="002721C3"/>
    <w:rsid w:val="0027648B"/>
    <w:rsid w:val="002769CB"/>
    <w:rsid w:val="0027777A"/>
    <w:rsid w:val="002839F4"/>
    <w:rsid w:val="00286C52"/>
    <w:rsid w:val="00286E49"/>
    <w:rsid w:val="00294AE9"/>
    <w:rsid w:val="00295520"/>
    <w:rsid w:val="00297B9D"/>
    <w:rsid w:val="002A0EAA"/>
    <w:rsid w:val="002A10CF"/>
    <w:rsid w:val="002A38CC"/>
    <w:rsid w:val="002A3F34"/>
    <w:rsid w:val="002A444E"/>
    <w:rsid w:val="002A5B06"/>
    <w:rsid w:val="002A7CE2"/>
    <w:rsid w:val="002B171D"/>
    <w:rsid w:val="002B1F40"/>
    <w:rsid w:val="002B37B7"/>
    <w:rsid w:val="002B46B7"/>
    <w:rsid w:val="002B57A1"/>
    <w:rsid w:val="002B68AB"/>
    <w:rsid w:val="002B7910"/>
    <w:rsid w:val="002C3932"/>
    <w:rsid w:val="002C3FE1"/>
    <w:rsid w:val="002C5353"/>
    <w:rsid w:val="002D031F"/>
    <w:rsid w:val="002D09D7"/>
    <w:rsid w:val="002D5F33"/>
    <w:rsid w:val="002D6E0B"/>
    <w:rsid w:val="002E048C"/>
    <w:rsid w:val="002E3BCC"/>
    <w:rsid w:val="002E404D"/>
    <w:rsid w:val="002E70FF"/>
    <w:rsid w:val="002E7A23"/>
    <w:rsid w:val="002F1970"/>
    <w:rsid w:val="002F1E18"/>
    <w:rsid w:val="002F2169"/>
    <w:rsid w:val="002F24A6"/>
    <w:rsid w:val="002F401B"/>
    <w:rsid w:val="002F4737"/>
    <w:rsid w:val="00300884"/>
    <w:rsid w:val="00300ACE"/>
    <w:rsid w:val="0030600D"/>
    <w:rsid w:val="00307748"/>
    <w:rsid w:val="00307B12"/>
    <w:rsid w:val="00310DC6"/>
    <w:rsid w:val="003123DC"/>
    <w:rsid w:val="003133F7"/>
    <w:rsid w:val="00314967"/>
    <w:rsid w:val="0031500A"/>
    <w:rsid w:val="0032321F"/>
    <w:rsid w:val="003239F4"/>
    <w:rsid w:val="00323A10"/>
    <w:rsid w:val="003240D6"/>
    <w:rsid w:val="00324E45"/>
    <w:rsid w:val="00326E5E"/>
    <w:rsid w:val="00330495"/>
    <w:rsid w:val="00331A32"/>
    <w:rsid w:val="00332878"/>
    <w:rsid w:val="00337F3B"/>
    <w:rsid w:val="00346271"/>
    <w:rsid w:val="00346E52"/>
    <w:rsid w:val="00347981"/>
    <w:rsid w:val="00350424"/>
    <w:rsid w:val="003570A4"/>
    <w:rsid w:val="003666A0"/>
    <w:rsid w:val="00366DF2"/>
    <w:rsid w:val="00373316"/>
    <w:rsid w:val="00373F7D"/>
    <w:rsid w:val="0037410A"/>
    <w:rsid w:val="003769AC"/>
    <w:rsid w:val="00381405"/>
    <w:rsid w:val="00382C6E"/>
    <w:rsid w:val="00384063"/>
    <w:rsid w:val="003841BC"/>
    <w:rsid w:val="003865B2"/>
    <w:rsid w:val="00386C48"/>
    <w:rsid w:val="003903FB"/>
    <w:rsid w:val="00391C6F"/>
    <w:rsid w:val="00393F6F"/>
    <w:rsid w:val="003942DB"/>
    <w:rsid w:val="00396968"/>
    <w:rsid w:val="00397D1A"/>
    <w:rsid w:val="003A104A"/>
    <w:rsid w:val="003A2807"/>
    <w:rsid w:val="003A2B66"/>
    <w:rsid w:val="003A36B9"/>
    <w:rsid w:val="003A3923"/>
    <w:rsid w:val="003A3C8B"/>
    <w:rsid w:val="003A3DD3"/>
    <w:rsid w:val="003A57D3"/>
    <w:rsid w:val="003A5A36"/>
    <w:rsid w:val="003B097C"/>
    <w:rsid w:val="003B1205"/>
    <w:rsid w:val="003B18D5"/>
    <w:rsid w:val="003B2B03"/>
    <w:rsid w:val="003B3CC0"/>
    <w:rsid w:val="003B4F2B"/>
    <w:rsid w:val="003B5104"/>
    <w:rsid w:val="003B5AC8"/>
    <w:rsid w:val="003B7E4C"/>
    <w:rsid w:val="003C2C7B"/>
    <w:rsid w:val="003C3197"/>
    <w:rsid w:val="003C6013"/>
    <w:rsid w:val="003D0C89"/>
    <w:rsid w:val="003D0D82"/>
    <w:rsid w:val="003D3A05"/>
    <w:rsid w:val="003D4409"/>
    <w:rsid w:val="003D731D"/>
    <w:rsid w:val="003E21E1"/>
    <w:rsid w:val="003E413F"/>
    <w:rsid w:val="003E4B72"/>
    <w:rsid w:val="003E4F8C"/>
    <w:rsid w:val="003E7749"/>
    <w:rsid w:val="003F0322"/>
    <w:rsid w:val="003F03D7"/>
    <w:rsid w:val="003F1504"/>
    <w:rsid w:val="003F25BA"/>
    <w:rsid w:val="00400253"/>
    <w:rsid w:val="00400668"/>
    <w:rsid w:val="004015FB"/>
    <w:rsid w:val="00401AE2"/>
    <w:rsid w:val="00404A5C"/>
    <w:rsid w:val="004075B3"/>
    <w:rsid w:val="0041247E"/>
    <w:rsid w:val="004137C4"/>
    <w:rsid w:val="00414865"/>
    <w:rsid w:val="004173A0"/>
    <w:rsid w:val="004177D9"/>
    <w:rsid w:val="004202D0"/>
    <w:rsid w:val="00420BD8"/>
    <w:rsid w:val="00420F63"/>
    <w:rsid w:val="00421022"/>
    <w:rsid w:val="00421B2A"/>
    <w:rsid w:val="004252DC"/>
    <w:rsid w:val="00425DA1"/>
    <w:rsid w:val="004260E1"/>
    <w:rsid w:val="00427971"/>
    <w:rsid w:val="00432EA3"/>
    <w:rsid w:val="00433F4E"/>
    <w:rsid w:val="0043681B"/>
    <w:rsid w:val="00436A6C"/>
    <w:rsid w:val="00436D06"/>
    <w:rsid w:val="00441992"/>
    <w:rsid w:val="004436E8"/>
    <w:rsid w:val="00445B2F"/>
    <w:rsid w:val="00445B8B"/>
    <w:rsid w:val="00446E12"/>
    <w:rsid w:val="00452ACA"/>
    <w:rsid w:val="00454CB1"/>
    <w:rsid w:val="00456419"/>
    <w:rsid w:val="00456E7D"/>
    <w:rsid w:val="0045709D"/>
    <w:rsid w:val="00460A5E"/>
    <w:rsid w:val="004613F4"/>
    <w:rsid w:val="00470DC8"/>
    <w:rsid w:val="004711EC"/>
    <w:rsid w:val="004714C5"/>
    <w:rsid w:val="00471E68"/>
    <w:rsid w:val="00472203"/>
    <w:rsid w:val="00473CB3"/>
    <w:rsid w:val="00474022"/>
    <w:rsid w:val="004741AE"/>
    <w:rsid w:val="00474AA0"/>
    <w:rsid w:val="004766CA"/>
    <w:rsid w:val="00476B0B"/>
    <w:rsid w:val="00477AD5"/>
    <w:rsid w:val="00477B29"/>
    <w:rsid w:val="00477E38"/>
    <w:rsid w:val="004800DE"/>
    <w:rsid w:val="004810A2"/>
    <w:rsid w:val="00484355"/>
    <w:rsid w:val="00486EC1"/>
    <w:rsid w:val="00487497"/>
    <w:rsid w:val="004876D2"/>
    <w:rsid w:val="0049090B"/>
    <w:rsid w:val="004930D4"/>
    <w:rsid w:val="00495785"/>
    <w:rsid w:val="004A0D1D"/>
    <w:rsid w:val="004A5800"/>
    <w:rsid w:val="004A5FB0"/>
    <w:rsid w:val="004A6970"/>
    <w:rsid w:val="004A6BC5"/>
    <w:rsid w:val="004A774B"/>
    <w:rsid w:val="004A7BA2"/>
    <w:rsid w:val="004B090B"/>
    <w:rsid w:val="004B2135"/>
    <w:rsid w:val="004B6CC9"/>
    <w:rsid w:val="004B7EF4"/>
    <w:rsid w:val="004C14F0"/>
    <w:rsid w:val="004C5B67"/>
    <w:rsid w:val="004D05BF"/>
    <w:rsid w:val="004D0EBF"/>
    <w:rsid w:val="004D1614"/>
    <w:rsid w:val="004D38EC"/>
    <w:rsid w:val="004D3B0A"/>
    <w:rsid w:val="004D3B8A"/>
    <w:rsid w:val="004D4A6C"/>
    <w:rsid w:val="004D635E"/>
    <w:rsid w:val="004D6DC4"/>
    <w:rsid w:val="004E3F7E"/>
    <w:rsid w:val="004E4EDE"/>
    <w:rsid w:val="004E585C"/>
    <w:rsid w:val="004E7309"/>
    <w:rsid w:val="004E742D"/>
    <w:rsid w:val="004F0774"/>
    <w:rsid w:val="004F0D00"/>
    <w:rsid w:val="004F21C6"/>
    <w:rsid w:val="004F7E97"/>
    <w:rsid w:val="00501DD2"/>
    <w:rsid w:val="005031B5"/>
    <w:rsid w:val="00503321"/>
    <w:rsid w:val="00503E4B"/>
    <w:rsid w:val="00510CAC"/>
    <w:rsid w:val="0051391C"/>
    <w:rsid w:val="00514C0D"/>
    <w:rsid w:val="00516A34"/>
    <w:rsid w:val="00517208"/>
    <w:rsid w:val="00520136"/>
    <w:rsid w:val="0052043A"/>
    <w:rsid w:val="00521ECD"/>
    <w:rsid w:val="00522DBC"/>
    <w:rsid w:val="005231C3"/>
    <w:rsid w:val="00525BCB"/>
    <w:rsid w:val="005302D2"/>
    <w:rsid w:val="00533345"/>
    <w:rsid w:val="0053346D"/>
    <w:rsid w:val="005354E8"/>
    <w:rsid w:val="005356CA"/>
    <w:rsid w:val="00536269"/>
    <w:rsid w:val="005427E1"/>
    <w:rsid w:val="00543390"/>
    <w:rsid w:val="00544736"/>
    <w:rsid w:val="005450B3"/>
    <w:rsid w:val="00546844"/>
    <w:rsid w:val="00546E8F"/>
    <w:rsid w:val="00551778"/>
    <w:rsid w:val="00552F29"/>
    <w:rsid w:val="00553AFC"/>
    <w:rsid w:val="0055406E"/>
    <w:rsid w:val="00554170"/>
    <w:rsid w:val="0055579A"/>
    <w:rsid w:val="005566B8"/>
    <w:rsid w:val="00557B26"/>
    <w:rsid w:val="00562733"/>
    <w:rsid w:val="00563BCD"/>
    <w:rsid w:val="00563CCC"/>
    <w:rsid w:val="00563ED5"/>
    <w:rsid w:val="0056499F"/>
    <w:rsid w:val="00566797"/>
    <w:rsid w:val="00567AFD"/>
    <w:rsid w:val="00567B74"/>
    <w:rsid w:val="0057235E"/>
    <w:rsid w:val="00572E85"/>
    <w:rsid w:val="00575259"/>
    <w:rsid w:val="005817ED"/>
    <w:rsid w:val="005828F2"/>
    <w:rsid w:val="00583536"/>
    <w:rsid w:val="00584287"/>
    <w:rsid w:val="005852FE"/>
    <w:rsid w:val="00587271"/>
    <w:rsid w:val="005876D8"/>
    <w:rsid w:val="00587B1F"/>
    <w:rsid w:val="00592D17"/>
    <w:rsid w:val="00592D81"/>
    <w:rsid w:val="005963FF"/>
    <w:rsid w:val="00596C72"/>
    <w:rsid w:val="005A091B"/>
    <w:rsid w:val="005A107E"/>
    <w:rsid w:val="005A2DD4"/>
    <w:rsid w:val="005A2E3F"/>
    <w:rsid w:val="005A3237"/>
    <w:rsid w:val="005A7275"/>
    <w:rsid w:val="005B2E70"/>
    <w:rsid w:val="005B397A"/>
    <w:rsid w:val="005B5896"/>
    <w:rsid w:val="005B6026"/>
    <w:rsid w:val="005B6B6B"/>
    <w:rsid w:val="005C1098"/>
    <w:rsid w:val="005C286C"/>
    <w:rsid w:val="005C52DB"/>
    <w:rsid w:val="005D43D9"/>
    <w:rsid w:val="005D4597"/>
    <w:rsid w:val="005D5BF6"/>
    <w:rsid w:val="005D6906"/>
    <w:rsid w:val="005D7CE1"/>
    <w:rsid w:val="005E140F"/>
    <w:rsid w:val="005E1551"/>
    <w:rsid w:val="005E2BA9"/>
    <w:rsid w:val="005F1041"/>
    <w:rsid w:val="005F5769"/>
    <w:rsid w:val="005F76BE"/>
    <w:rsid w:val="005F7951"/>
    <w:rsid w:val="00602629"/>
    <w:rsid w:val="00604601"/>
    <w:rsid w:val="00604A1A"/>
    <w:rsid w:val="006068BD"/>
    <w:rsid w:val="00607278"/>
    <w:rsid w:val="0061033A"/>
    <w:rsid w:val="00611FA0"/>
    <w:rsid w:val="006133F0"/>
    <w:rsid w:val="006158AC"/>
    <w:rsid w:val="00616733"/>
    <w:rsid w:val="00621084"/>
    <w:rsid w:val="00621AEC"/>
    <w:rsid w:val="006263CA"/>
    <w:rsid w:val="006267D2"/>
    <w:rsid w:val="0062691B"/>
    <w:rsid w:val="00626D3C"/>
    <w:rsid w:val="00627E05"/>
    <w:rsid w:val="00627E69"/>
    <w:rsid w:val="00630BCC"/>
    <w:rsid w:val="006314FD"/>
    <w:rsid w:val="0063470E"/>
    <w:rsid w:val="00634D56"/>
    <w:rsid w:val="00635690"/>
    <w:rsid w:val="006373B0"/>
    <w:rsid w:val="00637514"/>
    <w:rsid w:val="006376FE"/>
    <w:rsid w:val="00637A4D"/>
    <w:rsid w:val="00640004"/>
    <w:rsid w:val="00643DF2"/>
    <w:rsid w:val="006460C9"/>
    <w:rsid w:val="006505B7"/>
    <w:rsid w:val="00652E1C"/>
    <w:rsid w:val="006530D5"/>
    <w:rsid w:val="006536AA"/>
    <w:rsid w:val="00653867"/>
    <w:rsid w:val="00654603"/>
    <w:rsid w:val="006556C2"/>
    <w:rsid w:val="00656284"/>
    <w:rsid w:val="00656563"/>
    <w:rsid w:val="00656F91"/>
    <w:rsid w:val="006578D4"/>
    <w:rsid w:val="00663DBB"/>
    <w:rsid w:val="00665F16"/>
    <w:rsid w:val="00666175"/>
    <w:rsid w:val="00667303"/>
    <w:rsid w:val="006676F3"/>
    <w:rsid w:val="00667FDD"/>
    <w:rsid w:val="0067033E"/>
    <w:rsid w:val="0067204A"/>
    <w:rsid w:val="0067213A"/>
    <w:rsid w:val="00672AB8"/>
    <w:rsid w:val="00672ECE"/>
    <w:rsid w:val="0067315C"/>
    <w:rsid w:val="00675E0E"/>
    <w:rsid w:val="0067798F"/>
    <w:rsid w:val="0068056D"/>
    <w:rsid w:val="00681F65"/>
    <w:rsid w:val="00682075"/>
    <w:rsid w:val="00682896"/>
    <w:rsid w:val="0068481D"/>
    <w:rsid w:val="00685CB6"/>
    <w:rsid w:val="00686B0A"/>
    <w:rsid w:val="00686F71"/>
    <w:rsid w:val="00695DE4"/>
    <w:rsid w:val="0069647C"/>
    <w:rsid w:val="0069769E"/>
    <w:rsid w:val="00697AD2"/>
    <w:rsid w:val="006A08C6"/>
    <w:rsid w:val="006A08E2"/>
    <w:rsid w:val="006A1A92"/>
    <w:rsid w:val="006A4AA0"/>
    <w:rsid w:val="006A5534"/>
    <w:rsid w:val="006A5AF3"/>
    <w:rsid w:val="006A6036"/>
    <w:rsid w:val="006A6438"/>
    <w:rsid w:val="006B1C91"/>
    <w:rsid w:val="006B4B76"/>
    <w:rsid w:val="006B513F"/>
    <w:rsid w:val="006B5434"/>
    <w:rsid w:val="006B60FD"/>
    <w:rsid w:val="006B6255"/>
    <w:rsid w:val="006B63AE"/>
    <w:rsid w:val="006B69C6"/>
    <w:rsid w:val="006B709B"/>
    <w:rsid w:val="006C02B7"/>
    <w:rsid w:val="006C0B85"/>
    <w:rsid w:val="006C2505"/>
    <w:rsid w:val="006C34E2"/>
    <w:rsid w:val="006C6B8C"/>
    <w:rsid w:val="006D0B8B"/>
    <w:rsid w:val="006D0E9C"/>
    <w:rsid w:val="006D1485"/>
    <w:rsid w:val="006D17E2"/>
    <w:rsid w:val="006D4BD2"/>
    <w:rsid w:val="006D7379"/>
    <w:rsid w:val="006E0AEF"/>
    <w:rsid w:val="006E1315"/>
    <w:rsid w:val="006E153D"/>
    <w:rsid w:val="006E2B4D"/>
    <w:rsid w:val="006E35B6"/>
    <w:rsid w:val="006E5C4A"/>
    <w:rsid w:val="006E5E35"/>
    <w:rsid w:val="006F014E"/>
    <w:rsid w:val="006F0DD5"/>
    <w:rsid w:val="006F260A"/>
    <w:rsid w:val="006F26FF"/>
    <w:rsid w:val="006F3F69"/>
    <w:rsid w:val="006F6B88"/>
    <w:rsid w:val="006F75D4"/>
    <w:rsid w:val="007008A5"/>
    <w:rsid w:val="00702116"/>
    <w:rsid w:val="007024A0"/>
    <w:rsid w:val="00704478"/>
    <w:rsid w:val="0070698D"/>
    <w:rsid w:val="00707DD5"/>
    <w:rsid w:val="00712806"/>
    <w:rsid w:val="007167F5"/>
    <w:rsid w:val="00721416"/>
    <w:rsid w:val="00721EFE"/>
    <w:rsid w:val="007241E2"/>
    <w:rsid w:val="007263C0"/>
    <w:rsid w:val="0073096F"/>
    <w:rsid w:val="00731F66"/>
    <w:rsid w:val="00732D05"/>
    <w:rsid w:val="007337BF"/>
    <w:rsid w:val="007351C0"/>
    <w:rsid w:val="007364F3"/>
    <w:rsid w:val="00737B7E"/>
    <w:rsid w:val="007402F7"/>
    <w:rsid w:val="00740F73"/>
    <w:rsid w:val="007421ED"/>
    <w:rsid w:val="0074222B"/>
    <w:rsid w:val="0074711D"/>
    <w:rsid w:val="007508C8"/>
    <w:rsid w:val="00751191"/>
    <w:rsid w:val="007540D1"/>
    <w:rsid w:val="00756107"/>
    <w:rsid w:val="00763DD1"/>
    <w:rsid w:val="00765306"/>
    <w:rsid w:val="00766579"/>
    <w:rsid w:val="00766B6D"/>
    <w:rsid w:val="00766D3A"/>
    <w:rsid w:val="00772925"/>
    <w:rsid w:val="00774206"/>
    <w:rsid w:val="00774C97"/>
    <w:rsid w:val="00776A6B"/>
    <w:rsid w:val="007778D5"/>
    <w:rsid w:val="00781DC1"/>
    <w:rsid w:val="00783940"/>
    <w:rsid w:val="007847B6"/>
    <w:rsid w:val="00790EFE"/>
    <w:rsid w:val="007916BC"/>
    <w:rsid w:val="007923F8"/>
    <w:rsid w:val="007953F2"/>
    <w:rsid w:val="00796EBF"/>
    <w:rsid w:val="007A36A3"/>
    <w:rsid w:val="007A387A"/>
    <w:rsid w:val="007A440A"/>
    <w:rsid w:val="007B4AD0"/>
    <w:rsid w:val="007C02AA"/>
    <w:rsid w:val="007C197B"/>
    <w:rsid w:val="007C6097"/>
    <w:rsid w:val="007C6C56"/>
    <w:rsid w:val="007D02CC"/>
    <w:rsid w:val="007D0DE1"/>
    <w:rsid w:val="007D16FB"/>
    <w:rsid w:val="007D2116"/>
    <w:rsid w:val="007D295E"/>
    <w:rsid w:val="007D441E"/>
    <w:rsid w:val="007D45D0"/>
    <w:rsid w:val="007E2621"/>
    <w:rsid w:val="007E52D3"/>
    <w:rsid w:val="007E5631"/>
    <w:rsid w:val="007E675B"/>
    <w:rsid w:val="007E7065"/>
    <w:rsid w:val="007F3A85"/>
    <w:rsid w:val="007F4BF9"/>
    <w:rsid w:val="007F6E05"/>
    <w:rsid w:val="00800D2D"/>
    <w:rsid w:val="00802E66"/>
    <w:rsid w:val="00804D04"/>
    <w:rsid w:val="00805FC9"/>
    <w:rsid w:val="00806464"/>
    <w:rsid w:val="00806760"/>
    <w:rsid w:val="00806C46"/>
    <w:rsid w:val="00815B17"/>
    <w:rsid w:val="00823891"/>
    <w:rsid w:val="008239F3"/>
    <w:rsid w:val="00825118"/>
    <w:rsid w:val="008254BF"/>
    <w:rsid w:val="0082569A"/>
    <w:rsid w:val="0082657F"/>
    <w:rsid w:val="0082799D"/>
    <w:rsid w:val="008332FE"/>
    <w:rsid w:val="008340B5"/>
    <w:rsid w:val="00834578"/>
    <w:rsid w:val="00834E28"/>
    <w:rsid w:val="00836CE8"/>
    <w:rsid w:val="00837841"/>
    <w:rsid w:val="008420BC"/>
    <w:rsid w:val="00842FE9"/>
    <w:rsid w:val="00843C0C"/>
    <w:rsid w:val="00844005"/>
    <w:rsid w:val="00844798"/>
    <w:rsid w:val="00844C30"/>
    <w:rsid w:val="00844DA6"/>
    <w:rsid w:val="008453C8"/>
    <w:rsid w:val="00846AE1"/>
    <w:rsid w:val="00851D15"/>
    <w:rsid w:val="00854C42"/>
    <w:rsid w:val="00860916"/>
    <w:rsid w:val="008609BC"/>
    <w:rsid w:val="00860A6E"/>
    <w:rsid w:val="008631C8"/>
    <w:rsid w:val="00864137"/>
    <w:rsid w:val="0086617B"/>
    <w:rsid w:val="008672CF"/>
    <w:rsid w:val="00867F03"/>
    <w:rsid w:val="008707B7"/>
    <w:rsid w:val="008708CE"/>
    <w:rsid w:val="00870AF4"/>
    <w:rsid w:val="00882ABA"/>
    <w:rsid w:val="00883641"/>
    <w:rsid w:val="00883967"/>
    <w:rsid w:val="0088551C"/>
    <w:rsid w:val="00886BD5"/>
    <w:rsid w:val="00886F33"/>
    <w:rsid w:val="00887669"/>
    <w:rsid w:val="0088774C"/>
    <w:rsid w:val="00890E18"/>
    <w:rsid w:val="0089290B"/>
    <w:rsid w:val="00892CB8"/>
    <w:rsid w:val="00893666"/>
    <w:rsid w:val="00893B2A"/>
    <w:rsid w:val="00893D79"/>
    <w:rsid w:val="00895E09"/>
    <w:rsid w:val="00897626"/>
    <w:rsid w:val="008A08D2"/>
    <w:rsid w:val="008A10D6"/>
    <w:rsid w:val="008A14B1"/>
    <w:rsid w:val="008A38F7"/>
    <w:rsid w:val="008A4A6D"/>
    <w:rsid w:val="008A753C"/>
    <w:rsid w:val="008B3F5A"/>
    <w:rsid w:val="008B4A8A"/>
    <w:rsid w:val="008B599A"/>
    <w:rsid w:val="008C20E6"/>
    <w:rsid w:val="008C3104"/>
    <w:rsid w:val="008C325F"/>
    <w:rsid w:val="008C43D4"/>
    <w:rsid w:val="008C4B85"/>
    <w:rsid w:val="008C4FCD"/>
    <w:rsid w:val="008C686F"/>
    <w:rsid w:val="008C6C72"/>
    <w:rsid w:val="008C7AF6"/>
    <w:rsid w:val="008D02A0"/>
    <w:rsid w:val="008D6FCF"/>
    <w:rsid w:val="008D7CF8"/>
    <w:rsid w:val="008E1DBE"/>
    <w:rsid w:val="008E565F"/>
    <w:rsid w:val="008E5D64"/>
    <w:rsid w:val="008E5F91"/>
    <w:rsid w:val="008E6895"/>
    <w:rsid w:val="008E7663"/>
    <w:rsid w:val="008F0E97"/>
    <w:rsid w:val="008F7B65"/>
    <w:rsid w:val="00900B6C"/>
    <w:rsid w:val="00904AB0"/>
    <w:rsid w:val="00912959"/>
    <w:rsid w:val="009150BE"/>
    <w:rsid w:val="00916506"/>
    <w:rsid w:val="0091695A"/>
    <w:rsid w:val="00922E7A"/>
    <w:rsid w:val="00930EF5"/>
    <w:rsid w:val="00933ED2"/>
    <w:rsid w:val="00935883"/>
    <w:rsid w:val="0093721B"/>
    <w:rsid w:val="00937461"/>
    <w:rsid w:val="009379DC"/>
    <w:rsid w:val="00937FD1"/>
    <w:rsid w:val="009409E3"/>
    <w:rsid w:val="009410C3"/>
    <w:rsid w:val="00946E44"/>
    <w:rsid w:val="009500D3"/>
    <w:rsid w:val="00950943"/>
    <w:rsid w:val="00951C44"/>
    <w:rsid w:val="0095238D"/>
    <w:rsid w:val="00952837"/>
    <w:rsid w:val="00955BFD"/>
    <w:rsid w:val="00956C3F"/>
    <w:rsid w:val="00956F46"/>
    <w:rsid w:val="00963EF7"/>
    <w:rsid w:val="00965340"/>
    <w:rsid w:val="009653F4"/>
    <w:rsid w:val="00967739"/>
    <w:rsid w:val="00967E12"/>
    <w:rsid w:val="00971E43"/>
    <w:rsid w:val="00981327"/>
    <w:rsid w:val="0098151B"/>
    <w:rsid w:val="0098160A"/>
    <w:rsid w:val="00983874"/>
    <w:rsid w:val="00984152"/>
    <w:rsid w:val="0098758E"/>
    <w:rsid w:val="00992B5C"/>
    <w:rsid w:val="00994F55"/>
    <w:rsid w:val="00996C26"/>
    <w:rsid w:val="009A4D39"/>
    <w:rsid w:val="009A4E70"/>
    <w:rsid w:val="009A5814"/>
    <w:rsid w:val="009B1C87"/>
    <w:rsid w:val="009B3AA6"/>
    <w:rsid w:val="009B4D93"/>
    <w:rsid w:val="009B4DE6"/>
    <w:rsid w:val="009B4E76"/>
    <w:rsid w:val="009B6148"/>
    <w:rsid w:val="009B7567"/>
    <w:rsid w:val="009C0BDE"/>
    <w:rsid w:val="009C0D98"/>
    <w:rsid w:val="009C6562"/>
    <w:rsid w:val="009C668C"/>
    <w:rsid w:val="009C6F9F"/>
    <w:rsid w:val="009C7B29"/>
    <w:rsid w:val="009D127B"/>
    <w:rsid w:val="009D2EBC"/>
    <w:rsid w:val="009D5266"/>
    <w:rsid w:val="009D74E6"/>
    <w:rsid w:val="009E00ED"/>
    <w:rsid w:val="009E2C9D"/>
    <w:rsid w:val="009E4A20"/>
    <w:rsid w:val="009F0898"/>
    <w:rsid w:val="009F6A52"/>
    <w:rsid w:val="00A02B47"/>
    <w:rsid w:val="00A03B5D"/>
    <w:rsid w:val="00A05A9E"/>
    <w:rsid w:val="00A06437"/>
    <w:rsid w:val="00A131B9"/>
    <w:rsid w:val="00A132DF"/>
    <w:rsid w:val="00A148C4"/>
    <w:rsid w:val="00A15DE7"/>
    <w:rsid w:val="00A21E98"/>
    <w:rsid w:val="00A25008"/>
    <w:rsid w:val="00A25F9D"/>
    <w:rsid w:val="00A26A71"/>
    <w:rsid w:val="00A30D45"/>
    <w:rsid w:val="00A32B13"/>
    <w:rsid w:val="00A32CE8"/>
    <w:rsid w:val="00A36B13"/>
    <w:rsid w:val="00A36FEC"/>
    <w:rsid w:val="00A37680"/>
    <w:rsid w:val="00A40065"/>
    <w:rsid w:val="00A414D9"/>
    <w:rsid w:val="00A44B4F"/>
    <w:rsid w:val="00A44EAC"/>
    <w:rsid w:val="00A52832"/>
    <w:rsid w:val="00A55F15"/>
    <w:rsid w:val="00A57087"/>
    <w:rsid w:val="00A57CE5"/>
    <w:rsid w:val="00A60625"/>
    <w:rsid w:val="00A6164D"/>
    <w:rsid w:val="00A62620"/>
    <w:rsid w:val="00A63DC3"/>
    <w:rsid w:val="00A65063"/>
    <w:rsid w:val="00A656D9"/>
    <w:rsid w:val="00A710FC"/>
    <w:rsid w:val="00A74018"/>
    <w:rsid w:val="00A744E1"/>
    <w:rsid w:val="00A7587E"/>
    <w:rsid w:val="00A758EA"/>
    <w:rsid w:val="00A81B69"/>
    <w:rsid w:val="00A82744"/>
    <w:rsid w:val="00A827B3"/>
    <w:rsid w:val="00A84017"/>
    <w:rsid w:val="00A847EC"/>
    <w:rsid w:val="00A85277"/>
    <w:rsid w:val="00A86726"/>
    <w:rsid w:val="00A86E34"/>
    <w:rsid w:val="00A871DB"/>
    <w:rsid w:val="00A872D3"/>
    <w:rsid w:val="00A92DCB"/>
    <w:rsid w:val="00A9331A"/>
    <w:rsid w:val="00A949EF"/>
    <w:rsid w:val="00A95566"/>
    <w:rsid w:val="00A96171"/>
    <w:rsid w:val="00A970DB"/>
    <w:rsid w:val="00A97D43"/>
    <w:rsid w:val="00AA012D"/>
    <w:rsid w:val="00AA28E6"/>
    <w:rsid w:val="00AA29D2"/>
    <w:rsid w:val="00AA4B4C"/>
    <w:rsid w:val="00AA6073"/>
    <w:rsid w:val="00AA62BE"/>
    <w:rsid w:val="00AA64C6"/>
    <w:rsid w:val="00AB3579"/>
    <w:rsid w:val="00AB39D2"/>
    <w:rsid w:val="00AB5925"/>
    <w:rsid w:val="00AB7D62"/>
    <w:rsid w:val="00AC0383"/>
    <w:rsid w:val="00AC1315"/>
    <w:rsid w:val="00AC2271"/>
    <w:rsid w:val="00AC2D3B"/>
    <w:rsid w:val="00AC373E"/>
    <w:rsid w:val="00AC3EFA"/>
    <w:rsid w:val="00AC3FBC"/>
    <w:rsid w:val="00AC46F9"/>
    <w:rsid w:val="00AC6C17"/>
    <w:rsid w:val="00AD0BE9"/>
    <w:rsid w:val="00AD3475"/>
    <w:rsid w:val="00AD3ED3"/>
    <w:rsid w:val="00AE4128"/>
    <w:rsid w:val="00AE5E65"/>
    <w:rsid w:val="00AE6150"/>
    <w:rsid w:val="00AF26F2"/>
    <w:rsid w:val="00AF28C3"/>
    <w:rsid w:val="00B042DF"/>
    <w:rsid w:val="00B052FF"/>
    <w:rsid w:val="00B06036"/>
    <w:rsid w:val="00B0621C"/>
    <w:rsid w:val="00B07817"/>
    <w:rsid w:val="00B07E47"/>
    <w:rsid w:val="00B15FFA"/>
    <w:rsid w:val="00B16133"/>
    <w:rsid w:val="00B16B51"/>
    <w:rsid w:val="00B1743E"/>
    <w:rsid w:val="00B210C6"/>
    <w:rsid w:val="00B2323A"/>
    <w:rsid w:val="00B23C80"/>
    <w:rsid w:val="00B23E80"/>
    <w:rsid w:val="00B24F57"/>
    <w:rsid w:val="00B2581B"/>
    <w:rsid w:val="00B300C7"/>
    <w:rsid w:val="00B304A1"/>
    <w:rsid w:val="00B34AE0"/>
    <w:rsid w:val="00B37AE7"/>
    <w:rsid w:val="00B416D7"/>
    <w:rsid w:val="00B447AB"/>
    <w:rsid w:val="00B452F1"/>
    <w:rsid w:val="00B47EA4"/>
    <w:rsid w:val="00B50F4B"/>
    <w:rsid w:val="00B5252A"/>
    <w:rsid w:val="00B546E2"/>
    <w:rsid w:val="00B566E7"/>
    <w:rsid w:val="00B57BA1"/>
    <w:rsid w:val="00B609C5"/>
    <w:rsid w:val="00B63AD4"/>
    <w:rsid w:val="00B651F0"/>
    <w:rsid w:val="00B7038F"/>
    <w:rsid w:val="00B70A3A"/>
    <w:rsid w:val="00B721DB"/>
    <w:rsid w:val="00B72279"/>
    <w:rsid w:val="00B72847"/>
    <w:rsid w:val="00B72E7D"/>
    <w:rsid w:val="00B73954"/>
    <w:rsid w:val="00B7625E"/>
    <w:rsid w:val="00B77074"/>
    <w:rsid w:val="00B77328"/>
    <w:rsid w:val="00B77F09"/>
    <w:rsid w:val="00B8282F"/>
    <w:rsid w:val="00B85F61"/>
    <w:rsid w:val="00B86AE5"/>
    <w:rsid w:val="00B879B2"/>
    <w:rsid w:val="00B90AA6"/>
    <w:rsid w:val="00B933E3"/>
    <w:rsid w:val="00B94E41"/>
    <w:rsid w:val="00B94EDC"/>
    <w:rsid w:val="00B96BDE"/>
    <w:rsid w:val="00B96FC7"/>
    <w:rsid w:val="00BA4C51"/>
    <w:rsid w:val="00BA7DDB"/>
    <w:rsid w:val="00BB03BB"/>
    <w:rsid w:val="00BB2C3C"/>
    <w:rsid w:val="00BB2D2E"/>
    <w:rsid w:val="00BB4540"/>
    <w:rsid w:val="00BC1631"/>
    <w:rsid w:val="00BC2440"/>
    <w:rsid w:val="00BC6F1D"/>
    <w:rsid w:val="00BC6F50"/>
    <w:rsid w:val="00BC7FBD"/>
    <w:rsid w:val="00BD0274"/>
    <w:rsid w:val="00BD0455"/>
    <w:rsid w:val="00BD12ED"/>
    <w:rsid w:val="00BD1659"/>
    <w:rsid w:val="00BD1A82"/>
    <w:rsid w:val="00BD4246"/>
    <w:rsid w:val="00BD45B5"/>
    <w:rsid w:val="00BD54AD"/>
    <w:rsid w:val="00BD63F3"/>
    <w:rsid w:val="00BD7500"/>
    <w:rsid w:val="00BE39BE"/>
    <w:rsid w:val="00BE465B"/>
    <w:rsid w:val="00BE4B36"/>
    <w:rsid w:val="00BF04EA"/>
    <w:rsid w:val="00BF2814"/>
    <w:rsid w:val="00BF357D"/>
    <w:rsid w:val="00BF374B"/>
    <w:rsid w:val="00BF39A1"/>
    <w:rsid w:val="00BF4827"/>
    <w:rsid w:val="00BF58F9"/>
    <w:rsid w:val="00BF5C8D"/>
    <w:rsid w:val="00BF750B"/>
    <w:rsid w:val="00BF7939"/>
    <w:rsid w:val="00C00D57"/>
    <w:rsid w:val="00C0609E"/>
    <w:rsid w:val="00C0628C"/>
    <w:rsid w:val="00C07161"/>
    <w:rsid w:val="00C07ABD"/>
    <w:rsid w:val="00C10153"/>
    <w:rsid w:val="00C113A7"/>
    <w:rsid w:val="00C159B0"/>
    <w:rsid w:val="00C15E4F"/>
    <w:rsid w:val="00C16E2E"/>
    <w:rsid w:val="00C17E69"/>
    <w:rsid w:val="00C218F2"/>
    <w:rsid w:val="00C228AA"/>
    <w:rsid w:val="00C25295"/>
    <w:rsid w:val="00C259CF"/>
    <w:rsid w:val="00C304E1"/>
    <w:rsid w:val="00C30856"/>
    <w:rsid w:val="00C31206"/>
    <w:rsid w:val="00C325AF"/>
    <w:rsid w:val="00C329F6"/>
    <w:rsid w:val="00C334B9"/>
    <w:rsid w:val="00C3574B"/>
    <w:rsid w:val="00C36BEF"/>
    <w:rsid w:val="00C40BB4"/>
    <w:rsid w:val="00C43735"/>
    <w:rsid w:val="00C44B17"/>
    <w:rsid w:val="00C46775"/>
    <w:rsid w:val="00C478D9"/>
    <w:rsid w:val="00C478FF"/>
    <w:rsid w:val="00C4795E"/>
    <w:rsid w:val="00C47970"/>
    <w:rsid w:val="00C50AA9"/>
    <w:rsid w:val="00C50FA3"/>
    <w:rsid w:val="00C51613"/>
    <w:rsid w:val="00C52093"/>
    <w:rsid w:val="00C52322"/>
    <w:rsid w:val="00C53269"/>
    <w:rsid w:val="00C5621C"/>
    <w:rsid w:val="00C63259"/>
    <w:rsid w:val="00C645A3"/>
    <w:rsid w:val="00C64EA8"/>
    <w:rsid w:val="00C66A57"/>
    <w:rsid w:val="00C66F5F"/>
    <w:rsid w:val="00C70B30"/>
    <w:rsid w:val="00C71C8F"/>
    <w:rsid w:val="00C755E4"/>
    <w:rsid w:val="00C75C4F"/>
    <w:rsid w:val="00C76648"/>
    <w:rsid w:val="00C77751"/>
    <w:rsid w:val="00C77B46"/>
    <w:rsid w:val="00C81BAF"/>
    <w:rsid w:val="00C82002"/>
    <w:rsid w:val="00C820EE"/>
    <w:rsid w:val="00C822D5"/>
    <w:rsid w:val="00C82D60"/>
    <w:rsid w:val="00C832B4"/>
    <w:rsid w:val="00C86415"/>
    <w:rsid w:val="00C872C7"/>
    <w:rsid w:val="00C9138F"/>
    <w:rsid w:val="00C914CC"/>
    <w:rsid w:val="00C962AE"/>
    <w:rsid w:val="00C9664B"/>
    <w:rsid w:val="00CA003D"/>
    <w:rsid w:val="00CA0787"/>
    <w:rsid w:val="00CA3375"/>
    <w:rsid w:val="00CA7634"/>
    <w:rsid w:val="00CA764D"/>
    <w:rsid w:val="00CB1553"/>
    <w:rsid w:val="00CB4394"/>
    <w:rsid w:val="00CB4C5B"/>
    <w:rsid w:val="00CB4D2D"/>
    <w:rsid w:val="00CC037F"/>
    <w:rsid w:val="00CC0DB3"/>
    <w:rsid w:val="00CC0E79"/>
    <w:rsid w:val="00CC10C4"/>
    <w:rsid w:val="00CC2061"/>
    <w:rsid w:val="00CC265C"/>
    <w:rsid w:val="00CC4D2C"/>
    <w:rsid w:val="00CC6E40"/>
    <w:rsid w:val="00CD2C10"/>
    <w:rsid w:val="00CD322B"/>
    <w:rsid w:val="00CD4699"/>
    <w:rsid w:val="00CD6640"/>
    <w:rsid w:val="00CE0239"/>
    <w:rsid w:val="00CE1289"/>
    <w:rsid w:val="00CE42B1"/>
    <w:rsid w:val="00CE78A2"/>
    <w:rsid w:val="00CE7DC5"/>
    <w:rsid w:val="00CF0F34"/>
    <w:rsid w:val="00CF132C"/>
    <w:rsid w:val="00CF1FF8"/>
    <w:rsid w:val="00CF364E"/>
    <w:rsid w:val="00CF36DD"/>
    <w:rsid w:val="00CF3946"/>
    <w:rsid w:val="00CF55A5"/>
    <w:rsid w:val="00CF5729"/>
    <w:rsid w:val="00CF712A"/>
    <w:rsid w:val="00CF75A0"/>
    <w:rsid w:val="00D0405D"/>
    <w:rsid w:val="00D04F3C"/>
    <w:rsid w:val="00D06ADF"/>
    <w:rsid w:val="00D06B95"/>
    <w:rsid w:val="00D11D78"/>
    <w:rsid w:val="00D1295A"/>
    <w:rsid w:val="00D13375"/>
    <w:rsid w:val="00D1374B"/>
    <w:rsid w:val="00D14C36"/>
    <w:rsid w:val="00D15205"/>
    <w:rsid w:val="00D16177"/>
    <w:rsid w:val="00D1620A"/>
    <w:rsid w:val="00D21617"/>
    <w:rsid w:val="00D26433"/>
    <w:rsid w:val="00D26C04"/>
    <w:rsid w:val="00D3119C"/>
    <w:rsid w:val="00D31F77"/>
    <w:rsid w:val="00D330DF"/>
    <w:rsid w:val="00D35B69"/>
    <w:rsid w:val="00D36669"/>
    <w:rsid w:val="00D408EE"/>
    <w:rsid w:val="00D40A54"/>
    <w:rsid w:val="00D41A3C"/>
    <w:rsid w:val="00D46AC2"/>
    <w:rsid w:val="00D500C1"/>
    <w:rsid w:val="00D50D6B"/>
    <w:rsid w:val="00D526DB"/>
    <w:rsid w:val="00D52850"/>
    <w:rsid w:val="00D578AC"/>
    <w:rsid w:val="00D60ADC"/>
    <w:rsid w:val="00D639B7"/>
    <w:rsid w:val="00D65CE7"/>
    <w:rsid w:val="00D70D8C"/>
    <w:rsid w:val="00D71DB7"/>
    <w:rsid w:val="00D722E6"/>
    <w:rsid w:val="00D734A7"/>
    <w:rsid w:val="00D741F9"/>
    <w:rsid w:val="00D74B94"/>
    <w:rsid w:val="00D8159A"/>
    <w:rsid w:val="00D82F3A"/>
    <w:rsid w:val="00D832CE"/>
    <w:rsid w:val="00D84E76"/>
    <w:rsid w:val="00D86344"/>
    <w:rsid w:val="00D86A05"/>
    <w:rsid w:val="00D874EA"/>
    <w:rsid w:val="00D87DB1"/>
    <w:rsid w:val="00D91DAD"/>
    <w:rsid w:val="00D94539"/>
    <w:rsid w:val="00D963AA"/>
    <w:rsid w:val="00D9719B"/>
    <w:rsid w:val="00DA0D82"/>
    <w:rsid w:val="00DA28D9"/>
    <w:rsid w:val="00DA3A7B"/>
    <w:rsid w:val="00DA4855"/>
    <w:rsid w:val="00DA4D34"/>
    <w:rsid w:val="00DA62EF"/>
    <w:rsid w:val="00DA6B07"/>
    <w:rsid w:val="00DB0614"/>
    <w:rsid w:val="00DB322A"/>
    <w:rsid w:val="00DB453E"/>
    <w:rsid w:val="00DB5FB8"/>
    <w:rsid w:val="00DB745E"/>
    <w:rsid w:val="00DC165E"/>
    <w:rsid w:val="00DC3494"/>
    <w:rsid w:val="00DC37D4"/>
    <w:rsid w:val="00DC4DC2"/>
    <w:rsid w:val="00DC6597"/>
    <w:rsid w:val="00DC661F"/>
    <w:rsid w:val="00DC6C08"/>
    <w:rsid w:val="00DD7982"/>
    <w:rsid w:val="00DE1482"/>
    <w:rsid w:val="00DE1DF0"/>
    <w:rsid w:val="00DE4B53"/>
    <w:rsid w:val="00DE6319"/>
    <w:rsid w:val="00DE7BFE"/>
    <w:rsid w:val="00DF38AA"/>
    <w:rsid w:val="00DF73D1"/>
    <w:rsid w:val="00E01776"/>
    <w:rsid w:val="00E02E0F"/>
    <w:rsid w:val="00E03BD4"/>
    <w:rsid w:val="00E04FEB"/>
    <w:rsid w:val="00E06718"/>
    <w:rsid w:val="00E0719E"/>
    <w:rsid w:val="00E10C8C"/>
    <w:rsid w:val="00E11007"/>
    <w:rsid w:val="00E1122D"/>
    <w:rsid w:val="00E13BAB"/>
    <w:rsid w:val="00E15089"/>
    <w:rsid w:val="00E15D37"/>
    <w:rsid w:val="00E16E9F"/>
    <w:rsid w:val="00E16FB1"/>
    <w:rsid w:val="00E209C0"/>
    <w:rsid w:val="00E20D01"/>
    <w:rsid w:val="00E22B6F"/>
    <w:rsid w:val="00E26152"/>
    <w:rsid w:val="00E26B0F"/>
    <w:rsid w:val="00E26FC7"/>
    <w:rsid w:val="00E27844"/>
    <w:rsid w:val="00E31563"/>
    <w:rsid w:val="00E3447F"/>
    <w:rsid w:val="00E34898"/>
    <w:rsid w:val="00E400B8"/>
    <w:rsid w:val="00E41AB7"/>
    <w:rsid w:val="00E41AD7"/>
    <w:rsid w:val="00E4550F"/>
    <w:rsid w:val="00E52C35"/>
    <w:rsid w:val="00E52C95"/>
    <w:rsid w:val="00E54521"/>
    <w:rsid w:val="00E55350"/>
    <w:rsid w:val="00E56B6C"/>
    <w:rsid w:val="00E57140"/>
    <w:rsid w:val="00E606AC"/>
    <w:rsid w:val="00E64FEC"/>
    <w:rsid w:val="00E74B45"/>
    <w:rsid w:val="00E80172"/>
    <w:rsid w:val="00E8186F"/>
    <w:rsid w:val="00E81E11"/>
    <w:rsid w:val="00E82497"/>
    <w:rsid w:val="00E84006"/>
    <w:rsid w:val="00E8496F"/>
    <w:rsid w:val="00E85ABB"/>
    <w:rsid w:val="00E85DE0"/>
    <w:rsid w:val="00E86F7B"/>
    <w:rsid w:val="00E87265"/>
    <w:rsid w:val="00E874B6"/>
    <w:rsid w:val="00E91610"/>
    <w:rsid w:val="00E95826"/>
    <w:rsid w:val="00E96D87"/>
    <w:rsid w:val="00E9713B"/>
    <w:rsid w:val="00EA2B41"/>
    <w:rsid w:val="00EA2CD0"/>
    <w:rsid w:val="00EA33F5"/>
    <w:rsid w:val="00EA3918"/>
    <w:rsid w:val="00EA3B57"/>
    <w:rsid w:val="00EA6611"/>
    <w:rsid w:val="00EB1981"/>
    <w:rsid w:val="00EB1F77"/>
    <w:rsid w:val="00EB23AA"/>
    <w:rsid w:val="00EB376B"/>
    <w:rsid w:val="00EB56B0"/>
    <w:rsid w:val="00EB6379"/>
    <w:rsid w:val="00EB6832"/>
    <w:rsid w:val="00EB6C60"/>
    <w:rsid w:val="00EC022C"/>
    <w:rsid w:val="00EC2E78"/>
    <w:rsid w:val="00EC379E"/>
    <w:rsid w:val="00EC4280"/>
    <w:rsid w:val="00EC75DD"/>
    <w:rsid w:val="00EC7CF6"/>
    <w:rsid w:val="00ED22BE"/>
    <w:rsid w:val="00ED4CDD"/>
    <w:rsid w:val="00ED4FDF"/>
    <w:rsid w:val="00ED72B5"/>
    <w:rsid w:val="00EE15CC"/>
    <w:rsid w:val="00EE29B8"/>
    <w:rsid w:val="00EE45F7"/>
    <w:rsid w:val="00EE622D"/>
    <w:rsid w:val="00EF0952"/>
    <w:rsid w:val="00EF2414"/>
    <w:rsid w:val="00EF2CFB"/>
    <w:rsid w:val="00EF7567"/>
    <w:rsid w:val="00F01879"/>
    <w:rsid w:val="00F03187"/>
    <w:rsid w:val="00F04307"/>
    <w:rsid w:val="00F06358"/>
    <w:rsid w:val="00F07321"/>
    <w:rsid w:val="00F1316F"/>
    <w:rsid w:val="00F13BA1"/>
    <w:rsid w:val="00F1478E"/>
    <w:rsid w:val="00F14AF4"/>
    <w:rsid w:val="00F151EC"/>
    <w:rsid w:val="00F2025D"/>
    <w:rsid w:val="00F20A54"/>
    <w:rsid w:val="00F211BE"/>
    <w:rsid w:val="00F21A04"/>
    <w:rsid w:val="00F225C0"/>
    <w:rsid w:val="00F24BC7"/>
    <w:rsid w:val="00F27179"/>
    <w:rsid w:val="00F27445"/>
    <w:rsid w:val="00F32246"/>
    <w:rsid w:val="00F323CA"/>
    <w:rsid w:val="00F324BF"/>
    <w:rsid w:val="00F34012"/>
    <w:rsid w:val="00F3545B"/>
    <w:rsid w:val="00F3611A"/>
    <w:rsid w:val="00F36291"/>
    <w:rsid w:val="00F37EB3"/>
    <w:rsid w:val="00F37ED0"/>
    <w:rsid w:val="00F43236"/>
    <w:rsid w:val="00F432CD"/>
    <w:rsid w:val="00F44B74"/>
    <w:rsid w:val="00F4597F"/>
    <w:rsid w:val="00F45A3D"/>
    <w:rsid w:val="00F47A55"/>
    <w:rsid w:val="00F51BB5"/>
    <w:rsid w:val="00F603FF"/>
    <w:rsid w:val="00F611F9"/>
    <w:rsid w:val="00F632DC"/>
    <w:rsid w:val="00F65942"/>
    <w:rsid w:val="00F66BFA"/>
    <w:rsid w:val="00F73BC0"/>
    <w:rsid w:val="00F74456"/>
    <w:rsid w:val="00F746CF"/>
    <w:rsid w:val="00F75AB8"/>
    <w:rsid w:val="00F76024"/>
    <w:rsid w:val="00F769A1"/>
    <w:rsid w:val="00F77D44"/>
    <w:rsid w:val="00F81212"/>
    <w:rsid w:val="00F83FDA"/>
    <w:rsid w:val="00F84EE3"/>
    <w:rsid w:val="00F9033D"/>
    <w:rsid w:val="00F90C27"/>
    <w:rsid w:val="00F92BDF"/>
    <w:rsid w:val="00F92CD4"/>
    <w:rsid w:val="00F94B21"/>
    <w:rsid w:val="00F9573A"/>
    <w:rsid w:val="00F96B9C"/>
    <w:rsid w:val="00FA1873"/>
    <w:rsid w:val="00FA38D6"/>
    <w:rsid w:val="00FA5898"/>
    <w:rsid w:val="00FA6676"/>
    <w:rsid w:val="00FB0C98"/>
    <w:rsid w:val="00FB2802"/>
    <w:rsid w:val="00FB2885"/>
    <w:rsid w:val="00FB2F04"/>
    <w:rsid w:val="00FB3FA9"/>
    <w:rsid w:val="00FB45EA"/>
    <w:rsid w:val="00FB573C"/>
    <w:rsid w:val="00FB5B01"/>
    <w:rsid w:val="00FB6559"/>
    <w:rsid w:val="00FC0CD1"/>
    <w:rsid w:val="00FC1297"/>
    <w:rsid w:val="00FC1D8D"/>
    <w:rsid w:val="00FC25F6"/>
    <w:rsid w:val="00FC564E"/>
    <w:rsid w:val="00FC616E"/>
    <w:rsid w:val="00FD0FAE"/>
    <w:rsid w:val="00FD18FC"/>
    <w:rsid w:val="00FD2359"/>
    <w:rsid w:val="00FD3306"/>
    <w:rsid w:val="00FD40B2"/>
    <w:rsid w:val="00FD5243"/>
    <w:rsid w:val="00FE0B91"/>
    <w:rsid w:val="00FE0BD8"/>
    <w:rsid w:val="00FE38F4"/>
    <w:rsid w:val="00FE4CC9"/>
    <w:rsid w:val="00FE6204"/>
    <w:rsid w:val="00FF249F"/>
    <w:rsid w:val="00FF2BFE"/>
    <w:rsid w:val="00FF31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bc2c5"/>
    </o:shapedefaults>
    <o:shapelayout v:ext="edit">
      <o:idmap v:ext="edit" data="1"/>
    </o:shapelayout>
  </w:shapeDefaults>
  <w:decimalSymbol w:val="."/>
  <w:listSeparator w:val=","/>
  <w14:docId w14:val="0A32921A"/>
  <w15:docId w15:val="{E3199D42-C433-4E24-947B-ED45DAA0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7844"/>
    <w:pPr>
      <w:spacing w:after="240" w:line="360" w:lineRule="auto"/>
    </w:pPr>
    <w:rPr>
      <w:rFonts w:eastAsia="Times New Roman" w:cs="Times New Roman"/>
      <w:lang w:val="en-GB" w:eastAsia="en-GB"/>
    </w:rPr>
  </w:style>
  <w:style w:type="paragraph" w:styleId="Heading1">
    <w:name w:val="heading 1"/>
    <w:basedOn w:val="Normal"/>
    <w:next w:val="Normal"/>
    <w:link w:val="Heading1Char"/>
    <w:qFormat/>
    <w:rsid w:val="009C6562"/>
    <w:pPr>
      <w:keepNext/>
      <w:keepLines/>
      <w:spacing w:before="480"/>
      <w:outlineLvl w:val="0"/>
    </w:pPr>
    <w:rPr>
      <w:rFonts w:eastAsiaTheme="majorEastAsia" w:cstheme="majorBidi"/>
      <w:bCs/>
      <w:color w:val="365F91" w:themeColor="accent1" w:themeShade="BF"/>
      <w:sz w:val="36"/>
      <w:szCs w:val="28"/>
    </w:rPr>
  </w:style>
  <w:style w:type="paragraph" w:styleId="Heading2">
    <w:name w:val="heading 2"/>
    <w:basedOn w:val="Normal"/>
    <w:next w:val="Normal"/>
    <w:link w:val="Heading2Char"/>
    <w:unhideWhenUsed/>
    <w:qFormat/>
    <w:rsid w:val="00F47A55"/>
    <w:pPr>
      <w:keepNext/>
      <w:keepLines/>
      <w:spacing w:before="200"/>
      <w:outlineLvl w:val="1"/>
    </w:pPr>
    <w:rPr>
      <w:rFonts w:eastAsiaTheme="majorEastAsia" w:cstheme="majorBidi"/>
      <w:bCs/>
      <w:color w:val="4F81BD" w:themeColor="accent1"/>
      <w:sz w:val="28"/>
      <w:szCs w:val="26"/>
    </w:rPr>
  </w:style>
  <w:style w:type="paragraph" w:styleId="Heading3">
    <w:name w:val="heading 3"/>
    <w:basedOn w:val="Normal"/>
    <w:next w:val="Normal"/>
    <w:link w:val="Heading3Char"/>
    <w:unhideWhenUsed/>
    <w:qFormat/>
    <w:rsid w:val="00783940"/>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562"/>
    <w:rPr>
      <w:rFonts w:eastAsiaTheme="majorEastAsia" w:cstheme="majorBidi"/>
      <w:bCs/>
      <w:color w:val="365F91" w:themeColor="accent1" w:themeShade="BF"/>
      <w:sz w:val="36"/>
      <w:szCs w:val="28"/>
      <w:lang w:val="en-GB" w:eastAsia="en-GB"/>
    </w:rPr>
  </w:style>
  <w:style w:type="character" w:customStyle="1" w:styleId="Heading2Char">
    <w:name w:val="Heading 2 Char"/>
    <w:basedOn w:val="DefaultParagraphFont"/>
    <w:link w:val="Heading2"/>
    <w:rsid w:val="00F47A55"/>
    <w:rPr>
      <w:rFonts w:eastAsiaTheme="majorEastAsia" w:cstheme="majorBidi"/>
      <w:bCs/>
      <w:color w:val="4F81BD" w:themeColor="accent1"/>
      <w:sz w:val="28"/>
      <w:szCs w:val="26"/>
      <w:lang w:val="en-GB" w:eastAsia="en-GB"/>
    </w:rPr>
  </w:style>
  <w:style w:type="character" w:customStyle="1" w:styleId="Heading3Char">
    <w:name w:val="Heading 3 Char"/>
    <w:basedOn w:val="DefaultParagraphFont"/>
    <w:link w:val="Heading3"/>
    <w:rsid w:val="00783940"/>
    <w:rPr>
      <w:rFonts w:eastAsiaTheme="majorEastAsia" w:cstheme="majorBidi"/>
      <w:b/>
      <w:bCs/>
      <w:color w:val="4F81BD" w:themeColor="accent1"/>
      <w:lang w:val="en-GB" w:eastAsia="en-GB"/>
    </w:rPr>
  </w:style>
  <w:style w:type="paragraph" w:styleId="ListParagraph">
    <w:name w:val="List Paragraph"/>
    <w:basedOn w:val="Normal"/>
    <w:uiPriority w:val="34"/>
    <w:qFormat/>
    <w:rsid w:val="00055A8C"/>
    <w:pPr>
      <w:ind w:left="720"/>
      <w:contextualSpacing/>
    </w:pPr>
  </w:style>
  <w:style w:type="table" w:styleId="TableGrid">
    <w:name w:val="Table Grid"/>
    <w:basedOn w:val="TableNormal"/>
    <w:uiPriority w:val="59"/>
    <w:rsid w:val="00055A8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1 Char,Note de bas de page2,Текст сноски Знак Char,5_G,Footnote Text Char Char Char Char,Footnote Text Char1 Char Char Char Char,Footnote Char Char Char Char Char,Footnotes,Текст сноски Знак"/>
    <w:basedOn w:val="Normal"/>
    <w:link w:val="FootnoteTextChar"/>
    <w:uiPriority w:val="99"/>
    <w:qFormat/>
    <w:rsid w:val="00055A8C"/>
    <w:rPr>
      <w:sz w:val="20"/>
      <w:szCs w:val="20"/>
    </w:rPr>
  </w:style>
  <w:style w:type="character" w:customStyle="1" w:styleId="FootnoteTextChar">
    <w:name w:val="Footnote Text Char"/>
    <w:aliases w:val="Footnote Text Char Char Char,Footnote Text Char1 Char Char,Note de bas de page2 Char,Текст сноски Знак Char Char,5_G Char,Footnote Text Char Char Char Char Char,Footnote Text Char1 Char Char Char Char Char,Footnotes Char"/>
    <w:basedOn w:val="DefaultParagraphFont"/>
    <w:link w:val="FootnoteText"/>
    <w:uiPriority w:val="99"/>
    <w:rsid w:val="00055A8C"/>
    <w:rPr>
      <w:rFonts w:ascii="Times New Roman" w:eastAsia="Times New Roman" w:hAnsi="Times New Roman" w:cs="Times New Roman"/>
      <w:sz w:val="20"/>
      <w:szCs w:val="20"/>
      <w:lang w:val="en-GB" w:eastAsia="en-GB"/>
    </w:rPr>
  </w:style>
  <w:style w:type="character" w:styleId="FootnoteReference">
    <w:name w:val="footnote reference"/>
    <w:aliases w:val="4_G,ftref"/>
    <w:basedOn w:val="DefaultParagraphFont"/>
    <w:uiPriority w:val="99"/>
    <w:rsid w:val="00055A8C"/>
    <w:rPr>
      <w:vertAlign w:val="superscript"/>
    </w:rPr>
  </w:style>
  <w:style w:type="paragraph" w:styleId="NormalWeb">
    <w:name w:val="Normal (Web)"/>
    <w:basedOn w:val="Normal"/>
    <w:uiPriority w:val="99"/>
    <w:unhideWhenUsed/>
    <w:rsid w:val="00055A8C"/>
    <w:pPr>
      <w:spacing w:before="100" w:beforeAutospacing="1" w:after="100" w:afterAutospacing="1"/>
    </w:pPr>
    <w:rPr>
      <w:lang w:eastAsia="en-NZ"/>
    </w:rPr>
  </w:style>
  <w:style w:type="character" w:styleId="Strong">
    <w:name w:val="Strong"/>
    <w:basedOn w:val="DefaultParagraphFont"/>
    <w:uiPriority w:val="22"/>
    <w:qFormat/>
    <w:rsid w:val="00055A8C"/>
    <w:rPr>
      <w:b/>
      <w:bCs/>
    </w:rPr>
  </w:style>
  <w:style w:type="paragraph" w:customStyle="1" w:styleId="ARNotesHeadingindentsub">
    <w:name w:val="AR Notes Heading indent sub"/>
    <w:basedOn w:val="Normal"/>
    <w:link w:val="ARNotesHeadingindentsubChar"/>
    <w:qFormat/>
    <w:rsid w:val="00055A8C"/>
    <w:pPr>
      <w:overflowPunct w:val="0"/>
      <w:autoSpaceDE w:val="0"/>
      <w:autoSpaceDN w:val="0"/>
      <w:adjustRightInd w:val="0"/>
      <w:ind w:left="567"/>
      <w:textAlignment w:val="baseline"/>
    </w:pPr>
    <w:rPr>
      <w:b/>
      <w:szCs w:val="28"/>
      <w:lang w:val="en-AU" w:eastAsia="en-US"/>
    </w:rPr>
  </w:style>
  <w:style w:type="paragraph" w:customStyle="1" w:styleId="ARNotesSubheadingitalics">
    <w:name w:val="AR Notes Subheading italics"/>
    <w:basedOn w:val="BodyTextIndent3"/>
    <w:qFormat/>
    <w:rsid w:val="00055A8C"/>
    <w:pPr>
      <w:overflowPunct w:val="0"/>
      <w:autoSpaceDE w:val="0"/>
      <w:autoSpaceDN w:val="0"/>
      <w:adjustRightInd w:val="0"/>
      <w:spacing w:after="0"/>
      <w:ind w:left="567"/>
      <w:textAlignment w:val="baseline"/>
    </w:pPr>
    <w:rPr>
      <w:i/>
      <w:sz w:val="24"/>
      <w:szCs w:val="20"/>
      <w:lang w:val="en-AU" w:eastAsia="en-US"/>
    </w:rPr>
  </w:style>
  <w:style w:type="character" w:customStyle="1" w:styleId="ARNotesHeadingindentsubChar">
    <w:name w:val="AR Notes Heading indent sub Char"/>
    <w:link w:val="ARNotesHeadingindentsub"/>
    <w:rsid w:val="00055A8C"/>
    <w:rPr>
      <w:rFonts w:eastAsia="Times New Roman" w:cs="Times New Roman"/>
      <w:b/>
      <w:szCs w:val="28"/>
      <w:lang w:val="en-AU"/>
    </w:rPr>
  </w:style>
  <w:style w:type="paragraph" w:customStyle="1" w:styleId="ARNotesHeadingindentmain">
    <w:name w:val="AR Notes Heading indent main"/>
    <w:basedOn w:val="ARNotesHeadingindentsub"/>
    <w:next w:val="Normal"/>
    <w:link w:val="ARNotesHeadingindentmainChar"/>
    <w:qFormat/>
    <w:rsid w:val="00055A8C"/>
  </w:style>
  <w:style w:type="character" w:customStyle="1" w:styleId="ARNotesHeadingindentmainChar">
    <w:name w:val="AR Notes Heading indent main Char"/>
    <w:link w:val="ARNotesHeadingindentmain"/>
    <w:rsid w:val="00055A8C"/>
    <w:rPr>
      <w:rFonts w:eastAsia="Times New Roman" w:cs="Times New Roman"/>
      <w:b/>
      <w:szCs w:val="28"/>
      <w:lang w:val="en-AU"/>
    </w:rPr>
  </w:style>
  <w:style w:type="paragraph" w:styleId="BodyTextIndent3">
    <w:name w:val="Body Text Indent 3"/>
    <w:basedOn w:val="Normal"/>
    <w:link w:val="BodyTextIndent3Char"/>
    <w:uiPriority w:val="99"/>
    <w:semiHidden/>
    <w:unhideWhenUsed/>
    <w:rsid w:val="00055A8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55A8C"/>
    <w:rPr>
      <w:rFonts w:ascii="Times New Roman" w:eastAsia="Times New Roman" w:hAnsi="Times New Roman" w:cs="Times New Roman"/>
      <w:sz w:val="16"/>
      <w:szCs w:val="16"/>
      <w:lang w:val="en-GB" w:eastAsia="en-GB"/>
    </w:rPr>
  </w:style>
  <w:style w:type="paragraph" w:styleId="TOCHeading">
    <w:name w:val="TOC Heading"/>
    <w:basedOn w:val="Heading1"/>
    <w:next w:val="Normal"/>
    <w:uiPriority w:val="39"/>
    <w:unhideWhenUsed/>
    <w:qFormat/>
    <w:rsid w:val="00421022"/>
    <w:pPr>
      <w:spacing w:line="276" w:lineRule="auto"/>
      <w:outlineLvl w:val="9"/>
    </w:pPr>
    <w:rPr>
      <w:lang w:val="en-US" w:eastAsia="en-US"/>
    </w:rPr>
  </w:style>
  <w:style w:type="paragraph" w:customStyle="1" w:styleId="Default">
    <w:name w:val="Default"/>
    <w:rsid w:val="00157465"/>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8A10D6"/>
    <w:pPr>
      <w:tabs>
        <w:tab w:val="center" w:pos="4513"/>
        <w:tab w:val="right" w:pos="9026"/>
      </w:tabs>
    </w:pPr>
  </w:style>
  <w:style w:type="character" w:customStyle="1" w:styleId="HeaderChar">
    <w:name w:val="Header Char"/>
    <w:basedOn w:val="DefaultParagraphFont"/>
    <w:link w:val="Header"/>
    <w:uiPriority w:val="99"/>
    <w:rsid w:val="008A10D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8A10D6"/>
    <w:pPr>
      <w:tabs>
        <w:tab w:val="center" w:pos="4513"/>
        <w:tab w:val="right" w:pos="9026"/>
      </w:tabs>
    </w:pPr>
  </w:style>
  <w:style w:type="character" w:customStyle="1" w:styleId="FooterChar">
    <w:name w:val="Footer Char"/>
    <w:basedOn w:val="DefaultParagraphFont"/>
    <w:link w:val="Footer"/>
    <w:uiPriority w:val="99"/>
    <w:rsid w:val="008A10D6"/>
    <w:rPr>
      <w:rFonts w:ascii="Times New Roman" w:eastAsia="Times New Roman" w:hAnsi="Times New Roman" w:cs="Times New Roman"/>
      <w:lang w:val="en-GB" w:eastAsia="en-GB"/>
    </w:rPr>
  </w:style>
  <w:style w:type="paragraph" w:styleId="NoSpacing">
    <w:name w:val="No Spacing"/>
    <w:uiPriority w:val="1"/>
    <w:qFormat/>
    <w:rsid w:val="00F47A55"/>
    <w:pPr>
      <w:spacing w:after="0" w:line="240" w:lineRule="auto"/>
    </w:pPr>
    <w:rPr>
      <w:rFonts w:eastAsia="Times New Roman" w:cs="Times New Roman"/>
      <w:sz w:val="20"/>
      <w:lang w:val="en-GB" w:eastAsia="en-GB"/>
    </w:rPr>
  </w:style>
  <w:style w:type="paragraph" w:styleId="BalloonText">
    <w:name w:val="Balloon Text"/>
    <w:basedOn w:val="Normal"/>
    <w:link w:val="BalloonTextChar"/>
    <w:uiPriority w:val="99"/>
    <w:semiHidden/>
    <w:unhideWhenUsed/>
    <w:rsid w:val="00AA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73"/>
    <w:rPr>
      <w:rFonts w:ascii="Tahoma" w:eastAsia="Times New Roman" w:hAnsi="Tahoma" w:cs="Tahoma"/>
      <w:sz w:val="16"/>
      <w:szCs w:val="16"/>
      <w:lang w:val="en-GB" w:eastAsia="en-GB"/>
    </w:rPr>
  </w:style>
  <w:style w:type="paragraph" w:styleId="TOC1">
    <w:name w:val="toc 1"/>
    <w:basedOn w:val="Normal"/>
    <w:next w:val="Normal"/>
    <w:autoRedefine/>
    <w:uiPriority w:val="39"/>
    <w:unhideWhenUsed/>
    <w:rsid w:val="005566B8"/>
    <w:pPr>
      <w:spacing w:after="100"/>
    </w:pPr>
  </w:style>
  <w:style w:type="paragraph" w:styleId="TOC2">
    <w:name w:val="toc 2"/>
    <w:basedOn w:val="Normal"/>
    <w:next w:val="Normal"/>
    <w:autoRedefine/>
    <w:uiPriority w:val="39"/>
    <w:unhideWhenUsed/>
    <w:rsid w:val="005566B8"/>
    <w:pPr>
      <w:spacing w:after="100"/>
      <w:ind w:left="240"/>
    </w:pPr>
  </w:style>
  <w:style w:type="paragraph" w:styleId="TOC3">
    <w:name w:val="toc 3"/>
    <w:basedOn w:val="Normal"/>
    <w:next w:val="Normal"/>
    <w:autoRedefine/>
    <w:uiPriority w:val="39"/>
    <w:unhideWhenUsed/>
    <w:rsid w:val="005566B8"/>
    <w:pPr>
      <w:spacing w:after="100"/>
      <w:ind w:left="480"/>
    </w:pPr>
  </w:style>
  <w:style w:type="character" w:styleId="Hyperlink">
    <w:name w:val="Hyperlink"/>
    <w:basedOn w:val="DefaultParagraphFont"/>
    <w:uiPriority w:val="99"/>
    <w:unhideWhenUsed/>
    <w:rsid w:val="005566B8"/>
    <w:rPr>
      <w:color w:val="0000FF" w:themeColor="hyperlink"/>
      <w:u w:val="single"/>
    </w:rPr>
  </w:style>
  <w:style w:type="paragraph" w:customStyle="1" w:styleId="BasicParagraph">
    <w:name w:val="[Basic Paragraph]"/>
    <w:basedOn w:val="Normal"/>
    <w:uiPriority w:val="99"/>
    <w:rsid w:val="008708CE"/>
    <w:pPr>
      <w:autoSpaceDE w:val="0"/>
      <w:autoSpaceDN w:val="0"/>
      <w:adjustRightInd w:val="0"/>
      <w:spacing w:after="0" w:line="288" w:lineRule="auto"/>
      <w:textAlignment w:val="center"/>
    </w:pPr>
    <w:rPr>
      <w:rFonts w:ascii="Times Regular" w:eastAsia="Calibri" w:hAnsi="Times Regular" w:cs="Times Regular"/>
      <w:color w:val="000000"/>
      <w:lang w:eastAsia="en-US"/>
    </w:rPr>
  </w:style>
  <w:style w:type="paragraph" w:customStyle="1" w:styleId="CorisMacrontext">
    <w:name w:val="CorisMacron text"/>
    <w:basedOn w:val="Normal"/>
    <w:uiPriority w:val="99"/>
    <w:rsid w:val="008708CE"/>
    <w:pPr>
      <w:suppressAutoHyphens/>
      <w:autoSpaceDE w:val="0"/>
      <w:autoSpaceDN w:val="0"/>
      <w:adjustRightInd w:val="0"/>
      <w:spacing w:after="0" w:line="280" w:lineRule="atLeast"/>
      <w:textAlignment w:val="center"/>
    </w:pPr>
    <w:rPr>
      <w:rFonts w:ascii="CorisMacron Light" w:eastAsia="Calibri" w:hAnsi="CorisMacron Light" w:cs="CorisMacron Light"/>
      <w:color w:val="000000"/>
      <w:sz w:val="18"/>
      <w:szCs w:val="18"/>
      <w:lang w:val="en-US" w:eastAsia="en-US"/>
    </w:rPr>
  </w:style>
  <w:style w:type="paragraph" w:customStyle="1" w:styleId="bodycopy2">
    <w:name w:val="body copy 2"/>
    <w:basedOn w:val="Normal"/>
    <w:uiPriority w:val="99"/>
    <w:rsid w:val="008708CE"/>
    <w:pPr>
      <w:autoSpaceDE w:val="0"/>
      <w:autoSpaceDN w:val="0"/>
      <w:adjustRightInd w:val="0"/>
      <w:spacing w:after="113" w:line="280" w:lineRule="atLeast"/>
      <w:textAlignment w:val="center"/>
    </w:pPr>
    <w:rPr>
      <w:rFonts w:ascii="Corisande" w:eastAsia="Calibri" w:hAnsi="Corisande" w:cs="Corisande"/>
      <w:color w:val="000000"/>
      <w:sz w:val="18"/>
      <w:szCs w:val="18"/>
      <w:lang w:eastAsia="en-US"/>
    </w:rPr>
  </w:style>
  <w:style w:type="character" w:styleId="CommentReference">
    <w:name w:val="annotation reference"/>
    <w:basedOn w:val="DefaultParagraphFont"/>
    <w:uiPriority w:val="99"/>
    <w:semiHidden/>
    <w:unhideWhenUsed/>
    <w:rsid w:val="00C43735"/>
    <w:rPr>
      <w:sz w:val="16"/>
      <w:szCs w:val="16"/>
    </w:rPr>
  </w:style>
  <w:style w:type="paragraph" w:styleId="CommentText">
    <w:name w:val="annotation text"/>
    <w:basedOn w:val="Normal"/>
    <w:link w:val="CommentTextChar"/>
    <w:uiPriority w:val="99"/>
    <w:semiHidden/>
    <w:unhideWhenUsed/>
    <w:rsid w:val="00C43735"/>
    <w:pPr>
      <w:spacing w:line="240" w:lineRule="auto"/>
    </w:pPr>
    <w:rPr>
      <w:sz w:val="20"/>
      <w:szCs w:val="20"/>
    </w:rPr>
  </w:style>
  <w:style w:type="character" w:customStyle="1" w:styleId="CommentTextChar">
    <w:name w:val="Comment Text Char"/>
    <w:basedOn w:val="DefaultParagraphFont"/>
    <w:link w:val="CommentText"/>
    <w:uiPriority w:val="99"/>
    <w:semiHidden/>
    <w:rsid w:val="00C43735"/>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43735"/>
    <w:rPr>
      <w:b/>
      <w:bCs/>
    </w:rPr>
  </w:style>
  <w:style w:type="character" w:customStyle="1" w:styleId="CommentSubjectChar">
    <w:name w:val="Comment Subject Char"/>
    <w:basedOn w:val="CommentTextChar"/>
    <w:link w:val="CommentSubject"/>
    <w:uiPriority w:val="99"/>
    <w:semiHidden/>
    <w:rsid w:val="00C43735"/>
    <w:rPr>
      <w:rFonts w:eastAsia="Times New Roman" w:cs="Times New Roman"/>
      <w:b/>
      <w:bCs/>
      <w:sz w:val="20"/>
      <w:szCs w:val="20"/>
      <w:lang w:val="en-GB" w:eastAsia="en-GB"/>
    </w:rPr>
  </w:style>
  <w:style w:type="paragraph" w:styleId="Revision">
    <w:name w:val="Revision"/>
    <w:hidden/>
    <w:uiPriority w:val="99"/>
    <w:semiHidden/>
    <w:rsid w:val="00F211BE"/>
    <w:pPr>
      <w:spacing w:after="0" w:line="240" w:lineRule="auto"/>
    </w:pPr>
    <w:rPr>
      <w:rFonts w:eastAsia="Times New Roman" w:cs="Times New Roman"/>
      <w:lang w:val="en-GB" w:eastAsia="en-GB"/>
    </w:rPr>
  </w:style>
  <w:style w:type="character" w:styleId="FollowedHyperlink">
    <w:name w:val="FollowedHyperlink"/>
    <w:basedOn w:val="DefaultParagraphFont"/>
    <w:uiPriority w:val="99"/>
    <w:semiHidden/>
    <w:unhideWhenUsed/>
    <w:rsid w:val="00BB03BB"/>
    <w:rPr>
      <w:color w:val="800080" w:themeColor="followedHyperlink"/>
      <w:u w:val="single"/>
    </w:rPr>
  </w:style>
  <w:style w:type="paragraph" w:customStyle="1" w:styleId="Pa6">
    <w:name w:val="Pa6"/>
    <w:basedOn w:val="Default"/>
    <w:next w:val="Default"/>
    <w:uiPriority w:val="99"/>
    <w:rsid w:val="007E5631"/>
    <w:pPr>
      <w:spacing w:line="211" w:lineRule="atLeast"/>
    </w:pPr>
    <w:rPr>
      <w:rFonts w:ascii="BEWYV T+ Humanist Slabserif 712" w:hAnsi="BEWYV T+ Humanist Slabserif 712"/>
      <w:color w:val="auto"/>
    </w:rPr>
  </w:style>
  <w:style w:type="paragraph" w:styleId="BodyText">
    <w:name w:val="Body Text"/>
    <w:basedOn w:val="Normal"/>
    <w:link w:val="BodyTextChar"/>
    <w:uiPriority w:val="99"/>
    <w:semiHidden/>
    <w:unhideWhenUsed/>
    <w:rsid w:val="002F1E18"/>
    <w:pPr>
      <w:spacing w:after="120"/>
    </w:pPr>
  </w:style>
  <w:style w:type="character" w:customStyle="1" w:styleId="BodyTextChar">
    <w:name w:val="Body Text Char"/>
    <w:basedOn w:val="DefaultParagraphFont"/>
    <w:link w:val="BodyText"/>
    <w:uiPriority w:val="99"/>
    <w:semiHidden/>
    <w:rsid w:val="002F1E18"/>
    <w:rPr>
      <w:rFonts w:eastAsia="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5772">
      <w:bodyDiv w:val="1"/>
      <w:marLeft w:val="0"/>
      <w:marRight w:val="0"/>
      <w:marTop w:val="0"/>
      <w:marBottom w:val="0"/>
      <w:divBdr>
        <w:top w:val="none" w:sz="0" w:space="0" w:color="auto"/>
        <w:left w:val="none" w:sz="0" w:space="0" w:color="auto"/>
        <w:bottom w:val="none" w:sz="0" w:space="0" w:color="auto"/>
        <w:right w:val="none" w:sz="0" w:space="0" w:color="auto"/>
      </w:divBdr>
    </w:div>
    <w:div w:id="545339198">
      <w:bodyDiv w:val="1"/>
      <w:marLeft w:val="0"/>
      <w:marRight w:val="0"/>
      <w:marTop w:val="0"/>
      <w:marBottom w:val="0"/>
      <w:divBdr>
        <w:top w:val="none" w:sz="0" w:space="0" w:color="auto"/>
        <w:left w:val="none" w:sz="0" w:space="0" w:color="auto"/>
        <w:bottom w:val="none" w:sz="0" w:space="0" w:color="auto"/>
        <w:right w:val="none" w:sz="0" w:space="0" w:color="auto"/>
      </w:divBdr>
    </w:div>
    <w:div w:id="1098672706">
      <w:bodyDiv w:val="1"/>
      <w:marLeft w:val="0"/>
      <w:marRight w:val="0"/>
      <w:marTop w:val="0"/>
      <w:marBottom w:val="0"/>
      <w:divBdr>
        <w:top w:val="none" w:sz="0" w:space="0" w:color="auto"/>
        <w:left w:val="none" w:sz="0" w:space="0" w:color="auto"/>
        <w:bottom w:val="none" w:sz="0" w:space="0" w:color="auto"/>
        <w:right w:val="none" w:sz="0" w:space="0" w:color="auto"/>
      </w:divBdr>
    </w:div>
    <w:div w:id="1155802141">
      <w:bodyDiv w:val="1"/>
      <w:marLeft w:val="0"/>
      <w:marRight w:val="0"/>
      <w:marTop w:val="0"/>
      <w:marBottom w:val="0"/>
      <w:divBdr>
        <w:top w:val="none" w:sz="0" w:space="0" w:color="auto"/>
        <w:left w:val="none" w:sz="0" w:space="0" w:color="auto"/>
        <w:bottom w:val="none" w:sz="0" w:space="0" w:color="auto"/>
        <w:right w:val="none" w:sz="0" w:space="0" w:color="auto"/>
      </w:divBdr>
    </w:div>
    <w:div w:id="1731735471">
      <w:bodyDiv w:val="1"/>
      <w:marLeft w:val="0"/>
      <w:marRight w:val="0"/>
      <w:marTop w:val="0"/>
      <w:marBottom w:val="0"/>
      <w:divBdr>
        <w:top w:val="none" w:sz="0" w:space="0" w:color="auto"/>
        <w:left w:val="none" w:sz="0" w:space="0" w:color="auto"/>
        <w:bottom w:val="none" w:sz="0" w:space="0" w:color="auto"/>
        <w:right w:val="none" w:sz="0" w:space="0" w:color="auto"/>
      </w:divBdr>
      <w:divsChild>
        <w:div w:id="68768530">
          <w:marLeft w:val="0"/>
          <w:marRight w:val="0"/>
          <w:marTop w:val="0"/>
          <w:marBottom w:val="0"/>
          <w:divBdr>
            <w:top w:val="none" w:sz="0" w:space="0" w:color="auto"/>
            <w:left w:val="none" w:sz="0" w:space="0" w:color="auto"/>
            <w:bottom w:val="none" w:sz="0" w:space="0" w:color="auto"/>
            <w:right w:val="none" w:sz="0" w:space="0" w:color="auto"/>
          </w:divBdr>
          <w:divsChild>
            <w:div w:id="1006981783">
              <w:marLeft w:val="0"/>
              <w:marRight w:val="0"/>
              <w:marTop w:val="0"/>
              <w:marBottom w:val="0"/>
              <w:divBdr>
                <w:top w:val="none" w:sz="0" w:space="0" w:color="auto"/>
                <w:left w:val="none" w:sz="0" w:space="0" w:color="auto"/>
                <w:bottom w:val="none" w:sz="0" w:space="0" w:color="auto"/>
                <w:right w:val="none" w:sz="0" w:space="0" w:color="auto"/>
              </w:divBdr>
              <w:divsChild>
                <w:div w:id="1278292243">
                  <w:marLeft w:val="0"/>
                  <w:marRight w:val="0"/>
                  <w:marTop w:val="195"/>
                  <w:marBottom w:val="0"/>
                  <w:divBdr>
                    <w:top w:val="none" w:sz="0" w:space="0" w:color="auto"/>
                    <w:left w:val="none" w:sz="0" w:space="0" w:color="auto"/>
                    <w:bottom w:val="none" w:sz="0" w:space="0" w:color="auto"/>
                    <w:right w:val="none" w:sz="0" w:space="0" w:color="auto"/>
                  </w:divBdr>
                  <w:divsChild>
                    <w:div w:id="18822730">
                      <w:marLeft w:val="0"/>
                      <w:marRight w:val="0"/>
                      <w:marTop w:val="0"/>
                      <w:marBottom w:val="0"/>
                      <w:divBdr>
                        <w:top w:val="none" w:sz="0" w:space="0" w:color="auto"/>
                        <w:left w:val="none" w:sz="0" w:space="0" w:color="auto"/>
                        <w:bottom w:val="none" w:sz="0" w:space="0" w:color="auto"/>
                        <w:right w:val="none" w:sz="0" w:space="0" w:color="auto"/>
                      </w:divBdr>
                      <w:divsChild>
                        <w:div w:id="1804347134">
                          <w:marLeft w:val="0"/>
                          <w:marRight w:val="0"/>
                          <w:marTop w:val="0"/>
                          <w:marBottom w:val="0"/>
                          <w:divBdr>
                            <w:top w:val="none" w:sz="0" w:space="0" w:color="auto"/>
                            <w:left w:val="none" w:sz="0" w:space="0" w:color="auto"/>
                            <w:bottom w:val="none" w:sz="0" w:space="0" w:color="auto"/>
                            <w:right w:val="none" w:sz="0" w:space="0" w:color="auto"/>
                          </w:divBdr>
                          <w:divsChild>
                            <w:div w:id="718825809">
                              <w:marLeft w:val="0"/>
                              <w:marRight w:val="0"/>
                              <w:marTop w:val="0"/>
                              <w:marBottom w:val="0"/>
                              <w:divBdr>
                                <w:top w:val="none" w:sz="0" w:space="0" w:color="auto"/>
                                <w:left w:val="none" w:sz="0" w:space="0" w:color="auto"/>
                                <w:bottom w:val="none" w:sz="0" w:space="0" w:color="auto"/>
                                <w:right w:val="none" w:sz="0" w:space="0" w:color="auto"/>
                              </w:divBdr>
                              <w:divsChild>
                                <w:div w:id="321128640">
                                  <w:marLeft w:val="0"/>
                                  <w:marRight w:val="0"/>
                                  <w:marTop w:val="0"/>
                                  <w:marBottom w:val="0"/>
                                  <w:divBdr>
                                    <w:top w:val="none" w:sz="0" w:space="0" w:color="auto"/>
                                    <w:left w:val="none" w:sz="0" w:space="0" w:color="auto"/>
                                    <w:bottom w:val="none" w:sz="0" w:space="0" w:color="auto"/>
                                    <w:right w:val="none" w:sz="0" w:space="0" w:color="auto"/>
                                  </w:divBdr>
                                  <w:divsChild>
                                    <w:div w:id="1686904377">
                                      <w:marLeft w:val="0"/>
                                      <w:marRight w:val="0"/>
                                      <w:marTop w:val="0"/>
                                      <w:marBottom w:val="0"/>
                                      <w:divBdr>
                                        <w:top w:val="none" w:sz="0" w:space="0" w:color="auto"/>
                                        <w:left w:val="none" w:sz="0" w:space="0" w:color="auto"/>
                                        <w:bottom w:val="none" w:sz="0" w:space="0" w:color="auto"/>
                                        <w:right w:val="none" w:sz="0" w:space="0" w:color="auto"/>
                                      </w:divBdr>
                                      <w:divsChild>
                                        <w:div w:id="1940479959">
                                          <w:marLeft w:val="0"/>
                                          <w:marRight w:val="0"/>
                                          <w:marTop w:val="0"/>
                                          <w:marBottom w:val="0"/>
                                          <w:divBdr>
                                            <w:top w:val="none" w:sz="0" w:space="0" w:color="auto"/>
                                            <w:left w:val="none" w:sz="0" w:space="0" w:color="auto"/>
                                            <w:bottom w:val="none" w:sz="0" w:space="0" w:color="auto"/>
                                            <w:right w:val="none" w:sz="0" w:space="0" w:color="auto"/>
                                          </w:divBdr>
                                          <w:divsChild>
                                            <w:div w:id="149179207">
                                              <w:marLeft w:val="0"/>
                                              <w:marRight w:val="0"/>
                                              <w:marTop w:val="0"/>
                                              <w:marBottom w:val="0"/>
                                              <w:divBdr>
                                                <w:top w:val="none" w:sz="0" w:space="0" w:color="auto"/>
                                                <w:left w:val="none" w:sz="0" w:space="0" w:color="auto"/>
                                                <w:bottom w:val="none" w:sz="0" w:space="0" w:color="auto"/>
                                                <w:right w:val="none" w:sz="0" w:space="0" w:color="auto"/>
                                              </w:divBdr>
                                              <w:divsChild>
                                                <w:div w:id="1461800232">
                                                  <w:marLeft w:val="0"/>
                                                  <w:marRight w:val="0"/>
                                                  <w:marTop w:val="0"/>
                                                  <w:marBottom w:val="0"/>
                                                  <w:divBdr>
                                                    <w:top w:val="none" w:sz="0" w:space="0" w:color="auto"/>
                                                    <w:left w:val="none" w:sz="0" w:space="0" w:color="auto"/>
                                                    <w:bottom w:val="none" w:sz="0" w:space="0" w:color="auto"/>
                                                    <w:right w:val="none" w:sz="0" w:space="0" w:color="auto"/>
                                                  </w:divBdr>
                                                  <w:divsChild>
                                                    <w:div w:id="1546672830">
                                                      <w:marLeft w:val="0"/>
                                                      <w:marRight w:val="0"/>
                                                      <w:marTop w:val="0"/>
                                                      <w:marBottom w:val="180"/>
                                                      <w:divBdr>
                                                        <w:top w:val="none" w:sz="0" w:space="0" w:color="auto"/>
                                                        <w:left w:val="none" w:sz="0" w:space="0" w:color="auto"/>
                                                        <w:bottom w:val="none" w:sz="0" w:space="0" w:color="auto"/>
                                                        <w:right w:val="none" w:sz="0" w:space="0" w:color="auto"/>
                                                      </w:divBdr>
                                                      <w:divsChild>
                                                        <w:div w:id="1052773432">
                                                          <w:marLeft w:val="0"/>
                                                          <w:marRight w:val="0"/>
                                                          <w:marTop w:val="0"/>
                                                          <w:marBottom w:val="0"/>
                                                          <w:divBdr>
                                                            <w:top w:val="none" w:sz="0" w:space="0" w:color="auto"/>
                                                            <w:left w:val="none" w:sz="0" w:space="0" w:color="auto"/>
                                                            <w:bottom w:val="none" w:sz="0" w:space="0" w:color="auto"/>
                                                            <w:right w:val="none" w:sz="0" w:space="0" w:color="auto"/>
                                                          </w:divBdr>
                                                          <w:divsChild>
                                                            <w:div w:id="1936859824">
                                                              <w:marLeft w:val="0"/>
                                                              <w:marRight w:val="0"/>
                                                              <w:marTop w:val="0"/>
                                                              <w:marBottom w:val="0"/>
                                                              <w:divBdr>
                                                                <w:top w:val="none" w:sz="0" w:space="0" w:color="auto"/>
                                                                <w:left w:val="none" w:sz="0" w:space="0" w:color="auto"/>
                                                                <w:bottom w:val="none" w:sz="0" w:space="0" w:color="auto"/>
                                                                <w:right w:val="none" w:sz="0" w:space="0" w:color="auto"/>
                                                              </w:divBdr>
                                                              <w:divsChild>
                                                                <w:div w:id="221409311">
                                                                  <w:marLeft w:val="0"/>
                                                                  <w:marRight w:val="0"/>
                                                                  <w:marTop w:val="0"/>
                                                                  <w:marBottom w:val="0"/>
                                                                  <w:divBdr>
                                                                    <w:top w:val="none" w:sz="0" w:space="0" w:color="auto"/>
                                                                    <w:left w:val="none" w:sz="0" w:space="0" w:color="auto"/>
                                                                    <w:bottom w:val="none" w:sz="0" w:space="0" w:color="auto"/>
                                                                    <w:right w:val="none" w:sz="0" w:space="0" w:color="auto"/>
                                                                  </w:divBdr>
                                                                  <w:divsChild>
                                                                    <w:div w:id="1210655660">
                                                                      <w:marLeft w:val="0"/>
                                                                      <w:marRight w:val="0"/>
                                                                      <w:marTop w:val="0"/>
                                                                      <w:marBottom w:val="0"/>
                                                                      <w:divBdr>
                                                                        <w:top w:val="none" w:sz="0" w:space="0" w:color="auto"/>
                                                                        <w:left w:val="none" w:sz="0" w:space="0" w:color="auto"/>
                                                                        <w:bottom w:val="none" w:sz="0" w:space="0" w:color="auto"/>
                                                                        <w:right w:val="none" w:sz="0" w:space="0" w:color="auto"/>
                                                                      </w:divBdr>
                                                                      <w:divsChild>
                                                                        <w:div w:id="506680171">
                                                                          <w:marLeft w:val="0"/>
                                                                          <w:marRight w:val="0"/>
                                                                          <w:marTop w:val="0"/>
                                                                          <w:marBottom w:val="0"/>
                                                                          <w:divBdr>
                                                                            <w:top w:val="none" w:sz="0" w:space="0" w:color="auto"/>
                                                                            <w:left w:val="none" w:sz="0" w:space="0" w:color="auto"/>
                                                                            <w:bottom w:val="none" w:sz="0" w:space="0" w:color="auto"/>
                                                                            <w:right w:val="none" w:sz="0" w:space="0" w:color="auto"/>
                                                                          </w:divBdr>
                                                                          <w:divsChild>
                                                                            <w:div w:id="2191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nz/url?sa=i&amp;rct=j&amp;q=&amp;esrc=s&amp;source=images&amp;cd=&amp;cad=rja&amp;uact=8&amp;ved=0ahUKEwj9h8v8kKHMAhWk4aYKHcI2A3oQjRwIBw&amp;url=http://www.proud.org.nz/&amp;psig=AFQjCNHJY2hOr4cc4wf8ZFU992Jg20rghQ&amp;ust=14613762621878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F4B42D18-A421-4B48-B82E-AC907E0B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5393</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suzannet</dc:creator>
  <cp:lastModifiedBy>Shawn Moodie</cp:lastModifiedBy>
  <cp:revision>3</cp:revision>
  <cp:lastPrinted>2016-06-06T23:46:00Z</cp:lastPrinted>
  <dcterms:created xsi:type="dcterms:W3CDTF">2016-06-27T20:42:00Z</dcterms:created>
  <dcterms:modified xsi:type="dcterms:W3CDTF">2016-06-29T22:33:00Z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y fmtid="{D5CDD505-2E9C-101B-9397-08002B2CF9AE}" pid="3" name="_NewReviewCycle">
    <vt:lpwstr/>
  </property>
</Properties>
</file>