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DCB27" w14:textId="77777777" w:rsidR="004852B9" w:rsidRDefault="004852B9" w:rsidP="004852B9">
      <w:pPr>
        <w:jc w:val="both"/>
        <w:rPr>
          <w:b/>
          <w:bCs/>
          <w:sz w:val="28"/>
        </w:rPr>
        <w:sectPr w:rsidR="004852B9" w:rsidSect="00B30175">
          <w:headerReference w:type="default" r:id="rId12"/>
          <w:footerReference w:type="default" r:id="rId13"/>
          <w:footerReference w:type="first" r:id="rId14"/>
          <w:pgSz w:w="11906" w:h="16838"/>
          <w:pgMar w:top="0" w:right="0" w:bottom="0" w:left="0" w:header="706" w:footer="706" w:gutter="0"/>
          <w:cols w:space="708"/>
          <w:titlePg/>
          <w:docGrid w:linePitch="360"/>
        </w:sectPr>
      </w:pPr>
      <w:bookmarkStart w:id="0" w:name="_Hlk517339230"/>
      <w:r>
        <w:rPr>
          <w:b/>
          <w:bCs/>
          <w:noProof/>
          <w:sz w:val="28"/>
        </w:rPr>
        <mc:AlternateContent>
          <mc:Choice Requires="wps">
            <w:drawing>
              <wp:anchor distT="0" distB="0" distL="114300" distR="114300" simplePos="0" relativeHeight="251658240" behindDoc="0" locked="0" layoutInCell="1" allowOverlap="1" wp14:anchorId="38DA5EE3" wp14:editId="63680BCF">
                <wp:simplePos x="0" y="0"/>
                <wp:positionH relativeFrom="column">
                  <wp:posOffset>298450</wp:posOffset>
                </wp:positionH>
                <wp:positionV relativeFrom="paragraph">
                  <wp:posOffset>5800725</wp:posOffset>
                </wp:positionV>
                <wp:extent cx="4241800" cy="4159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41800" cy="4159250"/>
                        </a:xfrm>
                        <a:prstGeom prst="rect">
                          <a:avLst/>
                        </a:prstGeom>
                        <a:noFill/>
                        <a:ln w="6350">
                          <a:noFill/>
                        </a:ln>
                      </wps:spPr>
                      <wps:txbx>
                        <w:txbxContent>
                          <w:p w14:paraId="719B5131" w14:textId="77777777" w:rsidR="001621A5" w:rsidRDefault="001621A5" w:rsidP="003C0F5A">
                            <w:pPr>
                              <w:pStyle w:val="Title"/>
                              <w:rPr>
                                <w:rFonts w:asciiTheme="minorHAnsi" w:eastAsiaTheme="minorHAnsi" w:hAnsiTheme="minorHAnsi" w:cstheme="minorBidi"/>
                                <w:b/>
                                <w:color w:val="FFFFFF" w:themeColor="background1"/>
                                <w:spacing w:val="0"/>
                                <w:kern w:val="0"/>
                                <w:sz w:val="36"/>
                                <w:szCs w:val="20"/>
                                <w:lang w:val="mi-NZ"/>
                              </w:rPr>
                            </w:pPr>
                          </w:p>
                          <w:p w14:paraId="3CD46A04" w14:textId="77777777" w:rsidR="001621A5" w:rsidRDefault="001621A5" w:rsidP="003C0F5A">
                            <w:pPr>
                              <w:pStyle w:val="Title"/>
                              <w:rPr>
                                <w:rFonts w:asciiTheme="minorHAnsi" w:eastAsiaTheme="minorHAnsi" w:hAnsiTheme="minorHAnsi" w:cstheme="minorBidi"/>
                                <w:b/>
                                <w:color w:val="FFFFFF" w:themeColor="background1"/>
                                <w:spacing w:val="0"/>
                                <w:kern w:val="0"/>
                                <w:sz w:val="36"/>
                                <w:szCs w:val="20"/>
                                <w:lang w:val="mi-NZ"/>
                              </w:rPr>
                            </w:pPr>
                          </w:p>
                          <w:p w14:paraId="5AB75C01" w14:textId="64483FD5" w:rsidR="004852B9" w:rsidRPr="001621A5" w:rsidRDefault="003C0F5A" w:rsidP="003C0F5A">
                            <w:pPr>
                              <w:pStyle w:val="Title"/>
                              <w:rPr>
                                <w:rFonts w:asciiTheme="minorHAnsi" w:eastAsiaTheme="minorHAnsi" w:hAnsiTheme="minorHAnsi" w:cstheme="minorBidi"/>
                                <w:b/>
                                <w:color w:val="FFFFFF" w:themeColor="background1"/>
                                <w:spacing w:val="0"/>
                                <w:kern w:val="0"/>
                                <w:sz w:val="36"/>
                                <w:szCs w:val="20"/>
                                <w:lang w:val="mi-NZ"/>
                              </w:rPr>
                            </w:pPr>
                            <w:r w:rsidRPr="001621A5">
                              <w:rPr>
                                <w:rFonts w:asciiTheme="minorHAnsi" w:eastAsiaTheme="minorHAnsi" w:hAnsiTheme="minorHAnsi" w:cstheme="minorBidi"/>
                                <w:b/>
                                <w:color w:val="FFFFFF" w:themeColor="background1"/>
                                <w:spacing w:val="0"/>
                                <w:kern w:val="0"/>
                                <w:sz w:val="36"/>
                                <w:szCs w:val="20"/>
                                <w:lang w:val="mi-NZ"/>
                              </w:rPr>
                              <w:t xml:space="preserve">New Zealand’s progress under the UN Convention on the Elimination of All Forms of Discrimination Against Women </w:t>
                            </w:r>
                          </w:p>
                          <w:p w14:paraId="6D13D008" w14:textId="77777777" w:rsidR="001621A5" w:rsidRPr="004B6718" w:rsidRDefault="001621A5" w:rsidP="004852B9">
                            <w:pPr>
                              <w:rPr>
                                <w:color w:val="FFFFFF" w:themeColor="background1"/>
                                <w:sz w:val="24"/>
                                <w:szCs w:val="20"/>
                              </w:rPr>
                            </w:pPr>
                          </w:p>
                          <w:p w14:paraId="2547E97F" w14:textId="14CA38E6" w:rsidR="004B6718" w:rsidRPr="00D56BA6" w:rsidRDefault="00D56BA6" w:rsidP="004852B9">
                            <w:pPr>
                              <w:rPr>
                                <w:b/>
                                <w:bCs/>
                                <w:color w:val="FFFFFF" w:themeColor="background1"/>
                                <w:sz w:val="28"/>
                              </w:rPr>
                            </w:pPr>
                            <w:r w:rsidRPr="00D56BA6">
                              <w:rPr>
                                <w:b/>
                                <w:bCs/>
                                <w:color w:val="FFFFFF" w:themeColor="background1"/>
                                <w:sz w:val="28"/>
                              </w:rPr>
                              <w:t xml:space="preserve">15 </w:t>
                            </w:r>
                            <w:r w:rsidR="001621A5" w:rsidRPr="00D56BA6">
                              <w:rPr>
                                <w:b/>
                                <w:bCs/>
                                <w:color w:val="FFFFFF" w:themeColor="background1"/>
                                <w:sz w:val="28"/>
                              </w:rPr>
                              <w:t>February</w:t>
                            </w:r>
                            <w:r w:rsidR="004852B9" w:rsidRPr="00D56BA6">
                              <w:rPr>
                                <w:b/>
                                <w:bCs/>
                                <w:color w:val="FFFFFF" w:themeColor="background1"/>
                                <w:sz w:val="28"/>
                              </w:rPr>
                              <w:t xml:space="preserve"> 2021</w:t>
                            </w:r>
                          </w:p>
                          <w:p w14:paraId="487B8C44" w14:textId="77777777" w:rsidR="001621A5" w:rsidRPr="004B6718" w:rsidRDefault="001621A5" w:rsidP="004852B9">
                            <w:pPr>
                              <w:rPr>
                                <w:color w:val="FFFFFF" w:themeColor="background1"/>
                                <w:sz w:val="24"/>
                                <w:szCs w:val="20"/>
                              </w:rPr>
                            </w:pPr>
                          </w:p>
                          <w:p w14:paraId="7693A2C1" w14:textId="663B0B2E" w:rsidR="004852B9" w:rsidRPr="00D56BA6" w:rsidRDefault="007752B4" w:rsidP="004852B9">
                            <w:pPr>
                              <w:rPr>
                                <w:b/>
                                <w:color w:val="FFFFFF" w:themeColor="background1"/>
                                <w:sz w:val="36"/>
                                <w:szCs w:val="20"/>
                                <w:lang w:val="mi-NZ"/>
                              </w:rPr>
                            </w:pPr>
                            <w:r>
                              <w:rPr>
                                <w:b/>
                                <w:color w:val="FFFFFF" w:themeColor="background1"/>
                                <w:sz w:val="36"/>
                                <w:szCs w:val="20"/>
                                <w:lang w:val="mi-NZ"/>
                              </w:rPr>
                              <w:t xml:space="preserve">Follow-up </w:t>
                            </w:r>
                            <w:r w:rsidR="004852B9" w:rsidRPr="00D56BA6">
                              <w:rPr>
                                <w:b/>
                                <w:color w:val="FFFFFF" w:themeColor="background1"/>
                                <w:sz w:val="36"/>
                                <w:szCs w:val="20"/>
                                <w:lang w:val="mi-NZ"/>
                              </w:rPr>
                              <w:t xml:space="preserve">Submission of the New Zealand Human Rights Commission </w:t>
                            </w:r>
                          </w:p>
                          <w:p w14:paraId="18D7D00F" w14:textId="77777777" w:rsidR="004852B9" w:rsidRPr="00CA6478" w:rsidRDefault="004852B9" w:rsidP="004852B9">
                            <w:pPr>
                              <w:rPr>
                                <w:b/>
                                <w:color w:val="FFFFFF" w:themeColor="background1"/>
                                <w:sz w:val="40"/>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A5EE3" id="_x0000_t202" coordsize="21600,21600" o:spt="202" path="m,l,21600r21600,l21600,xe">
                <v:stroke joinstyle="miter"/>
                <v:path gradientshapeok="t" o:connecttype="rect"/>
              </v:shapetype>
              <v:shape id="Text Box 2" o:spid="_x0000_s1026" type="#_x0000_t202" style="position:absolute;left:0;text-align:left;margin-left:23.5pt;margin-top:456.75pt;width:334pt;height: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" filled="f" stroked="f" strokeweight=".5pt">
                <v:textbox>
                  <w:txbxContent>
                    <w:p w14:paraId="719B5131" w14:textId="77777777" w:rsidR="001621A5" w:rsidRDefault="001621A5" w:rsidP="003C0F5A">
                      <w:pPr>
                        <w:pStyle w:val="Title"/>
                        <w:rPr>
                          <w:rFonts w:asciiTheme="minorHAnsi" w:eastAsiaTheme="minorHAnsi" w:hAnsiTheme="minorHAnsi" w:cstheme="minorBidi"/>
                          <w:b/>
                          <w:color w:val="FFFFFF" w:themeColor="background1"/>
                          <w:spacing w:val="0"/>
                          <w:kern w:val="0"/>
                          <w:sz w:val="36"/>
                          <w:szCs w:val="20"/>
                          <w:lang w:val="mi-NZ"/>
                        </w:rPr>
                      </w:pPr>
                    </w:p>
                    <w:p w14:paraId="3CD46A04" w14:textId="77777777" w:rsidR="001621A5" w:rsidRDefault="001621A5" w:rsidP="003C0F5A">
                      <w:pPr>
                        <w:pStyle w:val="Title"/>
                        <w:rPr>
                          <w:rFonts w:asciiTheme="minorHAnsi" w:eastAsiaTheme="minorHAnsi" w:hAnsiTheme="minorHAnsi" w:cstheme="minorBidi"/>
                          <w:b/>
                          <w:color w:val="FFFFFF" w:themeColor="background1"/>
                          <w:spacing w:val="0"/>
                          <w:kern w:val="0"/>
                          <w:sz w:val="36"/>
                          <w:szCs w:val="20"/>
                          <w:lang w:val="mi-NZ"/>
                        </w:rPr>
                      </w:pPr>
                    </w:p>
                    <w:p w14:paraId="5AB75C01" w14:textId="64483FD5" w:rsidR="004852B9" w:rsidRPr="001621A5" w:rsidRDefault="003C0F5A" w:rsidP="003C0F5A">
                      <w:pPr>
                        <w:pStyle w:val="Title"/>
                        <w:rPr>
                          <w:rFonts w:asciiTheme="minorHAnsi" w:eastAsiaTheme="minorHAnsi" w:hAnsiTheme="minorHAnsi" w:cstheme="minorBidi"/>
                          <w:b/>
                          <w:color w:val="FFFFFF" w:themeColor="background1"/>
                          <w:spacing w:val="0"/>
                          <w:kern w:val="0"/>
                          <w:sz w:val="36"/>
                          <w:szCs w:val="20"/>
                          <w:lang w:val="mi-NZ"/>
                        </w:rPr>
                      </w:pPr>
                      <w:r w:rsidRPr="001621A5">
                        <w:rPr>
                          <w:rFonts w:asciiTheme="minorHAnsi" w:eastAsiaTheme="minorHAnsi" w:hAnsiTheme="minorHAnsi" w:cstheme="minorBidi"/>
                          <w:b/>
                          <w:color w:val="FFFFFF" w:themeColor="background1"/>
                          <w:spacing w:val="0"/>
                          <w:kern w:val="0"/>
                          <w:sz w:val="36"/>
                          <w:szCs w:val="20"/>
                          <w:lang w:val="mi-NZ"/>
                        </w:rPr>
                        <w:t xml:space="preserve">New Zealand’s progress under the UN Convention on the Elimination of All Forms of Discrimination Against Women </w:t>
                      </w:r>
                    </w:p>
                    <w:p w14:paraId="6D13D008" w14:textId="77777777" w:rsidR="001621A5" w:rsidRPr="004B6718" w:rsidRDefault="001621A5" w:rsidP="004852B9">
                      <w:pPr>
                        <w:rPr>
                          <w:color w:val="FFFFFF" w:themeColor="background1"/>
                          <w:sz w:val="24"/>
                          <w:szCs w:val="20"/>
                        </w:rPr>
                      </w:pPr>
                    </w:p>
                    <w:p w14:paraId="2547E97F" w14:textId="14CA38E6" w:rsidR="004B6718" w:rsidRPr="00D56BA6" w:rsidRDefault="00D56BA6" w:rsidP="004852B9">
                      <w:pPr>
                        <w:rPr>
                          <w:b/>
                          <w:bCs/>
                          <w:color w:val="FFFFFF" w:themeColor="background1"/>
                          <w:sz w:val="28"/>
                        </w:rPr>
                      </w:pPr>
                      <w:r w:rsidRPr="00D56BA6">
                        <w:rPr>
                          <w:b/>
                          <w:bCs/>
                          <w:color w:val="FFFFFF" w:themeColor="background1"/>
                          <w:sz w:val="28"/>
                        </w:rPr>
                        <w:t xml:space="preserve">15 </w:t>
                      </w:r>
                      <w:r w:rsidR="001621A5" w:rsidRPr="00D56BA6">
                        <w:rPr>
                          <w:b/>
                          <w:bCs/>
                          <w:color w:val="FFFFFF" w:themeColor="background1"/>
                          <w:sz w:val="28"/>
                        </w:rPr>
                        <w:t>February</w:t>
                      </w:r>
                      <w:r w:rsidR="004852B9" w:rsidRPr="00D56BA6">
                        <w:rPr>
                          <w:b/>
                          <w:bCs/>
                          <w:color w:val="FFFFFF" w:themeColor="background1"/>
                          <w:sz w:val="28"/>
                        </w:rPr>
                        <w:t xml:space="preserve"> 2021</w:t>
                      </w:r>
                    </w:p>
                    <w:p w14:paraId="487B8C44" w14:textId="77777777" w:rsidR="001621A5" w:rsidRPr="004B6718" w:rsidRDefault="001621A5" w:rsidP="004852B9">
                      <w:pPr>
                        <w:rPr>
                          <w:color w:val="FFFFFF" w:themeColor="background1"/>
                          <w:sz w:val="24"/>
                          <w:szCs w:val="20"/>
                        </w:rPr>
                      </w:pPr>
                    </w:p>
                    <w:p w14:paraId="7693A2C1" w14:textId="663B0B2E" w:rsidR="004852B9" w:rsidRPr="00D56BA6" w:rsidRDefault="007752B4" w:rsidP="004852B9">
                      <w:pPr>
                        <w:rPr>
                          <w:b/>
                          <w:color w:val="FFFFFF" w:themeColor="background1"/>
                          <w:sz w:val="36"/>
                          <w:szCs w:val="20"/>
                          <w:lang w:val="mi-NZ"/>
                        </w:rPr>
                      </w:pPr>
                      <w:r>
                        <w:rPr>
                          <w:b/>
                          <w:color w:val="FFFFFF" w:themeColor="background1"/>
                          <w:sz w:val="36"/>
                          <w:szCs w:val="20"/>
                          <w:lang w:val="mi-NZ"/>
                        </w:rPr>
                        <w:t xml:space="preserve">Follow-up </w:t>
                      </w:r>
                      <w:r w:rsidR="004852B9" w:rsidRPr="00D56BA6">
                        <w:rPr>
                          <w:b/>
                          <w:color w:val="FFFFFF" w:themeColor="background1"/>
                          <w:sz w:val="36"/>
                          <w:szCs w:val="20"/>
                          <w:lang w:val="mi-NZ"/>
                        </w:rPr>
                        <w:t xml:space="preserve">Submission of the New Zealand Human Rights Commission </w:t>
                      </w:r>
                    </w:p>
                    <w:p w14:paraId="18D7D00F" w14:textId="77777777" w:rsidR="004852B9" w:rsidRPr="00CA6478" w:rsidRDefault="004852B9" w:rsidP="004852B9">
                      <w:pPr>
                        <w:rPr>
                          <w:b/>
                          <w:color w:val="FFFFFF" w:themeColor="background1"/>
                          <w:sz w:val="40"/>
                          <w:lang w:val="mi-NZ"/>
                        </w:rPr>
                      </w:pPr>
                    </w:p>
                  </w:txbxContent>
                </v:textbox>
              </v:shape>
            </w:pict>
          </mc:Fallback>
        </mc:AlternateContent>
      </w:r>
      <w:r>
        <w:rPr>
          <w:b/>
          <w:bCs/>
          <w:noProof/>
          <w:sz w:val="28"/>
        </w:rPr>
        <w:drawing>
          <wp:inline distT="0" distB="0" distL="0" distR="0" wp14:anchorId="6DB34D15" wp14:editId="4D808674">
            <wp:extent cx="7632700" cy="10718800"/>
            <wp:effectExtent l="0" t="0" r="6350" b="635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rs/ryanmearns/Desktop/Human Rights Commission/UPR Front page.pdf"/>
                    <pic:cNvPicPr>
                      <a:picLocks/>
                    </pic:cNvPicPr>
                  </pic:nvPicPr>
                  <pic:blipFill>
                    <a:blip r:embed="rId15">
                      <a:extLst>
                        <a:ext uri="{28A0092B-C50C-407E-A947-70E740481C1C}">
                          <a14:useLocalDpi xmlns:a14="http://schemas.microsoft.com/office/drawing/2010/main" val="0"/>
                        </a:ext>
                      </a:extLst>
                    </a:blip>
                    <a:stretch>
                      <a:fillRect/>
                    </a:stretch>
                  </pic:blipFill>
                  <pic:spPr bwMode="auto">
                    <a:xfrm>
                      <a:off x="0" y="0"/>
                      <a:ext cx="7632700" cy="10718800"/>
                    </a:xfrm>
                    <a:prstGeom prst="rect">
                      <a:avLst/>
                    </a:prstGeom>
                    <a:noFill/>
                    <a:ln>
                      <a:noFill/>
                    </a:ln>
                  </pic:spPr>
                </pic:pic>
              </a:graphicData>
            </a:graphic>
          </wp:inline>
        </w:drawing>
      </w:r>
    </w:p>
    <w:p w14:paraId="19993D8F" w14:textId="77777777" w:rsidR="00DA47D7" w:rsidRDefault="00DA47D7" w:rsidP="00A821D5">
      <w:pPr>
        <w:spacing w:line="240" w:lineRule="auto"/>
        <w:jc w:val="center"/>
        <w:rPr>
          <w:rFonts w:eastAsia="Calibri" w:cstheme="minorHAnsi"/>
          <w:b/>
          <w:bCs/>
          <w:sz w:val="24"/>
          <w:szCs w:val="24"/>
        </w:rPr>
      </w:pPr>
    </w:p>
    <w:p w14:paraId="478654F7" w14:textId="77777777" w:rsidR="00DA47D7" w:rsidRDefault="00DA47D7" w:rsidP="00A821D5">
      <w:pPr>
        <w:spacing w:line="240" w:lineRule="auto"/>
        <w:jc w:val="center"/>
        <w:rPr>
          <w:rFonts w:eastAsia="Calibri" w:cstheme="minorHAnsi"/>
          <w:b/>
          <w:bCs/>
          <w:sz w:val="24"/>
          <w:szCs w:val="24"/>
        </w:rPr>
      </w:pPr>
    </w:p>
    <w:p w14:paraId="6DDAA6C9" w14:textId="26DB5631" w:rsidR="00A821D5" w:rsidRPr="00A821D5" w:rsidRDefault="00A821D5" w:rsidP="00A821D5">
      <w:pPr>
        <w:spacing w:line="240" w:lineRule="auto"/>
        <w:jc w:val="center"/>
        <w:rPr>
          <w:rFonts w:eastAsia="Calibri" w:cstheme="minorHAnsi"/>
          <w:b/>
          <w:bCs/>
          <w:sz w:val="24"/>
          <w:szCs w:val="24"/>
        </w:rPr>
      </w:pPr>
      <w:r w:rsidRPr="00A821D5">
        <w:rPr>
          <w:rFonts w:eastAsia="Calibri" w:cstheme="minorHAnsi"/>
          <w:b/>
          <w:bCs/>
          <w:sz w:val="24"/>
          <w:szCs w:val="24"/>
        </w:rPr>
        <w:t xml:space="preserve">New Zealand’s progress under the </w:t>
      </w:r>
      <w:r>
        <w:rPr>
          <w:rFonts w:eastAsia="Calibri" w:cstheme="minorHAnsi"/>
          <w:b/>
          <w:bCs/>
          <w:sz w:val="24"/>
          <w:szCs w:val="24"/>
        </w:rPr>
        <w:t>UN</w:t>
      </w:r>
      <w:r w:rsidRPr="00A821D5">
        <w:rPr>
          <w:rFonts w:eastAsia="Calibri" w:cstheme="minorHAnsi"/>
          <w:b/>
          <w:bCs/>
          <w:sz w:val="24"/>
          <w:szCs w:val="24"/>
        </w:rPr>
        <w:t xml:space="preserve"> Convention on the Elimination of All Forms of Discrimination Against Women</w:t>
      </w:r>
    </w:p>
    <w:p w14:paraId="55DD4F14" w14:textId="63EB7554" w:rsidR="00D56BA6" w:rsidRPr="00A821D5" w:rsidRDefault="007752B4" w:rsidP="00A821D5">
      <w:pPr>
        <w:jc w:val="center"/>
        <w:rPr>
          <w:rFonts w:eastAsia="Calibri" w:cstheme="minorHAnsi"/>
          <w:b/>
          <w:bCs/>
          <w:sz w:val="24"/>
          <w:szCs w:val="24"/>
        </w:rPr>
      </w:pPr>
      <w:bookmarkStart w:id="1" w:name="_Toc42243881"/>
      <w:r>
        <w:rPr>
          <w:rFonts w:eastAsia="Calibri" w:cstheme="minorHAnsi"/>
          <w:b/>
          <w:bCs/>
          <w:sz w:val="24"/>
          <w:szCs w:val="24"/>
        </w:rPr>
        <w:t xml:space="preserve">Follow-up </w:t>
      </w:r>
      <w:r w:rsidR="00A821D5">
        <w:rPr>
          <w:rFonts w:eastAsia="Calibri" w:cstheme="minorHAnsi"/>
          <w:b/>
          <w:bCs/>
          <w:sz w:val="24"/>
          <w:szCs w:val="24"/>
        </w:rPr>
        <w:t>Su</w:t>
      </w:r>
      <w:r w:rsidR="003C0F5A" w:rsidRPr="00A821D5">
        <w:rPr>
          <w:rFonts w:eastAsia="Calibri" w:cstheme="minorHAnsi"/>
          <w:b/>
          <w:bCs/>
          <w:sz w:val="24"/>
          <w:szCs w:val="24"/>
        </w:rPr>
        <w:t>bmission of the New Zealand Human Rights Commission</w:t>
      </w:r>
    </w:p>
    <w:bookmarkEnd w:id="0"/>
    <w:bookmarkEnd w:id="1"/>
    <w:p w14:paraId="12DF360B" w14:textId="77777777" w:rsidR="00F0753B" w:rsidRPr="00F0753B" w:rsidRDefault="00F0753B" w:rsidP="00F0753B">
      <w:pPr>
        <w:pStyle w:val="ListParagraph"/>
        <w:spacing w:after="0" w:line="240" w:lineRule="auto"/>
        <w:ind w:left="360"/>
        <w:jc w:val="both"/>
        <w:rPr>
          <w:rFonts w:eastAsia="Calibri"/>
        </w:rPr>
      </w:pPr>
    </w:p>
    <w:p w14:paraId="3B920224" w14:textId="1340EE29" w:rsidR="00172D8C" w:rsidRDefault="004852B9" w:rsidP="00F07540">
      <w:pPr>
        <w:pStyle w:val="ListParagraph"/>
        <w:numPr>
          <w:ilvl w:val="0"/>
          <w:numId w:val="4"/>
        </w:numPr>
        <w:spacing w:after="0" w:line="240" w:lineRule="auto"/>
        <w:jc w:val="both"/>
        <w:rPr>
          <w:rFonts w:eastAsia="Calibri"/>
        </w:rPr>
      </w:pPr>
      <w:r>
        <w:t xml:space="preserve">The Human Rights Commission </w:t>
      </w:r>
      <w:r w:rsidR="00846BA4">
        <w:t>welcomes the opportunity to make</w:t>
      </w:r>
      <w:r w:rsidR="003C0F5A">
        <w:t xml:space="preserve"> this submission to the </w:t>
      </w:r>
      <w:r w:rsidR="00FA2E38">
        <w:t xml:space="preserve">Committee for the </w:t>
      </w:r>
      <w:r w:rsidR="00FA2E38" w:rsidRPr="00FA2E38">
        <w:rPr>
          <w:rFonts w:eastAsia="Calibri" w:cstheme="minorHAnsi"/>
        </w:rPr>
        <w:t>Convention on the Elimination of All Forms of Discrimination Against Women</w:t>
      </w:r>
      <w:r w:rsidR="00FA2E38">
        <w:t xml:space="preserve"> (CEDAW</w:t>
      </w:r>
      <w:r w:rsidR="00C34320">
        <w:t xml:space="preserve"> Committee</w:t>
      </w:r>
      <w:r w:rsidR="00FA2E38">
        <w:t xml:space="preserve">) </w:t>
      </w:r>
      <w:r w:rsidR="003C0F5A" w:rsidRPr="33F126A0">
        <w:rPr>
          <w:rFonts w:eastAsia="Calibri"/>
        </w:rPr>
        <w:t xml:space="preserve">to provide an update on </w:t>
      </w:r>
      <w:r w:rsidR="00172D8C">
        <w:rPr>
          <w:rFonts w:eastAsia="Calibri"/>
        </w:rPr>
        <w:t>New Zealand</w:t>
      </w:r>
      <w:r w:rsidR="003C0F5A" w:rsidRPr="33F126A0">
        <w:rPr>
          <w:rFonts w:eastAsia="Calibri"/>
        </w:rPr>
        <w:t xml:space="preserve">’s progress in implementing </w:t>
      </w:r>
      <w:r w:rsidR="00C63DC6">
        <w:rPr>
          <w:rFonts w:eastAsia="Calibri"/>
        </w:rPr>
        <w:t>the</w:t>
      </w:r>
      <w:r w:rsidR="00E11728">
        <w:rPr>
          <w:rFonts w:eastAsia="Calibri"/>
        </w:rPr>
        <w:t xml:space="preserve"> </w:t>
      </w:r>
      <w:r w:rsidR="003C0F5A" w:rsidRPr="33F126A0">
        <w:rPr>
          <w:rFonts w:eastAsia="Calibri"/>
        </w:rPr>
        <w:t xml:space="preserve">recommendations </w:t>
      </w:r>
      <w:r w:rsidR="00B8131A">
        <w:rPr>
          <w:rFonts w:eastAsia="Calibri"/>
        </w:rPr>
        <w:t xml:space="preserve">identified </w:t>
      </w:r>
      <w:r w:rsidR="00E11728">
        <w:rPr>
          <w:rFonts w:eastAsia="Calibri"/>
        </w:rPr>
        <w:t xml:space="preserve">for follow-up </w:t>
      </w:r>
      <w:r w:rsidR="00B8131A">
        <w:rPr>
          <w:rFonts w:eastAsia="Calibri"/>
        </w:rPr>
        <w:t xml:space="preserve">in </w:t>
      </w:r>
      <w:r w:rsidR="00172D8C">
        <w:rPr>
          <w:rFonts w:eastAsia="Calibri"/>
        </w:rPr>
        <w:t>the 2018</w:t>
      </w:r>
      <w:r w:rsidR="003C0F5A" w:rsidRPr="33F126A0">
        <w:rPr>
          <w:rFonts w:eastAsia="Calibri"/>
        </w:rPr>
        <w:t xml:space="preserve"> Concluding Observations</w:t>
      </w:r>
      <w:r w:rsidR="008B7216">
        <w:rPr>
          <w:rFonts w:eastAsia="Calibri"/>
        </w:rPr>
        <w:t xml:space="preserve">. </w:t>
      </w:r>
    </w:p>
    <w:p w14:paraId="196D2791" w14:textId="77777777" w:rsidR="00172D8C" w:rsidRDefault="00172D8C" w:rsidP="00172D8C">
      <w:pPr>
        <w:pStyle w:val="ListParagraph"/>
        <w:spacing w:after="0" w:line="240" w:lineRule="auto"/>
        <w:ind w:left="360"/>
        <w:jc w:val="both"/>
        <w:rPr>
          <w:rFonts w:eastAsia="Calibri"/>
        </w:rPr>
      </w:pPr>
    </w:p>
    <w:p w14:paraId="5DF1DD72" w14:textId="77777777" w:rsidR="008A7F09" w:rsidRDefault="00172D8C" w:rsidP="00F07540">
      <w:pPr>
        <w:pStyle w:val="ListParagraph"/>
        <w:numPr>
          <w:ilvl w:val="0"/>
          <w:numId w:val="4"/>
        </w:numPr>
        <w:spacing w:after="0" w:line="240" w:lineRule="auto"/>
        <w:jc w:val="both"/>
        <w:rPr>
          <w:rFonts w:eastAsia="Calibri"/>
        </w:rPr>
      </w:pPr>
      <w:r>
        <w:rPr>
          <w:rFonts w:eastAsia="Calibri"/>
        </w:rPr>
        <w:t>T</w:t>
      </w:r>
      <w:r w:rsidR="00105FFC" w:rsidRPr="00F07540">
        <w:rPr>
          <w:rFonts w:eastAsia="Calibri"/>
        </w:rPr>
        <w:t>he recommendations relate to</w:t>
      </w:r>
      <w:r w:rsidR="008A7F09">
        <w:rPr>
          <w:rFonts w:eastAsia="Calibri"/>
        </w:rPr>
        <w:t>:</w:t>
      </w:r>
    </w:p>
    <w:p w14:paraId="22C93C9A" w14:textId="77777777" w:rsidR="008A7F09" w:rsidRPr="008A7F09" w:rsidRDefault="008A7F09" w:rsidP="008A7F09">
      <w:pPr>
        <w:pStyle w:val="ListParagraph"/>
        <w:rPr>
          <w:rFonts w:eastAsia="Calibri"/>
        </w:rPr>
      </w:pPr>
    </w:p>
    <w:p w14:paraId="3ED13D4B" w14:textId="63B1B7B8" w:rsidR="000972D1" w:rsidRDefault="005145AE" w:rsidP="008A7F09">
      <w:pPr>
        <w:pStyle w:val="ListParagraph"/>
        <w:numPr>
          <w:ilvl w:val="1"/>
          <w:numId w:val="4"/>
        </w:numPr>
        <w:spacing w:after="0" w:line="240" w:lineRule="auto"/>
        <w:jc w:val="both"/>
        <w:rPr>
          <w:rFonts w:eastAsia="Calibri"/>
        </w:rPr>
      </w:pPr>
      <w:r>
        <w:rPr>
          <w:rFonts w:eastAsia="Calibri"/>
        </w:rPr>
        <w:t>I</w:t>
      </w:r>
      <w:r w:rsidR="008B7216" w:rsidRPr="00F07540">
        <w:rPr>
          <w:rFonts w:eastAsia="Calibri"/>
        </w:rPr>
        <w:t>ncreas</w:t>
      </w:r>
      <w:r w:rsidR="00A00131">
        <w:rPr>
          <w:rFonts w:eastAsia="Calibri"/>
        </w:rPr>
        <w:t>ing</w:t>
      </w:r>
      <w:r w:rsidR="008B7216" w:rsidRPr="00F07540">
        <w:rPr>
          <w:rFonts w:eastAsia="Calibri"/>
        </w:rPr>
        <w:t xml:space="preserve"> funding for the Human Rights Commission</w:t>
      </w:r>
      <w:r w:rsidR="00A612F4">
        <w:rPr>
          <w:rFonts w:eastAsia="Calibri"/>
        </w:rPr>
        <w:t xml:space="preserve"> (Commission)</w:t>
      </w:r>
    </w:p>
    <w:p w14:paraId="15F79C30" w14:textId="0021DDB1" w:rsidR="008A7F09" w:rsidRDefault="005145AE" w:rsidP="008A7F09">
      <w:pPr>
        <w:pStyle w:val="ListParagraph"/>
        <w:numPr>
          <w:ilvl w:val="1"/>
          <w:numId w:val="4"/>
        </w:numPr>
        <w:spacing w:after="0" w:line="240" w:lineRule="auto"/>
        <w:jc w:val="both"/>
        <w:rPr>
          <w:rFonts w:eastAsia="Calibri"/>
        </w:rPr>
      </w:pPr>
      <w:r>
        <w:rPr>
          <w:rFonts w:eastAsia="Calibri" w:cstheme="minorHAnsi"/>
        </w:rPr>
        <w:t>R</w:t>
      </w:r>
      <w:r w:rsidR="00A612F4" w:rsidRPr="00A612F4">
        <w:rPr>
          <w:rFonts w:eastAsia="Calibri" w:cstheme="minorHAnsi"/>
        </w:rPr>
        <w:t>epeal</w:t>
      </w:r>
      <w:r w:rsidR="00140028">
        <w:rPr>
          <w:rFonts w:eastAsia="Calibri" w:cstheme="minorHAnsi"/>
        </w:rPr>
        <w:t>ing</w:t>
      </w:r>
      <w:r w:rsidR="000972D1">
        <w:rPr>
          <w:rFonts w:eastAsia="Calibri" w:cstheme="minorHAnsi"/>
        </w:rPr>
        <w:t xml:space="preserve"> of</w:t>
      </w:r>
      <w:r w:rsidR="00A612F4" w:rsidRPr="00A612F4">
        <w:rPr>
          <w:rFonts w:eastAsia="Calibri" w:cstheme="minorHAnsi"/>
        </w:rPr>
        <w:t xml:space="preserve"> s 392 of the Immigration Act 2009</w:t>
      </w:r>
      <w:r w:rsidR="00A612F4">
        <w:rPr>
          <w:rFonts w:eastAsia="Calibri" w:cstheme="minorHAnsi"/>
        </w:rPr>
        <w:t xml:space="preserve"> to allow the Commission to receive complaints</w:t>
      </w:r>
    </w:p>
    <w:p w14:paraId="06CF1DD1" w14:textId="06B59566" w:rsidR="008A7F09" w:rsidRDefault="005145AE" w:rsidP="008A7F09">
      <w:pPr>
        <w:pStyle w:val="ListParagraph"/>
        <w:numPr>
          <w:ilvl w:val="1"/>
          <w:numId w:val="4"/>
        </w:numPr>
        <w:spacing w:after="0" w:line="240" w:lineRule="auto"/>
        <w:jc w:val="both"/>
        <w:rPr>
          <w:rFonts w:eastAsia="Calibri"/>
        </w:rPr>
      </w:pPr>
      <w:r>
        <w:rPr>
          <w:rFonts w:eastAsia="Calibri"/>
        </w:rPr>
        <w:t>A</w:t>
      </w:r>
      <w:r w:rsidR="00105FFC" w:rsidRPr="00F07540">
        <w:rPr>
          <w:rFonts w:eastAsia="Calibri"/>
        </w:rPr>
        <w:t>dopt</w:t>
      </w:r>
      <w:r w:rsidR="00A00131">
        <w:rPr>
          <w:rFonts w:eastAsia="Calibri"/>
        </w:rPr>
        <w:t>ing</w:t>
      </w:r>
      <w:r w:rsidR="00105FFC" w:rsidRPr="00F07540">
        <w:rPr>
          <w:rFonts w:eastAsia="Calibri"/>
        </w:rPr>
        <w:t xml:space="preserve"> a national strategy and action plan for combatting gender-based violence</w:t>
      </w:r>
    </w:p>
    <w:p w14:paraId="5A410B5D" w14:textId="083EC60C" w:rsidR="008A7F09" w:rsidRDefault="005145AE" w:rsidP="008A7F09">
      <w:pPr>
        <w:pStyle w:val="ListParagraph"/>
        <w:numPr>
          <w:ilvl w:val="1"/>
          <w:numId w:val="4"/>
        </w:numPr>
        <w:spacing w:after="0" w:line="240" w:lineRule="auto"/>
        <w:jc w:val="both"/>
        <w:rPr>
          <w:rFonts w:eastAsia="Calibri"/>
        </w:rPr>
      </w:pPr>
      <w:r>
        <w:rPr>
          <w:rFonts w:eastAsia="Calibri"/>
        </w:rPr>
        <w:t>R</w:t>
      </w:r>
      <w:r w:rsidR="00105FFC" w:rsidRPr="00F07540">
        <w:rPr>
          <w:rFonts w:eastAsia="Calibri"/>
        </w:rPr>
        <w:t>emoving</w:t>
      </w:r>
      <w:r w:rsidR="00A211F9">
        <w:rPr>
          <w:rFonts w:eastAsia="Calibri"/>
        </w:rPr>
        <w:t xml:space="preserve"> </w:t>
      </w:r>
      <w:r w:rsidR="00105FFC" w:rsidRPr="00F07540">
        <w:rPr>
          <w:rFonts w:eastAsia="Calibri"/>
        </w:rPr>
        <w:t>abortion from the Crimes Act 1961</w:t>
      </w:r>
    </w:p>
    <w:p w14:paraId="094F0733" w14:textId="5AF43953" w:rsidR="003C0F5A" w:rsidRPr="00F07540" w:rsidRDefault="005145AE" w:rsidP="008A7F09">
      <w:pPr>
        <w:pStyle w:val="ListParagraph"/>
        <w:numPr>
          <w:ilvl w:val="1"/>
          <w:numId w:val="4"/>
        </w:numPr>
        <w:spacing w:after="0" w:line="240" w:lineRule="auto"/>
        <w:jc w:val="both"/>
        <w:rPr>
          <w:rFonts w:eastAsia="Calibri"/>
        </w:rPr>
      </w:pPr>
      <w:r>
        <w:rPr>
          <w:rFonts w:eastAsia="Calibri"/>
        </w:rPr>
        <w:t>E</w:t>
      </w:r>
      <w:r w:rsidR="00105FFC" w:rsidRPr="00F07540">
        <w:rPr>
          <w:rFonts w:eastAsia="Calibri"/>
        </w:rPr>
        <w:t xml:space="preserve">stablishing a Royal Commission of Inquiry into the </w:t>
      </w:r>
      <w:r w:rsidR="00105FFC" w:rsidRPr="00F07540">
        <w:rPr>
          <w:rFonts w:cstheme="minorHAnsi"/>
        </w:rPr>
        <w:t>obstruction of justice and hindrances to safety for women inherent in the family court system</w:t>
      </w:r>
    </w:p>
    <w:p w14:paraId="12A3154C" w14:textId="77777777" w:rsidR="00F07540" w:rsidRPr="00F07540" w:rsidRDefault="00F07540" w:rsidP="00F07540">
      <w:pPr>
        <w:pStyle w:val="ListParagraph"/>
        <w:rPr>
          <w:rFonts w:eastAsia="Calibri"/>
        </w:rPr>
      </w:pPr>
    </w:p>
    <w:p w14:paraId="5975AE0D" w14:textId="1FFFB285" w:rsidR="00F07540" w:rsidRDefault="00F07540" w:rsidP="00872D55">
      <w:pPr>
        <w:pStyle w:val="ListParagraph"/>
        <w:numPr>
          <w:ilvl w:val="0"/>
          <w:numId w:val="4"/>
        </w:numPr>
        <w:spacing w:after="0" w:line="240" w:lineRule="auto"/>
        <w:jc w:val="both"/>
        <w:rPr>
          <w:rFonts w:eastAsia="Calibri"/>
        </w:rPr>
      </w:pPr>
      <w:r>
        <w:rPr>
          <w:rFonts w:eastAsia="Calibri"/>
        </w:rPr>
        <w:t xml:space="preserve">In summary, </w:t>
      </w:r>
      <w:r w:rsidR="00473135">
        <w:rPr>
          <w:rFonts w:eastAsia="Calibri"/>
        </w:rPr>
        <w:t xml:space="preserve">the </w:t>
      </w:r>
      <w:r w:rsidR="00C55B96">
        <w:rPr>
          <w:rFonts w:eastAsia="Calibri"/>
        </w:rPr>
        <w:t xml:space="preserve">Commission reports the </w:t>
      </w:r>
      <w:r w:rsidR="005145AE">
        <w:rPr>
          <w:rFonts w:eastAsia="Calibri"/>
        </w:rPr>
        <w:t>implementation status of those recommendations as follows</w:t>
      </w:r>
      <w:r w:rsidR="00A211F9">
        <w:rPr>
          <w:rFonts w:eastAsia="Calibri"/>
        </w:rPr>
        <w:t>:</w:t>
      </w:r>
    </w:p>
    <w:p w14:paraId="101C25D8" w14:textId="08001BF1" w:rsidR="00872D55" w:rsidRPr="00872D55" w:rsidRDefault="00872D55" w:rsidP="00872D55">
      <w:pPr>
        <w:pStyle w:val="ListParagraph"/>
        <w:spacing w:after="0" w:line="240" w:lineRule="auto"/>
        <w:ind w:left="360"/>
        <w:jc w:val="both"/>
        <w:rPr>
          <w:rFonts w:eastAsia="Calibri"/>
        </w:rPr>
      </w:pPr>
    </w:p>
    <w:p w14:paraId="39E6AABD" w14:textId="126E7ED9" w:rsidR="007E74FD" w:rsidRPr="00C55B96" w:rsidRDefault="00C72C46" w:rsidP="00C55B96">
      <w:pPr>
        <w:pStyle w:val="Default"/>
        <w:numPr>
          <w:ilvl w:val="1"/>
          <w:numId w:val="4"/>
        </w:numPr>
        <w:rPr>
          <w:rFonts w:asciiTheme="minorHAnsi" w:eastAsia="Calibri" w:hAnsiTheme="minorHAnsi" w:cstheme="minorBidi"/>
          <w:sz w:val="22"/>
          <w:szCs w:val="22"/>
        </w:rPr>
      </w:pPr>
      <w:r>
        <w:rPr>
          <w:rFonts w:asciiTheme="minorHAnsi" w:eastAsia="Calibri" w:hAnsiTheme="minorHAnsi" w:cstheme="minorBidi"/>
          <w:sz w:val="22"/>
          <w:szCs w:val="22"/>
        </w:rPr>
        <w:t>The Human Rights Commission has seen an increase in funding.</w:t>
      </w:r>
      <w:r w:rsidR="00A612F4">
        <w:rPr>
          <w:rFonts w:asciiTheme="minorHAnsi" w:eastAsia="Calibri" w:hAnsiTheme="minorHAnsi" w:cstheme="minorBidi"/>
          <w:sz w:val="22"/>
          <w:szCs w:val="22"/>
        </w:rPr>
        <w:t xml:space="preserve"> </w:t>
      </w:r>
    </w:p>
    <w:p w14:paraId="6454A7CB" w14:textId="32C52FE4" w:rsidR="002D7256" w:rsidRPr="00C55B96" w:rsidRDefault="007E74FD" w:rsidP="002D7256">
      <w:pPr>
        <w:pStyle w:val="Default"/>
        <w:numPr>
          <w:ilvl w:val="1"/>
          <w:numId w:val="4"/>
        </w:numPr>
        <w:rPr>
          <w:rFonts w:asciiTheme="minorHAnsi" w:eastAsia="Calibri" w:hAnsiTheme="minorHAnsi" w:cstheme="minorBidi"/>
          <w:sz w:val="22"/>
          <w:szCs w:val="22"/>
        </w:rPr>
      </w:pPr>
      <w:r>
        <w:rPr>
          <w:rFonts w:asciiTheme="minorHAnsi" w:eastAsia="Calibri" w:hAnsiTheme="minorHAnsi" w:cstheme="minorBidi"/>
          <w:sz w:val="22"/>
          <w:szCs w:val="22"/>
        </w:rPr>
        <w:t>Section</w:t>
      </w:r>
      <w:r w:rsidR="00A612F4">
        <w:rPr>
          <w:rFonts w:asciiTheme="minorHAnsi" w:eastAsia="Calibri" w:hAnsiTheme="minorHAnsi" w:cstheme="minorBidi"/>
          <w:sz w:val="22"/>
          <w:szCs w:val="22"/>
        </w:rPr>
        <w:t xml:space="preserve"> 392 of the Immigration Act 2009 </w:t>
      </w:r>
      <w:r w:rsidR="009F78CD">
        <w:rPr>
          <w:rFonts w:asciiTheme="minorHAnsi" w:eastAsia="Calibri" w:hAnsiTheme="minorHAnsi" w:cstheme="minorBidi"/>
          <w:sz w:val="22"/>
          <w:szCs w:val="22"/>
        </w:rPr>
        <w:t xml:space="preserve">has not been repealed. </w:t>
      </w:r>
    </w:p>
    <w:p w14:paraId="666CA828" w14:textId="3F173B7A" w:rsidR="0078305F" w:rsidRPr="00B1237E" w:rsidRDefault="006F45C7" w:rsidP="00B1237E">
      <w:pPr>
        <w:pStyle w:val="Default"/>
        <w:numPr>
          <w:ilvl w:val="1"/>
          <w:numId w:val="4"/>
        </w:numPr>
        <w:rPr>
          <w:rFonts w:asciiTheme="minorHAnsi" w:eastAsia="Calibri" w:hAnsiTheme="minorHAnsi" w:cstheme="minorBidi"/>
          <w:sz w:val="22"/>
          <w:szCs w:val="22"/>
        </w:rPr>
      </w:pPr>
      <w:r>
        <w:rPr>
          <w:rFonts w:asciiTheme="minorHAnsi" w:eastAsia="Calibri" w:hAnsiTheme="minorHAnsi" w:cstheme="minorBidi"/>
          <w:sz w:val="22"/>
          <w:szCs w:val="22"/>
        </w:rPr>
        <w:t xml:space="preserve">New Zealand has made significant progress </w:t>
      </w:r>
      <w:r w:rsidR="00ED3FEE">
        <w:rPr>
          <w:rFonts w:asciiTheme="minorHAnsi" w:eastAsia="Calibri" w:hAnsiTheme="minorHAnsi" w:cstheme="minorBidi"/>
          <w:sz w:val="22"/>
          <w:szCs w:val="22"/>
        </w:rPr>
        <w:t>by</w:t>
      </w:r>
      <w:r w:rsidR="00B8131A">
        <w:rPr>
          <w:rFonts w:asciiTheme="minorHAnsi" w:eastAsia="Calibri" w:hAnsiTheme="minorHAnsi" w:cstheme="minorBidi"/>
          <w:sz w:val="22"/>
          <w:szCs w:val="22"/>
        </w:rPr>
        <w:t xml:space="preserve"> remov</w:t>
      </w:r>
      <w:r w:rsidR="00ED3FEE">
        <w:rPr>
          <w:rFonts w:asciiTheme="minorHAnsi" w:eastAsia="Calibri" w:hAnsiTheme="minorHAnsi" w:cstheme="minorBidi"/>
          <w:sz w:val="22"/>
          <w:szCs w:val="22"/>
        </w:rPr>
        <w:t>ing</w:t>
      </w:r>
      <w:r w:rsidR="00B8131A">
        <w:rPr>
          <w:rFonts w:asciiTheme="minorHAnsi" w:eastAsia="Calibri" w:hAnsiTheme="minorHAnsi" w:cstheme="minorBidi"/>
          <w:sz w:val="22"/>
          <w:szCs w:val="22"/>
        </w:rPr>
        <w:t xml:space="preserve"> </w:t>
      </w:r>
      <w:r w:rsidR="00C63DC6">
        <w:rPr>
          <w:rFonts w:asciiTheme="minorHAnsi" w:eastAsia="Calibri" w:hAnsiTheme="minorHAnsi" w:cstheme="minorBidi"/>
          <w:sz w:val="22"/>
          <w:szCs w:val="22"/>
        </w:rPr>
        <w:t>abortion from the Crimes Act 1961 and making it a health issue</w:t>
      </w:r>
      <w:r w:rsidR="007B2E35">
        <w:rPr>
          <w:rFonts w:asciiTheme="minorHAnsi" w:eastAsia="Calibri" w:hAnsiTheme="minorHAnsi" w:cstheme="minorBidi"/>
          <w:sz w:val="22"/>
          <w:szCs w:val="22"/>
        </w:rPr>
        <w:t>.</w:t>
      </w:r>
      <w:r w:rsidR="005D1DE7">
        <w:rPr>
          <w:rFonts w:asciiTheme="minorHAnsi" w:eastAsia="Calibri" w:hAnsiTheme="minorHAnsi" w:cstheme="minorBidi"/>
          <w:sz w:val="22"/>
          <w:szCs w:val="22"/>
        </w:rPr>
        <w:t xml:space="preserve"> </w:t>
      </w:r>
      <w:r w:rsidR="007B2E35">
        <w:rPr>
          <w:rFonts w:asciiTheme="minorHAnsi" w:eastAsia="Calibri" w:hAnsiTheme="minorHAnsi" w:cstheme="minorBidi"/>
          <w:sz w:val="22"/>
          <w:szCs w:val="22"/>
        </w:rPr>
        <w:t>H</w:t>
      </w:r>
      <w:r w:rsidR="005D1DE7">
        <w:rPr>
          <w:rFonts w:asciiTheme="minorHAnsi" w:eastAsia="Calibri" w:hAnsiTheme="minorHAnsi" w:cstheme="minorBidi"/>
          <w:sz w:val="22"/>
          <w:szCs w:val="22"/>
        </w:rPr>
        <w:t>owever</w:t>
      </w:r>
      <w:r w:rsidR="00E52C12">
        <w:rPr>
          <w:rFonts w:asciiTheme="minorHAnsi" w:eastAsia="Calibri" w:hAnsiTheme="minorHAnsi" w:cstheme="minorBidi"/>
          <w:sz w:val="22"/>
          <w:szCs w:val="22"/>
        </w:rPr>
        <w:t>,</w:t>
      </w:r>
      <w:r w:rsidR="008A7F09">
        <w:rPr>
          <w:rFonts w:asciiTheme="minorHAnsi" w:eastAsia="Calibri" w:hAnsiTheme="minorHAnsi" w:cstheme="minorBidi"/>
          <w:sz w:val="22"/>
          <w:szCs w:val="22"/>
        </w:rPr>
        <w:t xml:space="preserve"> problems </w:t>
      </w:r>
      <w:r w:rsidR="005D1DE7">
        <w:rPr>
          <w:rFonts w:asciiTheme="minorHAnsi" w:eastAsia="Calibri" w:hAnsiTheme="minorHAnsi" w:cstheme="minorBidi"/>
          <w:sz w:val="22"/>
          <w:szCs w:val="22"/>
        </w:rPr>
        <w:t>still exist in relation to the disparity of access and availability of abortions across the country.</w:t>
      </w:r>
    </w:p>
    <w:p w14:paraId="2FF3D7C1" w14:textId="02CFEAB1" w:rsidR="00C72C46" w:rsidRPr="00B1237E" w:rsidRDefault="0078305F" w:rsidP="00B1237E">
      <w:pPr>
        <w:pStyle w:val="Default"/>
        <w:numPr>
          <w:ilvl w:val="1"/>
          <w:numId w:val="4"/>
        </w:numPr>
        <w:rPr>
          <w:rFonts w:asciiTheme="minorHAnsi" w:eastAsia="Calibri" w:hAnsiTheme="minorHAnsi" w:cstheme="minorBidi"/>
          <w:sz w:val="22"/>
          <w:szCs w:val="22"/>
        </w:rPr>
      </w:pPr>
      <w:r>
        <w:rPr>
          <w:rFonts w:asciiTheme="minorHAnsi" w:hAnsiTheme="minorHAnsi" w:cstheme="minorBidi"/>
          <w:color w:val="auto"/>
          <w:sz w:val="22"/>
          <w:szCs w:val="22"/>
        </w:rPr>
        <w:t>I</w:t>
      </w:r>
      <w:r w:rsidR="00682C17" w:rsidRPr="0078305F">
        <w:rPr>
          <w:rFonts w:asciiTheme="minorHAnsi" w:hAnsiTheme="minorHAnsi" w:cstheme="minorBidi"/>
          <w:color w:val="auto"/>
          <w:sz w:val="22"/>
          <w:szCs w:val="22"/>
        </w:rPr>
        <w:t xml:space="preserve">ncidents of gender-based violence have not improved in New Zealand </w:t>
      </w:r>
      <w:r w:rsidR="00D2087D">
        <w:rPr>
          <w:rFonts w:asciiTheme="minorHAnsi" w:hAnsiTheme="minorHAnsi" w:cstheme="minorBidi"/>
          <w:color w:val="auto"/>
          <w:sz w:val="22"/>
          <w:szCs w:val="22"/>
        </w:rPr>
        <w:t>and</w:t>
      </w:r>
      <w:r w:rsidR="00682C17" w:rsidRPr="0078305F">
        <w:rPr>
          <w:rFonts w:asciiTheme="minorHAnsi" w:hAnsiTheme="minorHAnsi" w:cstheme="minorBidi"/>
          <w:color w:val="auto"/>
          <w:sz w:val="22"/>
          <w:szCs w:val="22"/>
        </w:rPr>
        <w:t xml:space="preserve"> the statistics continue to paint a grim picture, particularly for Māori</w:t>
      </w:r>
      <w:r w:rsidR="00A612F4">
        <w:rPr>
          <w:rFonts w:asciiTheme="minorHAnsi" w:hAnsiTheme="minorHAnsi" w:cstheme="minorBidi"/>
          <w:color w:val="auto"/>
          <w:sz w:val="22"/>
          <w:szCs w:val="22"/>
        </w:rPr>
        <w:t xml:space="preserve">. </w:t>
      </w:r>
      <w:r w:rsidR="00682C17" w:rsidRPr="0078305F">
        <w:rPr>
          <w:rFonts w:asciiTheme="minorHAnsi" w:hAnsiTheme="minorHAnsi" w:cstheme="minorBidi"/>
          <w:sz w:val="22"/>
          <w:szCs w:val="22"/>
        </w:rPr>
        <w:t xml:space="preserve">While there have been some positive developments in the law and the announcement </w:t>
      </w:r>
      <w:r w:rsidR="00EE2FCF">
        <w:rPr>
          <w:rFonts w:asciiTheme="minorHAnsi" w:hAnsiTheme="minorHAnsi" w:cstheme="minorBidi"/>
          <w:sz w:val="22"/>
          <w:szCs w:val="22"/>
        </w:rPr>
        <w:t xml:space="preserve">in November 2020 </w:t>
      </w:r>
      <w:r w:rsidR="00682C17" w:rsidRPr="0078305F">
        <w:rPr>
          <w:rFonts w:asciiTheme="minorHAnsi" w:hAnsiTheme="minorHAnsi" w:cstheme="minorBidi"/>
          <w:sz w:val="22"/>
          <w:szCs w:val="22"/>
        </w:rPr>
        <w:t>of a new Minist</w:t>
      </w:r>
      <w:r w:rsidR="00EE2FCF">
        <w:rPr>
          <w:rFonts w:asciiTheme="minorHAnsi" w:hAnsiTheme="minorHAnsi" w:cstheme="minorBidi"/>
          <w:sz w:val="22"/>
          <w:szCs w:val="22"/>
        </w:rPr>
        <w:t>er</w:t>
      </w:r>
      <w:r w:rsidR="00682C17" w:rsidRPr="0078305F">
        <w:rPr>
          <w:rFonts w:asciiTheme="minorHAnsi" w:hAnsiTheme="minorHAnsi" w:cstheme="minorBidi"/>
          <w:sz w:val="22"/>
          <w:szCs w:val="22"/>
        </w:rPr>
        <w:t xml:space="preserve"> for the </w:t>
      </w:r>
      <w:r w:rsidR="00E52C12">
        <w:rPr>
          <w:rFonts w:asciiTheme="minorHAnsi" w:hAnsiTheme="minorHAnsi" w:cstheme="minorBidi"/>
          <w:sz w:val="22"/>
          <w:szCs w:val="22"/>
        </w:rPr>
        <w:t>P</w:t>
      </w:r>
      <w:r w:rsidR="00682C17" w:rsidRPr="0078305F">
        <w:rPr>
          <w:rFonts w:asciiTheme="minorHAnsi" w:hAnsiTheme="minorHAnsi" w:cstheme="minorBidi"/>
          <w:sz w:val="22"/>
          <w:szCs w:val="22"/>
        </w:rPr>
        <w:t xml:space="preserve">revention of </w:t>
      </w:r>
      <w:r w:rsidR="00E52C12">
        <w:rPr>
          <w:rFonts w:asciiTheme="minorHAnsi" w:hAnsiTheme="minorHAnsi" w:cstheme="minorBidi"/>
          <w:sz w:val="22"/>
          <w:szCs w:val="22"/>
        </w:rPr>
        <w:t>F</w:t>
      </w:r>
      <w:r w:rsidR="00682C17" w:rsidRPr="0078305F">
        <w:rPr>
          <w:rFonts w:asciiTheme="minorHAnsi" w:hAnsiTheme="minorHAnsi" w:cstheme="minorBidi"/>
          <w:sz w:val="22"/>
          <w:szCs w:val="22"/>
        </w:rPr>
        <w:t xml:space="preserve">amily and </w:t>
      </w:r>
      <w:r w:rsidR="00E52C12">
        <w:rPr>
          <w:rFonts w:asciiTheme="minorHAnsi" w:hAnsiTheme="minorHAnsi" w:cstheme="minorBidi"/>
          <w:sz w:val="22"/>
          <w:szCs w:val="22"/>
        </w:rPr>
        <w:t>S</w:t>
      </w:r>
      <w:r w:rsidR="00682C17" w:rsidRPr="0078305F">
        <w:rPr>
          <w:rFonts w:asciiTheme="minorHAnsi" w:hAnsiTheme="minorHAnsi" w:cstheme="minorBidi"/>
          <w:sz w:val="22"/>
          <w:szCs w:val="22"/>
        </w:rPr>
        <w:t xml:space="preserve">exual </w:t>
      </w:r>
      <w:r w:rsidR="00E52C12">
        <w:rPr>
          <w:rFonts w:asciiTheme="minorHAnsi" w:hAnsiTheme="minorHAnsi" w:cstheme="minorBidi"/>
          <w:sz w:val="22"/>
          <w:szCs w:val="22"/>
        </w:rPr>
        <w:t>V</w:t>
      </w:r>
      <w:r w:rsidR="00682C17" w:rsidRPr="0078305F">
        <w:rPr>
          <w:rFonts w:asciiTheme="minorHAnsi" w:hAnsiTheme="minorHAnsi" w:cstheme="minorBidi"/>
          <w:sz w:val="22"/>
          <w:szCs w:val="22"/>
        </w:rPr>
        <w:t xml:space="preserve">iolence, no </w:t>
      </w:r>
      <w:r w:rsidR="00682C17" w:rsidRPr="0078305F">
        <w:rPr>
          <w:rFonts w:asciiTheme="minorHAnsi" w:hAnsiTheme="minorHAnsi" w:cstheme="minorBidi"/>
          <w:color w:val="auto"/>
          <w:sz w:val="22"/>
          <w:szCs w:val="22"/>
        </w:rPr>
        <w:t xml:space="preserve">cross-party strategy and national plan on combatting gender-based violence against women has been </w:t>
      </w:r>
      <w:proofErr w:type="gramStart"/>
      <w:r w:rsidR="00682C17" w:rsidRPr="0078305F">
        <w:rPr>
          <w:rFonts w:asciiTheme="minorHAnsi" w:hAnsiTheme="minorHAnsi" w:cstheme="minorBidi"/>
          <w:color w:val="auto"/>
          <w:sz w:val="22"/>
          <w:szCs w:val="22"/>
        </w:rPr>
        <w:t>developed</w:t>
      </w:r>
      <w:r w:rsidR="00D50149">
        <w:rPr>
          <w:rFonts w:asciiTheme="minorHAnsi" w:hAnsiTheme="minorHAnsi" w:cstheme="minorBidi"/>
          <w:color w:val="auto"/>
          <w:sz w:val="22"/>
          <w:szCs w:val="22"/>
        </w:rPr>
        <w:t>.</w:t>
      </w:r>
      <w:r w:rsidR="001621A5" w:rsidRPr="005A654C">
        <w:rPr>
          <w:rFonts w:asciiTheme="minorHAnsi" w:hAnsiTheme="minorHAnsi" w:cstheme="minorBidi"/>
          <w:sz w:val="22"/>
          <w:szCs w:val="22"/>
        </w:rPr>
        <w:t>.</w:t>
      </w:r>
      <w:proofErr w:type="gramEnd"/>
    </w:p>
    <w:p w14:paraId="344DD317" w14:textId="5E1C04DC" w:rsidR="00CB3ABD" w:rsidRPr="00B1237E" w:rsidRDefault="00D64DD4" w:rsidP="00B1237E">
      <w:pPr>
        <w:pStyle w:val="Default"/>
        <w:numPr>
          <w:ilvl w:val="1"/>
          <w:numId w:val="4"/>
        </w:numPr>
        <w:rPr>
          <w:rFonts w:asciiTheme="minorHAnsi" w:hAnsiTheme="minorHAnsi" w:cstheme="minorBidi"/>
          <w:color w:val="auto"/>
          <w:sz w:val="22"/>
          <w:szCs w:val="22"/>
        </w:rPr>
      </w:pPr>
      <w:r w:rsidRPr="00C72C46">
        <w:rPr>
          <w:rFonts w:asciiTheme="minorHAnsi" w:hAnsiTheme="minorHAnsi" w:cstheme="minorBidi"/>
          <w:color w:val="auto"/>
          <w:sz w:val="22"/>
          <w:szCs w:val="22"/>
        </w:rPr>
        <w:t>A Royal Commission of Inquiry into the obstruction of justice and hindrances to safety for women inherent in the family court system</w:t>
      </w:r>
      <w:r w:rsidR="00C72C46">
        <w:rPr>
          <w:rFonts w:asciiTheme="minorHAnsi" w:hAnsiTheme="minorHAnsi" w:cstheme="minorBidi"/>
          <w:color w:val="auto"/>
          <w:sz w:val="22"/>
          <w:szCs w:val="22"/>
        </w:rPr>
        <w:t xml:space="preserve"> has not been set up.</w:t>
      </w:r>
    </w:p>
    <w:p w14:paraId="4808D937" w14:textId="07F041AA" w:rsidR="00CB3ABD" w:rsidRDefault="00CB3ABD" w:rsidP="00CB3ABD">
      <w:pPr>
        <w:pStyle w:val="Default"/>
        <w:ind w:left="360"/>
        <w:rPr>
          <w:rFonts w:asciiTheme="minorHAnsi" w:eastAsia="Calibri" w:hAnsiTheme="minorHAnsi" w:cstheme="minorBidi"/>
          <w:sz w:val="22"/>
          <w:szCs w:val="22"/>
        </w:rPr>
      </w:pPr>
    </w:p>
    <w:p w14:paraId="1AEA1123" w14:textId="7649475B" w:rsidR="00B1237E" w:rsidRPr="004B6718" w:rsidRDefault="00B1237E" w:rsidP="00CB3ABD">
      <w:pPr>
        <w:pStyle w:val="Default"/>
        <w:ind w:left="360"/>
        <w:rPr>
          <w:rFonts w:asciiTheme="minorHAnsi" w:eastAsia="Calibri" w:hAnsiTheme="minorHAnsi" w:cstheme="minorBidi"/>
          <w:sz w:val="22"/>
          <w:szCs w:val="22"/>
        </w:rPr>
      </w:pPr>
    </w:p>
    <w:p w14:paraId="1FFC3322" w14:textId="750FEA13" w:rsidR="0036513A" w:rsidRPr="0036513A" w:rsidRDefault="0036513A" w:rsidP="0036513A">
      <w:pPr>
        <w:pStyle w:val="Default"/>
        <w:ind w:left="720"/>
        <w:rPr>
          <w:rFonts w:asciiTheme="minorHAnsi" w:eastAsia="Calibri" w:hAnsiTheme="minorHAnsi" w:cstheme="minorHAnsi"/>
          <w:sz w:val="22"/>
          <w:szCs w:val="22"/>
        </w:rPr>
      </w:pPr>
    </w:p>
    <w:p w14:paraId="5AA437F7" w14:textId="26CF0C27" w:rsidR="00B1237E" w:rsidRDefault="00B1237E">
      <w:pPr>
        <w:rPr>
          <w:rFonts w:eastAsia="Calibri"/>
          <w:b/>
          <w:bCs/>
        </w:rPr>
      </w:pPr>
      <w:r>
        <w:rPr>
          <w:rFonts w:eastAsia="Calibri"/>
          <w:b/>
          <w:bCs/>
        </w:rPr>
        <w:br w:type="page"/>
      </w:r>
    </w:p>
    <w:p w14:paraId="7FFFEF16" w14:textId="4BBD6085" w:rsidR="00872D55" w:rsidRPr="00106568" w:rsidRDefault="7FCD4056" w:rsidP="00106568">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rFonts w:eastAsia="Calibri" w:cstheme="minorHAnsi"/>
          <w:b/>
          <w:bCs/>
        </w:rPr>
      </w:pPr>
      <w:r w:rsidRPr="4E6A8B50">
        <w:rPr>
          <w:rFonts w:eastAsia="Calibri"/>
          <w:b/>
          <w:bCs/>
        </w:rPr>
        <w:lastRenderedPageBreak/>
        <w:t>Provide the Commission with sufficient human, technical and financial resources to carry out its mandate to promote and protect women’s rights</w:t>
      </w:r>
    </w:p>
    <w:p w14:paraId="2D994A6A" w14:textId="2AE2CF4A" w:rsidR="00705C27" w:rsidRDefault="683997A7" w:rsidP="00B30175">
      <w:pPr>
        <w:pStyle w:val="ListParagraph"/>
        <w:numPr>
          <w:ilvl w:val="0"/>
          <w:numId w:val="4"/>
        </w:numPr>
        <w:spacing w:line="240" w:lineRule="auto"/>
        <w:rPr>
          <w:rFonts w:eastAsia="Calibri"/>
        </w:rPr>
      </w:pPr>
      <w:r w:rsidRPr="006F45C7">
        <w:rPr>
          <w:rFonts w:eastAsia="Calibri"/>
        </w:rPr>
        <w:t xml:space="preserve">In its 2019/2020 Budget, the Ministry of Justice increased </w:t>
      </w:r>
      <w:r w:rsidR="6099DDF5" w:rsidRPr="006F45C7">
        <w:rPr>
          <w:rFonts w:eastAsia="Calibri"/>
        </w:rPr>
        <w:t xml:space="preserve">operational </w:t>
      </w:r>
      <w:r w:rsidR="4226A7C2" w:rsidRPr="006F45C7">
        <w:rPr>
          <w:rFonts w:eastAsia="Calibri"/>
        </w:rPr>
        <w:t xml:space="preserve">baseline </w:t>
      </w:r>
      <w:r w:rsidRPr="006F45C7">
        <w:rPr>
          <w:rFonts w:eastAsia="Calibri"/>
        </w:rPr>
        <w:t xml:space="preserve">funding to the Human Rights Commission by $6.9m over four years. </w:t>
      </w:r>
      <w:r w:rsidR="25212769" w:rsidRPr="006F45C7">
        <w:rPr>
          <w:rFonts w:eastAsia="Calibri"/>
        </w:rPr>
        <w:t xml:space="preserve">The </w:t>
      </w:r>
      <w:r w:rsidR="00705C27" w:rsidRPr="006F45C7">
        <w:rPr>
          <w:rFonts w:eastAsia="Calibri"/>
        </w:rPr>
        <w:t xml:space="preserve">funding is </w:t>
      </w:r>
      <w:r w:rsidR="00D90758">
        <w:rPr>
          <w:rFonts w:eastAsia="Calibri"/>
        </w:rPr>
        <w:t xml:space="preserve">allocated </w:t>
      </w:r>
      <w:r w:rsidR="00D90758" w:rsidRPr="006F45C7">
        <w:rPr>
          <w:rFonts w:eastAsia="Calibri"/>
        </w:rPr>
        <w:t>through various programmes that align with</w:t>
      </w:r>
      <w:r w:rsidR="009D713C">
        <w:rPr>
          <w:rFonts w:eastAsia="Calibri"/>
        </w:rPr>
        <w:t xml:space="preserve"> the Commission’s</w:t>
      </w:r>
      <w:r w:rsidR="00D90758" w:rsidRPr="006F45C7">
        <w:rPr>
          <w:rFonts w:eastAsia="Calibri"/>
        </w:rPr>
        <w:t xml:space="preserve"> five</w:t>
      </w:r>
      <w:r w:rsidR="00D90758">
        <w:rPr>
          <w:rFonts w:eastAsia="Calibri"/>
        </w:rPr>
        <w:t>-</w:t>
      </w:r>
      <w:r w:rsidR="00D90758" w:rsidRPr="006F45C7">
        <w:rPr>
          <w:rFonts w:eastAsia="Calibri"/>
        </w:rPr>
        <w:t>year strategic plan</w:t>
      </w:r>
      <w:r w:rsidR="00FA06E4">
        <w:rPr>
          <w:rFonts w:eastAsia="Calibri"/>
        </w:rPr>
        <w:t>.</w:t>
      </w:r>
    </w:p>
    <w:p w14:paraId="16D90511" w14:textId="77777777" w:rsidR="006F45C7" w:rsidRPr="006F45C7" w:rsidRDefault="006F45C7" w:rsidP="006F45C7">
      <w:pPr>
        <w:pStyle w:val="ListParagraph"/>
        <w:spacing w:line="240" w:lineRule="auto"/>
        <w:ind w:left="360"/>
        <w:rPr>
          <w:rFonts w:eastAsia="Calibri"/>
        </w:rPr>
      </w:pPr>
    </w:p>
    <w:p w14:paraId="404389B8" w14:textId="45906FBF" w:rsidR="00FA06E4" w:rsidRPr="00FA06E4" w:rsidRDefault="7C283160" w:rsidP="33F126A0">
      <w:pPr>
        <w:pStyle w:val="ListParagraph"/>
        <w:numPr>
          <w:ilvl w:val="0"/>
          <w:numId w:val="4"/>
        </w:numPr>
        <w:spacing w:after="0" w:line="240" w:lineRule="auto"/>
      </w:pPr>
      <w:r w:rsidRPr="33F126A0">
        <w:rPr>
          <w:rFonts w:eastAsia="Calibri"/>
        </w:rPr>
        <w:t>The</w:t>
      </w:r>
      <w:r w:rsidR="2C8F0615" w:rsidRPr="33F126A0">
        <w:rPr>
          <w:rFonts w:eastAsia="Calibri"/>
        </w:rPr>
        <w:t xml:space="preserve"> </w:t>
      </w:r>
      <w:r w:rsidR="00AE6A03" w:rsidRPr="33F126A0">
        <w:rPr>
          <w:rFonts w:eastAsia="Calibri"/>
        </w:rPr>
        <w:t xml:space="preserve">Equal Employment Opportunities (EEO) Commissioner </w:t>
      </w:r>
      <w:r w:rsidR="2C8F0615" w:rsidRPr="33F126A0">
        <w:rPr>
          <w:rFonts w:eastAsia="Calibri"/>
        </w:rPr>
        <w:t xml:space="preserve">holds the </w:t>
      </w:r>
      <w:r w:rsidR="00AE6A03">
        <w:rPr>
          <w:rFonts w:eastAsia="Calibri"/>
        </w:rPr>
        <w:t xml:space="preserve">Commission’s </w:t>
      </w:r>
      <w:r w:rsidR="2C8F0615" w:rsidRPr="33F126A0">
        <w:rPr>
          <w:rFonts w:eastAsia="Calibri"/>
        </w:rPr>
        <w:t>women’s rights portfolio</w:t>
      </w:r>
      <w:r w:rsidR="00F44965">
        <w:rPr>
          <w:rFonts w:eastAsia="Calibri"/>
        </w:rPr>
        <w:t xml:space="preserve"> and</w:t>
      </w:r>
      <w:r w:rsidR="011B1C1B" w:rsidRPr="5AADC99F">
        <w:rPr>
          <w:rFonts w:eastAsia="Calibri"/>
        </w:rPr>
        <w:t xml:space="preserve"> focus</w:t>
      </w:r>
      <w:r w:rsidR="00F44965">
        <w:rPr>
          <w:rFonts w:eastAsia="Calibri"/>
        </w:rPr>
        <w:t>es</w:t>
      </w:r>
      <w:r w:rsidR="011B1C1B" w:rsidRPr="5AADC99F">
        <w:rPr>
          <w:rFonts w:eastAsia="Calibri"/>
        </w:rPr>
        <w:t xml:space="preserve"> on key issues that disproportionately affect the rights of women. This includes </w:t>
      </w:r>
      <w:r w:rsidR="00F44965">
        <w:rPr>
          <w:rFonts w:eastAsia="Calibri"/>
        </w:rPr>
        <w:t xml:space="preserve">combatting gender-based violence, </w:t>
      </w:r>
      <w:r w:rsidR="005F180B">
        <w:rPr>
          <w:rFonts w:eastAsia="Calibri"/>
        </w:rPr>
        <w:t>the effect of</w:t>
      </w:r>
      <w:r w:rsidR="011B1C1B" w:rsidRPr="5AADC99F">
        <w:rPr>
          <w:rFonts w:eastAsia="Calibri"/>
        </w:rPr>
        <w:t xml:space="preserve"> </w:t>
      </w:r>
      <w:r w:rsidR="6E3E5A0B" w:rsidRPr="5AADC99F">
        <w:rPr>
          <w:rFonts w:eastAsia="Calibri"/>
        </w:rPr>
        <w:t>poverty in working households, pay transparency, ethnic and gender pay gaps,</w:t>
      </w:r>
      <w:r w:rsidR="7978ED56" w:rsidRPr="5AADC99F">
        <w:rPr>
          <w:rFonts w:eastAsia="Calibri"/>
        </w:rPr>
        <w:t xml:space="preserve"> migrant exploitation</w:t>
      </w:r>
      <w:r w:rsidR="0031432A">
        <w:rPr>
          <w:rFonts w:eastAsia="Calibri"/>
        </w:rPr>
        <w:t>,</w:t>
      </w:r>
      <w:r w:rsidR="7978ED56" w:rsidRPr="5AADC99F">
        <w:rPr>
          <w:rFonts w:eastAsia="Calibri"/>
        </w:rPr>
        <w:t xml:space="preserve"> modern slavery,</w:t>
      </w:r>
      <w:r w:rsidR="6E3E5A0B" w:rsidRPr="5AADC99F">
        <w:rPr>
          <w:rFonts w:eastAsia="Calibri"/>
        </w:rPr>
        <w:t xml:space="preserve"> and bullying and harassment in the wor</w:t>
      </w:r>
      <w:r w:rsidR="108D05E0" w:rsidRPr="5AADC99F">
        <w:rPr>
          <w:rFonts w:eastAsia="Calibri"/>
        </w:rPr>
        <w:t xml:space="preserve">kplace. </w:t>
      </w:r>
    </w:p>
    <w:p w14:paraId="3AE68C8D" w14:textId="77777777" w:rsidR="00FA06E4" w:rsidRDefault="00FA06E4" w:rsidP="00FA06E4">
      <w:pPr>
        <w:spacing w:after="0" w:line="240" w:lineRule="auto"/>
      </w:pPr>
    </w:p>
    <w:p w14:paraId="50FDCF88" w14:textId="60A3F7A8" w:rsidR="150BD685" w:rsidRPr="00F44965" w:rsidRDefault="00FA06E4" w:rsidP="00F44965">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rFonts w:eastAsia="Calibri" w:cstheme="minorHAnsi"/>
          <w:b/>
          <w:bCs/>
        </w:rPr>
      </w:pPr>
      <w:r w:rsidRPr="0067327A">
        <w:rPr>
          <w:rFonts w:eastAsia="Calibri" w:cstheme="minorHAnsi"/>
          <w:b/>
          <w:bCs/>
        </w:rPr>
        <w:t xml:space="preserve">Repeal s 392 of the Immigration Act 2009 with a view to ensuring the Commission is mandated to receive and process complaints from migrants </w:t>
      </w:r>
    </w:p>
    <w:p w14:paraId="07D9D5EC" w14:textId="5A49AB43" w:rsidR="33F126A0" w:rsidRDefault="33F126A0" w:rsidP="33F126A0">
      <w:pPr>
        <w:spacing w:after="0" w:line="240" w:lineRule="auto"/>
        <w:rPr>
          <w:rFonts w:eastAsia="Calibri"/>
        </w:rPr>
      </w:pPr>
    </w:p>
    <w:p w14:paraId="28AFFF5C" w14:textId="7F3AF067" w:rsidR="00CC54A6" w:rsidRDefault="007045D8" w:rsidP="00CC54A6">
      <w:pPr>
        <w:pStyle w:val="ListParagraph"/>
        <w:numPr>
          <w:ilvl w:val="0"/>
          <w:numId w:val="4"/>
        </w:numPr>
        <w:spacing w:line="240" w:lineRule="auto"/>
        <w:rPr>
          <w:rFonts w:eastAsia="Calibri"/>
        </w:rPr>
      </w:pPr>
      <w:r>
        <w:rPr>
          <w:rFonts w:eastAsia="Calibri"/>
        </w:rPr>
        <w:t>S</w:t>
      </w:r>
      <w:r w:rsidR="00CC54A6">
        <w:rPr>
          <w:rFonts w:eastAsia="Calibri"/>
        </w:rPr>
        <w:t>ection 392(2)</w:t>
      </w:r>
      <w:r w:rsidR="00CC54A6" w:rsidRPr="33F126A0">
        <w:rPr>
          <w:rFonts w:eastAsia="Calibri"/>
        </w:rPr>
        <w:t xml:space="preserve"> </w:t>
      </w:r>
      <w:r>
        <w:rPr>
          <w:rFonts w:eastAsia="Calibri"/>
        </w:rPr>
        <w:t xml:space="preserve">of the Immigration Act 2009 </w:t>
      </w:r>
      <w:r w:rsidR="00CC54A6" w:rsidRPr="33F126A0">
        <w:rPr>
          <w:rFonts w:eastAsia="Calibri"/>
        </w:rPr>
        <w:t>specifically excludes the Commission from receiving</w:t>
      </w:r>
      <w:r w:rsidR="00CC54A6">
        <w:rPr>
          <w:rFonts w:eastAsia="Calibri"/>
        </w:rPr>
        <w:t xml:space="preserve"> </w:t>
      </w:r>
      <w:r w:rsidR="00CC54A6" w:rsidRPr="33F126A0">
        <w:rPr>
          <w:rFonts w:eastAsia="Calibri"/>
        </w:rPr>
        <w:t xml:space="preserve">complaints about the content or application of </w:t>
      </w:r>
      <w:r>
        <w:rPr>
          <w:rFonts w:eastAsia="Calibri"/>
        </w:rPr>
        <w:t>the</w:t>
      </w:r>
      <w:r w:rsidR="00CC54A6" w:rsidRPr="33F126A0">
        <w:rPr>
          <w:rFonts w:eastAsia="Calibri"/>
        </w:rPr>
        <w:t xml:space="preserve"> Act or any regulations made under it, or about the content or application of any immigration instructions. </w:t>
      </w:r>
      <w:r w:rsidR="00CE7C8A">
        <w:rPr>
          <w:rFonts w:eastAsia="Calibri"/>
        </w:rPr>
        <w:t xml:space="preserve">In addition, the Commission cannot bring proceedings of any kind in relation to the above matters. </w:t>
      </w:r>
      <w:r w:rsidR="00CC54A6" w:rsidRPr="33F126A0">
        <w:rPr>
          <w:rFonts w:eastAsia="Calibri"/>
        </w:rPr>
        <w:t>Accordingly, the Commission cannot receive immigration-related complaints from migrant women who are particularly vulnerable to discrimination and exploitation.</w:t>
      </w:r>
    </w:p>
    <w:p w14:paraId="13259A4E" w14:textId="77777777" w:rsidR="00CE7C8A" w:rsidRDefault="00CE7C8A" w:rsidP="00CE7C8A">
      <w:pPr>
        <w:pStyle w:val="ListParagraph"/>
        <w:spacing w:line="240" w:lineRule="auto"/>
        <w:ind w:left="360"/>
        <w:rPr>
          <w:rFonts w:eastAsia="Calibri"/>
        </w:rPr>
      </w:pPr>
    </w:p>
    <w:p w14:paraId="5112DFB2" w14:textId="71448352" w:rsidR="00735A85" w:rsidRPr="00604DDA" w:rsidRDefault="00604DDA" w:rsidP="00604DDA">
      <w:pPr>
        <w:pStyle w:val="ListParagraph"/>
        <w:numPr>
          <w:ilvl w:val="0"/>
          <w:numId w:val="4"/>
        </w:numPr>
        <w:spacing w:line="240" w:lineRule="auto"/>
        <w:rPr>
          <w:rFonts w:eastAsia="Calibri"/>
        </w:rPr>
      </w:pPr>
      <w:r>
        <w:rPr>
          <w:rFonts w:eastAsia="Calibri"/>
        </w:rPr>
        <w:t>In November 2020, the Commission raised the s 392(2) exclusion with the Minister of Immigration</w:t>
      </w:r>
      <w:r w:rsidR="00EB53F9">
        <w:rPr>
          <w:rFonts w:eastAsia="Calibri"/>
        </w:rPr>
        <w:t xml:space="preserve">, Hon Kris </w:t>
      </w:r>
      <w:proofErr w:type="spellStart"/>
      <w:r w:rsidR="00EB53F9">
        <w:rPr>
          <w:rFonts w:eastAsia="Calibri"/>
        </w:rPr>
        <w:t>Faafoi</w:t>
      </w:r>
      <w:proofErr w:type="spellEnd"/>
      <w:r>
        <w:rPr>
          <w:rFonts w:eastAsia="Calibri"/>
        </w:rPr>
        <w:t>.</w:t>
      </w:r>
      <w:r w:rsidR="00106568">
        <w:rPr>
          <w:rStyle w:val="FootnoteReference"/>
          <w:rFonts w:eastAsia="Calibri"/>
        </w:rPr>
        <w:footnoteReference w:id="2"/>
      </w:r>
      <w:r>
        <w:rPr>
          <w:rFonts w:eastAsia="Calibri"/>
        </w:rPr>
        <w:t xml:space="preserve"> In the</w:t>
      </w:r>
      <w:r w:rsidR="00D663B7">
        <w:rPr>
          <w:rFonts w:eastAsia="Calibri"/>
        </w:rPr>
        <w:t xml:space="preserve"> Minister’s response, he did </w:t>
      </w:r>
      <w:r w:rsidR="00CC54A6" w:rsidRPr="00604DDA">
        <w:rPr>
          <w:rFonts w:eastAsia="Calibri"/>
        </w:rPr>
        <w:t xml:space="preserve">not signal any intent to amend </w:t>
      </w:r>
      <w:r w:rsidR="00D663B7">
        <w:rPr>
          <w:rFonts w:eastAsia="Calibri"/>
        </w:rPr>
        <w:t xml:space="preserve">s 392(2) and </w:t>
      </w:r>
      <w:r w:rsidR="00735A85" w:rsidRPr="00604DDA">
        <w:rPr>
          <w:rFonts w:eastAsia="Calibri"/>
        </w:rPr>
        <w:t xml:space="preserve">emphasised that the reason for such a restriction is that s 392(3) of the Immigration Act sets out the reason for this limitation – that immigration matters inherently involve different treatment on the basis of personal characteristics. </w:t>
      </w:r>
      <w:r w:rsidR="00244C6A">
        <w:rPr>
          <w:rFonts w:eastAsia="Calibri"/>
        </w:rPr>
        <w:t>He did however note that</w:t>
      </w:r>
      <w:r w:rsidR="00735A85" w:rsidRPr="00604DDA">
        <w:rPr>
          <w:rFonts w:eastAsia="Calibri"/>
        </w:rPr>
        <w:t xml:space="preserve"> immigration policy development process emphasises that any potentially discriminatory settings must be justifiable, for example, establishing a maximum age for the recognition of children as dependent.</w:t>
      </w:r>
    </w:p>
    <w:p w14:paraId="5C1C9FFB" w14:textId="77777777" w:rsidR="00735A85" w:rsidRPr="00735A85" w:rsidRDefault="00735A85" w:rsidP="00735A85">
      <w:pPr>
        <w:pStyle w:val="ListParagraph"/>
        <w:rPr>
          <w:rFonts w:eastAsia="Calibri"/>
        </w:rPr>
      </w:pPr>
    </w:p>
    <w:p w14:paraId="14CBDB72" w14:textId="5227AD37" w:rsidR="00CC54A6" w:rsidRPr="00CC54A6" w:rsidRDefault="09FE1899" w:rsidP="00CC54A6">
      <w:pPr>
        <w:pStyle w:val="ListParagraph"/>
        <w:numPr>
          <w:ilvl w:val="0"/>
          <w:numId w:val="4"/>
        </w:numPr>
        <w:spacing w:line="240" w:lineRule="auto"/>
        <w:rPr>
          <w:rFonts w:eastAsia="Calibri"/>
        </w:rPr>
      </w:pPr>
      <w:r w:rsidRPr="33F126A0">
        <w:rPr>
          <w:rFonts w:eastAsia="Calibri"/>
        </w:rPr>
        <w:t xml:space="preserve">The Commission </w:t>
      </w:r>
      <w:r w:rsidR="00735A85">
        <w:rPr>
          <w:rFonts w:eastAsia="Calibri"/>
        </w:rPr>
        <w:t xml:space="preserve">continues to be </w:t>
      </w:r>
      <w:r w:rsidR="57A81786" w:rsidRPr="33F126A0">
        <w:rPr>
          <w:rFonts w:eastAsia="Calibri"/>
        </w:rPr>
        <w:t xml:space="preserve">concerned that its ability to </w:t>
      </w:r>
      <w:r w:rsidR="381A462C" w:rsidRPr="33F126A0">
        <w:rPr>
          <w:rFonts w:eastAsia="Calibri"/>
        </w:rPr>
        <w:t>aid</w:t>
      </w:r>
      <w:r w:rsidR="57A81786" w:rsidRPr="33F126A0">
        <w:rPr>
          <w:rFonts w:eastAsia="Calibri"/>
        </w:rPr>
        <w:t xml:space="preserve"> migrants with immigration matters </w:t>
      </w:r>
      <w:r w:rsidR="05A8AB35" w:rsidRPr="33F126A0">
        <w:rPr>
          <w:rFonts w:eastAsia="Calibri"/>
        </w:rPr>
        <w:t>is still limited by s 392</w:t>
      </w:r>
      <w:r w:rsidR="00244C6A">
        <w:rPr>
          <w:rFonts w:eastAsia="Calibri"/>
        </w:rPr>
        <w:t>(2)</w:t>
      </w:r>
      <w:r w:rsidR="05A8AB35" w:rsidRPr="33F126A0">
        <w:rPr>
          <w:rFonts w:eastAsia="Calibri"/>
        </w:rPr>
        <w:t xml:space="preserve"> of the Immigration Act</w:t>
      </w:r>
      <w:r w:rsidR="00D96308">
        <w:rPr>
          <w:rFonts w:eastAsia="Calibri"/>
        </w:rPr>
        <w:t xml:space="preserve">. </w:t>
      </w:r>
    </w:p>
    <w:p w14:paraId="077B006C" w14:textId="77777777" w:rsidR="00CC54A6" w:rsidRPr="00CC54A6" w:rsidRDefault="00CC54A6" w:rsidP="00CC54A6">
      <w:pPr>
        <w:pStyle w:val="ListParagraph"/>
        <w:spacing w:line="240" w:lineRule="auto"/>
        <w:ind w:left="360"/>
        <w:rPr>
          <w:rFonts w:eastAsia="Calibri"/>
        </w:rPr>
      </w:pPr>
    </w:p>
    <w:p w14:paraId="5297C032" w14:textId="7FB14A2C" w:rsidR="00DC6A2F" w:rsidRPr="006F45C7" w:rsidRDefault="006F45C7" w:rsidP="006F45C7">
      <w:pPr>
        <w:pStyle w:val="ListParagraph"/>
        <w:numPr>
          <w:ilvl w:val="0"/>
          <w:numId w:val="4"/>
        </w:numPr>
        <w:spacing w:line="240" w:lineRule="auto"/>
        <w:rPr>
          <w:rFonts w:eastAsia="Calibri"/>
        </w:rPr>
      </w:pPr>
      <w:r>
        <w:rPr>
          <w:rFonts w:eastAsia="Calibri"/>
        </w:rPr>
        <w:br w:type="page"/>
      </w:r>
    </w:p>
    <w:p w14:paraId="120E529B" w14:textId="659600F2" w:rsidR="00153262" w:rsidRPr="00682C17" w:rsidRDefault="008F5215" w:rsidP="00682C17">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rFonts w:eastAsia="Calibri" w:cstheme="minorHAnsi"/>
        </w:rPr>
      </w:pPr>
      <w:r w:rsidRPr="00DC6A2F">
        <w:rPr>
          <w:rFonts w:eastAsia="Calibri" w:cstheme="minorHAnsi"/>
          <w:b/>
          <w:bCs/>
        </w:rPr>
        <w:lastRenderedPageBreak/>
        <w:t xml:space="preserve">Adopt a comprehensive and cross-party </w:t>
      </w:r>
      <w:r w:rsidR="008B1B1F">
        <w:rPr>
          <w:rFonts w:eastAsia="Calibri" w:cstheme="minorHAnsi"/>
          <w:b/>
          <w:bCs/>
        </w:rPr>
        <w:t xml:space="preserve">strategy </w:t>
      </w:r>
      <w:r w:rsidRPr="00DC6A2F">
        <w:rPr>
          <w:rFonts w:eastAsia="Calibri" w:cstheme="minorHAnsi"/>
          <w:b/>
          <w:bCs/>
        </w:rPr>
        <w:t xml:space="preserve">on combating gender-based violence against women </w:t>
      </w:r>
      <w:r w:rsidR="007E7601" w:rsidRPr="00DC6A2F">
        <w:rPr>
          <w:rFonts w:eastAsia="Calibri" w:cstheme="minorHAnsi"/>
          <w:b/>
          <w:bCs/>
        </w:rPr>
        <w:t xml:space="preserve">in </w:t>
      </w:r>
      <w:r w:rsidRPr="00DC6A2F">
        <w:rPr>
          <w:rFonts w:eastAsia="Calibri" w:cstheme="minorHAnsi"/>
          <w:b/>
          <w:bCs/>
        </w:rPr>
        <w:t xml:space="preserve">accordance with general recommendation No. 35 and ensure its consistent implementation, including by strictly applying the provisions of the bill on family and </w:t>
      </w:r>
      <w:proofErr w:type="spellStart"/>
      <w:r w:rsidRPr="00B91EA4">
        <w:rPr>
          <w:rFonts w:eastAsia="Calibri" w:cstheme="minorHAnsi"/>
          <w:b/>
          <w:bCs/>
        </w:rPr>
        <w:t>Wh</w:t>
      </w:r>
      <w:proofErr w:type="spellEnd"/>
      <w:r w:rsidR="00B91EA4" w:rsidRPr="00B91EA4">
        <w:rPr>
          <w:rFonts w:eastAsiaTheme="minorEastAsia"/>
          <w:b/>
          <w:bCs/>
          <w:lang w:val="en-GB"/>
        </w:rPr>
        <w:t>ā</w:t>
      </w:r>
      <w:proofErr w:type="spellStart"/>
      <w:r w:rsidRPr="00B91EA4">
        <w:rPr>
          <w:rFonts w:eastAsia="Calibri" w:cstheme="minorHAnsi"/>
          <w:b/>
          <w:bCs/>
        </w:rPr>
        <w:t>nau</w:t>
      </w:r>
      <w:proofErr w:type="spellEnd"/>
      <w:r w:rsidRPr="00DC6A2F">
        <w:rPr>
          <w:rFonts w:eastAsia="Calibri" w:cstheme="minorHAnsi"/>
          <w:b/>
          <w:bCs/>
        </w:rPr>
        <w:t xml:space="preserve"> violence legislation, once adopted, and by, inter alia, including measures that specifically protect women with disabilities who are victims of abusive caregivers</w:t>
      </w:r>
      <w:r w:rsidR="0084374A" w:rsidRPr="00DC6A2F">
        <w:rPr>
          <w:rFonts w:eastAsia="Calibri" w:cstheme="minorHAnsi"/>
          <w:b/>
          <w:bCs/>
        </w:rPr>
        <w:t>.</w:t>
      </w:r>
    </w:p>
    <w:p w14:paraId="30C74DEE" w14:textId="0D4D04C2" w:rsidR="00BE44E7" w:rsidRPr="00BE44E7" w:rsidRDefault="00BE44E7" w:rsidP="003F457F">
      <w:pPr>
        <w:pStyle w:val="Default"/>
        <w:rPr>
          <w:rFonts w:asciiTheme="minorHAnsi" w:hAnsiTheme="minorHAnsi" w:cstheme="minorHAnsi"/>
          <w:b/>
          <w:bCs/>
          <w:color w:val="auto"/>
          <w:sz w:val="22"/>
          <w:szCs w:val="22"/>
        </w:rPr>
      </w:pPr>
      <w:r w:rsidRPr="00BE44E7">
        <w:rPr>
          <w:rFonts w:asciiTheme="minorHAnsi" w:hAnsiTheme="minorHAnsi" w:cstheme="minorHAnsi"/>
          <w:b/>
          <w:bCs/>
          <w:color w:val="auto"/>
          <w:sz w:val="22"/>
          <w:szCs w:val="22"/>
        </w:rPr>
        <w:t>Joint venture and strategy</w:t>
      </w:r>
    </w:p>
    <w:p w14:paraId="6945AB3E" w14:textId="77777777" w:rsidR="00BE44E7" w:rsidRPr="00BE44E7" w:rsidRDefault="00BE44E7" w:rsidP="00BE44E7">
      <w:pPr>
        <w:pStyle w:val="Default"/>
        <w:ind w:left="720"/>
        <w:rPr>
          <w:rFonts w:asciiTheme="minorHAnsi" w:hAnsiTheme="minorHAnsi" w:cstheme="minorHAnsi"/>
          <w:color w:val="auto"/>
          <w:sz w:val="22"/>
          <w:szCs w:val="22"/>
        </w:rPr>
      </w:pPr>
    </w:p>
    <w:p w14:paraId="18A46F17" w14:textId="6C271A1C" w:rsidR="00BE44E7" w:rsidRPr="00A26499" w:rsidRDefault="00BE44E7" w:rsidP="00A26499">
      <w:pPr>
        <w:pStyle w:val="Default"/>
        <w:numPr>
          <w:ilvl w:val="0"/>
          <w:numId w:val="4"/>
        </w:numPr>
        <w:rPr>
          <w:rFonts w:asciiTheme="minorHAnsi" w:hAnsiTheme="minorHAnsi" w:cstheme="minorBidi"/>
          <w:sz w:val="22"/>
          <w:szCs w:val="22"/>
        </w:rPr>
      </w:pPr>
      <w:r w:rsidRPr="33F126A0">
        <w:rPr>
          <w:rFonts w:asciiTheme="minorHAnsi" w:hAnsiTheme="minorHAnsi" w:cstheme="minorBidi"/>
          <w:color w:val="auto"/>
          <w:sz w:val="22"/>
          <w:szCs w:val="22"/>
        </w:rPr>
        <w:t xml:space="preserve">In </w:t>
      </w:r>
      <w:r w:rsidR="0094750A" w:rsidRPr="33F126A0">
        <w:rPr>
          <w:rFonts w:asciiTheme="minorHAnsi" w:hAnsiTheme="minorHAnsi" w:cstheme="minorBidi"/>
          <w:color w:val="auto"/>
          <w:sz w:val="22"/>
          <w:szCs w:val="22"/>
        </w:rPr>
        <w:t xml:space="preserve">2018, a joint venture of 10 government agencies was established to lead a whole-of-government approach to family and sexual violence. One of the key tasks of the joint venture was the creation of a national strategy and action plan </w:t>
      </w:r>
      <w:r w:rsidR="00D032B5">
        <w:rPr>
          <w:rFonts w:asciiTheme="minorHAnsi" w:hAnsiTheme="minorHAnsi" w:cstheme="minorBidi"/>
          <w:color w:val="auto"/>
          <w:sz w:val="22"/>
          <w:szCs w:val="22"/>
        </w:rPr>
        <w:t>which</w:t>
      </w:r>
      <w:r w:rsidR="0094750A" w:rsidRPr="33F126A0">
        <w:rPr>
          <w:rFonts w:asciiTheme="minorHAnsi" w:hAnsiTheme="minorHAnsi" w:cstheme="minorBidi"/>
          <w:color w:val="auto"/>
          <w:sz w:val="22"/>
          <w:szCs w:val="22"/>
        </w:rPr>
        <w:t xml:space="preserve"> was expected to be finalised by June 2020. </w:t>
      </w:r>
      <w:r w:rsidR="00061C6F">
        <w:rPr>
          <w:rFonts w:asciiTheme="minorHAnsi" w:hAnsiTheme="minorHAnsi" w:cstheme="minorBidi"/>
          <w:color w:val="auto"/>
          <w:sz w:val="22"/>
          <w:szCs w:val="22"/>
        </w:rPr>
        <w:t>As of February 2021</w:t>
      </w:r>
      <w:r w:rsidR="00446D08">
        <w:rPr>
          <w:rFonts w:asciiTheme="minorHAnsi" w:hAnsiTheme="minorHAnsi" w:cstheme="minorBidi"/>
          <w:color w:val="auto"/>
          <w:sz w:val="22"/>
          <w:szCs w:val="22"/>
        </w:rPr>
        <w:t>,</w:t>
      </w:r>
      <w:r w:rsidR="009968D4" w:rsidRPr="00A26499">
        <w:rPr>
          <w:rFonts w:asciiTheme="minorHAnsi" w:hAnsiTheme="minorHAnsi" w:cstheme="minorBidi"/>
          <w:sz w:val="22"/>
          <w:szCs w:val="22"/>
        </w:rPr>
        <w:t xml:space="preserve"> </w:t>
      </w:r>
      <w:r w:rsidR="0094750A" w:rsidRPr="00A26499">
        <w:rPr>
          <w:rFonts w:asciiTheme="minorHAnsi" w:hAnsiTheme="minorHAnsi" w:cstheme="minorBidi"/>
          <w:sz w:val="22"/>
          <w:szCs w:val="22"/>
        </w:rPr>
        <w:t xml:space="preserve">no </w:t>
      </w:r>
      <w:r w:rsidR="0049417E" w:rsidRPr="00A26499">
        <w:rPr>
          <w:rFonts w:asciiTheme="minorHAnsi" w:hAnsiTheme="minorHAnsi" w:cstheme="minorBidi"/>
          <w:sz w:val="22"/>
          <w:szCs w:val="22"/>
        </w:rPr>
        <w:t xml:space="preserve">national strategy and action plan </w:t>
      </w:r>
      <w:r w:rsidR="0094750A" w:rsidRPr="00A26499">
        <w:rPr>
          <w:rFonts w:asciiTheme="minorHAnsi" w:hAnsiTheme="minorHAnsi" w:cstheme="minorBidi"/>
          <w:sz w:val="22"/>
          <w:szCs w:val="22"/>
        </w:rPr>
        <w:t>has been finalise</w:t>
      </w:r>
      <w:r w:rsidR="00FE48BB" w:rsidRPr="00A26499">
        <w:rPr>
          <w:rFonts w:asciiTheme="minorHAnsi" w:hAnsiTheme="minorHAnsi" w:cstheme="minorBidi"/>
          <w:sz w:val="22"/>
          <w:szCs w:val="22"/>
        </w:rPr>
        <w:t>d</w:t>
      </w:r>
      <w:r w:rsidR="001E196C">
        <w:rPr>
          <w:rFonts w:asciiTheme="minorHAnsi" w:hAnsiTheme="minorHAnsi" w:cstheme="minorBidi"/>
          <w:sz w:val="22"/>
          <w:szCs w:val="22"/>
        </w:rPr>
        <w:t>.</w:t>
      </w:r>
    </w:p>
    <w:p w14:paraId="244C27ED" w14:textId="77777777" w:rsidR="00BE44E7" w:rsidRPr="00BE44E7" w:rsidRDefault="00BE44E7" w:rsidP="00BE44E7">
      <w:pPr>
        <w:pStyle w:val="Default"/>
        <w:ind w:left="720"/>
        <w:rPr>
          <w:rFonts w:asciiTheme="minorHAnsi" w:hAnsiTheme="minorHAnsi" w:cstheme="minorHAnsi"/>
          <w:sz w:val="22"/>
          <w:szCs w:val="22"/>
        </w:rPr>
      </w:pPr>
    </w:p>
    <w:p w14:paraId="06FE19D1" w14:textId="5019975F" w:rsidR="0009702C" w:rsidRPr="0009702C" w:rsidRDefault="00F07050" w:rsidP="0009702C">
      <w:pPr>
        <w:pStyle w:val="Default"/>
        <w:numPr>
          <w:ilvl w:val="0"/>
          <w:numId w:val="4"/>
        </w:numPr>
        <w:rPr>
          <w:rFonts w:asciiTheme="minorHAnsi" w:hAnsiTheme="minorHAnsi" w:cstheme="minorBidi"/>
          <w:sz w:val="22"/>
          <w:szCs w:val="22"/>
        </w:rPr>
      </w:pPr>
      <w:r>
        <w:rPr>
          <w:rFonts w:asciiTheme="minorHAnsi" w:hAnsiTheme="minorHAnsi" w:cstheme="minorBidi"/>
          <w:sz w:val="22"/>
          <w:szCs w:val="22"/>
        </w:rPr>
        <w:t>In August 2020, t</w:t>
      </w:r>
      <w:r w:rsidR="0094750A" w:rsidRPr="33F126A0">
        <w:rPr>
          <w:rFonts w:asciiTheme="minorHAnsi" w:hAnsiTheme="minorHAnsi" w:cstheme="minorBidi"/>
          <w:sz w:val="22"/>
          <w:szCs w:val="22"/>
        </w:rPr>
        <w:t xml:space="preserve">he </w:t>
      </w:r>
      <w:r w:rsidR="002C56A6" w:rsidRPr="33F126A0">
        <w:rPr>
          <w:rFonts w:asciiTheme="minorHAnsi" w:hAnsiTheme="minorHAnsi" w:cstheme="minorBidi"/>
          <w:sz w:val="22"/>
          <w:szCs w:val="22"/>
        </w:rPr>
        <w:t xml:space="preserve">former Undersecretary to the Minister of Justice with a focus on domestic and sexual violence reported </w:t>
      </w:r>
      <w:r w:rsidR="0094750A" w:rsidRPr="33F126A0">
        <w:rPr>
          <w:rFonts w:asciiTheme="minorHAnsi" w:hAnsiTheme="minorHAnsi" w:cstheme="minorBidi"/>
          <w:sz w:val="22"/>
          <w:szCs w:val="22"/>
        </w:rPr>
        <w:t xml:space="preserve">that consultations from stakeholders for the plan had been </w:t>
      </w:r>
      <w:r w:rsidR="00FE48BB" w:rsidRPr="33F126A0">
        <w:rPr>
          <w:rFonts w:asciiTheme="minorHAnsi" w:hAnsiTheme="minorHAnsi" w:cstheme="minorBidi"/>
          <w:sz w:val="22"/>
          <w:szCs w:val="22"/>
        </w:rPr>
        <w:t>significantly</w:t>
      </w:r>
      <w:r w:rsidR="0094750A" w:rsidRPr="33F126A0">
        <w:rPr>
          <w:rFonts w:asciiTheme="minorHAnsi" w:hAnsiTheme="minorHAnsi" w:cstheme="minorBidi"/>
          <w:sz w:val="22"/>
          <w:szCs w:val="22"/>
        </w:rPr>
        <w:t xml:space="preserve"> disrupted by COVID-19.</w:t>
      </w:r>
      <w:r w:rsidR="002C56A6" w:rsidRPr="33F126A0">
        <w:rPr>
          <w:rStyle w:val="FootnoteReference"/>
          <w:rFonts w:asciiTheme="minorHAnsi" w:hAnsiTheme="minorHAnsi" w:cstheme="minorBidi"/>
          <w:sz w:val="22"/>
          <w:szCs w:val="22"/>
        </w:rPr>
        <w:footnoteReference w:id="3"/>
      </w:r>
      <w:r w:rsidR="0094750A" w:rsidRPr="33F126A0">
        <w:rPr>
          <w:rFonts w:asciiTheme="minorHAnsi" w:hAnsiTheme="minorHAnsi" w:cstheme="minorBidi"/>
          <w:sz w:val="22"/>
          <w:szCs w:val="22"/>
        </w:rPr>
        <w:t xml:space="preserve"> </w:t>
      </w:r>
    </w:p>
    <w:p w14:paraId="73290051" w14:textId="77777777" w:rsidR="0009702C" w:rsidRPr="0009702C" w:rsidRDefault="0009702C" w:rsidP="0009702C">
      <w:pPr>
        <w:pStyle w:val="Default"/>
        <w:ind w:left="360"/>
        <w:rPr>
          <w:rFonts w:asciiTheme="minorHAnsi" w:hAnsiTheme="minorHAnsi" w:cstheme="minorBidi"/>
          <w:sz w:val="22"/>
          <w:szCs w:val="22"/>
        </w:rPr>
      </w:pPr>
    </w:p>
    <w:p w14:paraId="04E6E963" w14:textId="77C782DC" w:rsidR="00BE44E7" w:rsidRPr="0009702C" w:rsidRDefault="005A654C" w:rsidP="00BE44E7">
      <w:pPr>
        <w:pStyle w:val="ListParagraph"/>
        <w:numPr>
          <w:ilvl w:val="0"/>
          <w:numId w:val="4"/>
        </w:numPr>
        <w:spacing w:line="240" w:lineRule="auto"/>
      </w:pPr>
      <w:r>
        <w:t>After the Labour government was re-elected in</w:t>
      </w:r>
      <w:r w:rsidR="00BE239A" w:rsidRPr="33F126A0">
        <w:t xml:space="preserve"> November 2020 </w:t>
      </w:r>
      <w:r>
        <w:t>it announced the creation of a new</w:t>
      </w:r>
      <w:r w:rsidR="00BE239A" w:rsidRPr="33F126A0">
        <w:t xml:space="preserve"> Ministry </w:t>
      </w:r>
      <w:bookmarkStart w:id="2" w:name="_Hlk59180203"/>
      <w:r w:rsidR="00BE239A" w:rsidRPr="33F126A0">
        <w:t>for the Prevention of Family and Sexual Violence</w:t>
      </w:r>
      <w:r>
        <w:t xml:space="preserve">. The Ministry is led by </w:t>
      </w:r>
      <w:bookmarkEnd w:id="2"/>
      <w:r w:rsidR="00BE239A" w:rsidRPr="33F126A0">
        <w:t xml:space="preserve">Minister, </w:t>
      </w:r>
      <w:proofErr w:type="spellStart"/>
      <w:r w:rsidR="00BE239A" w:rsidRPr="33F126A0">
        <w:t>Marama</w:t>
      </w:r>
      <w:proofErr w:type="spellEnd"/>
      <w:r w:rsidR="00BE239A" w:rsidRPr="33F126A0">
        <w:t xml:space="preserve"> Davison</w:t>
      </w:r>
      <w:r>
        <w:t xml:space="preserve"> who </w:t>
      </w:r>
      <w:r w:rsidR="00BE239A" w:rsidRPr="33F126A0">
        <w:t>will lead a whole of government response on family and sexual violence with the mandate to coordinate budget bids in this area.</w:t>
      </w:r>
      <w:r w:rsidR="00F841FF">
        <w:t xml:space="preserve"> </w:t>
      </w:r>
      <w:r w:rsidR="006F45C7" w:rsidRPr="005A654C">
        <w:t xml:space="preserve">The </w:t>
      </w:r>
      <w:r w:rsidR="00B8131A" w:rsidRPr="005A654C">
        <w:t>Minister</w:t>
      </w:r>
      <w:r w:rsidR="006F45C7" w:rsidRPr="005A654C">
        <w:t xml:space="preserve"> has announced that a strategy and plan will go before Cabinet by </w:t>
      </w:r>
      <w:r w:rsidR="00F77F96">
        <w:t xml:space="preserve">February or </w:t>
      </w:r>
      <w:r w:rsidR="006F45C7" w:rsidRPr="005A654C">
        <w:t xml:space="preserve">March 2021 </w:t>
      </w:r>
      <w:r w:rsidR="00B8131A" w:rsidRPr="005A654C">
        <w:t>a</w:t>
      </w:r>
      <w:r w:rsidR="006F45C7" w:rsidRPr="005A654C">
        <w:t>nd out for public consultation in April 2021.</w:t>
      </w:r>
      <w:r w:rsidR="00F9419D">
        <w:rPr>
          <w:rStyle w:val="FootnoteReference"/>
        </w:rPr>
        <w:footnoteReference w:id="4"/>
      </w:r>
    </w:p>
    <w:p w14:paraId="572FFF7E" w14:textId="2E2E2389" w:rsidR="00A91A44" w:rsidRDefault="00A91A44" w:rsidP="00A91A44">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Te </w:t>
      </w:r>
      <w:proofErr w:type="spellStart"/>
      <w:r>
        <w:rPr>
          <w:rFonts w:asciiTheme="minorHAnsi" w:hAnsiTheme="minorHAnsi" w:cstheme="minorHAnsi"/>
          <w:b/>
          <w:bCs/>
          <w:color w:val="auto"/>
          <w:sz w:val="22"/>
          <w:szCs w:val="22"/>
        </w:rPr>
        <w:t>Tiriti</w:t>
      </w:r>
      <w:proofErr w:type="spellEnd"/>
      <w:r w:rsidR="006F45C7">
        <w:rPr>
          <w:rFonts w:asciiTheme="minorHAnsi" w:hAnsiTheme="minorHAnsi" w:cstheme="minorHAnsi"/>
          <w:b/>
          <w:bCs/>
          <w:color w:val="auto"/>
          <w:sz w:val="22"/>
          <w:szCs w:val="22"/>
        </w:rPr>
        <w:t xml:space="preserve"> o Waitangi</w:t>
      </w:r>
      <w:r w:rsidR="00264D5E">
        <w:rPr>
          <w:rFonts w:asciiTheme="minorHAnsi" w:hAnsiTheme="minorHAnsi" w:cstheme="minorHAnsi"/>
          <w:b/>
          <w:bCs/>
          <w:color w:val="auto"/>
          <w:sz w:val="22"/>
          <w:szCs w:val="22"/>
        </w:rPr>
        <w:t xml:space="preserve"> (Treaty of Waitangi)</w:t>
      </w:r>
    </w:p>
    <w:p w14:paraId="7D4F65AE" w14:textId="77777777" w:rsidR="00F4725B" w:rsidRPr="00F4725B" w:rsidRDefault="00F4725B" w:rsidP="00760C17">
      <w:pPr>
        <w:spacing w:after="0" w:line="240" w:lineRule="auto"/>
        <w:jc w:val="both"/>
        <w:rPr>
          <w:rStyle w:val="normaltextrun"/>
        </w:rPr>
      </w:pPr>
    </w:p>
    <w:p w14:paraId="07DA0CE0" w14:textId="2CE2D484" w:rsidR="00A91A44" w:rsidRPr="007C7DAA" w:rsidRDefault="00A91A44" w:rsidP="009D56B2">
      <w:pPr>
        <w:pStyle w:val="ListParagraph"/>
        <w:numPr>
          <w:ilvl w:val="0"/>
          <w:numId w:val="4"/>
        </w:numPr>
        <w:spacing w:after="0" w:line="240" w:lineRule="auto"/>
        <w:jc w:val="both"/>
      </w:pPr>
      <w:r w:rsidRPr="33F126A0">
        <w:rPr>
          <w:rStyle w:val="normaltextrun"/>
          <w:rFonts w:eastAsiaTheme="majorEastAsia"/>
        </w:rPr>
        <w:t>It is crucial that all responses to family and sexual violence in New Zealand are </w:t>
      </w:r>
      <w:r w:rsidR="00D6025A">
        <w:t xml:space="preserve">Te </w:t>
      </w:r>
      <w:proofErr w:type="spellStart"/>
      <w:r w:rsidR="00D6025A">
        <w:t>Tiriti</w:t>
      </w:r>
      <w:proofErr w:type="spellEnd"/>
      <w:r w:rsidR="00D6025A">
        <w:t xml:space="preserve"> </w:t>
      </w:r>
      <w:r w:rsidRPr="33F126A0">
        <w:rPr>
          <w:rStyle w:val="normaltextrun"/>
          <w:rFonts w:eastAsiaTheme="majorEastAsia"/>
        </w:rPr>
        <w:t>based</w:t>
      </w:r>
      <w:r w:rsidR="00D6025A">
        <w:rPr>
          <w:rStyle w:val="normaltextrun"/>
          <w:rFonts w:eastAsiaTheme="majorEastAsia"/>
        </w:rPr>
        <w:t xml:space="preserve">. </w:t>
      </w:r>
      <w:r w:rsidRPr="33F126A0">
        <w:t xml:space="preserve">The formation of </w:t>
      </w:r>
      <w:r w:rsidR="008B1C62">
        <w:t>the</w:t>
      </w:r>
      <w:r w:rsidRPr="33F126A0">
        <w:t xml:space="preserve"> national strategy </w:t>
      </w:r>
      <w:r w:rsidR="008B1C62">
        <w:t xml:space="preserve">and action plan </w:t>
      </w:r>
      <w:r w:rsidRPr="33F126A0">
        <w:t>must ensure that:</w:t>
      </w:r>
    </w:p>
    <w:p w14:paraId="532C8F3E" w14:textId="77777777" w:rsidR="00A91A44" w:rsidRPr="005859A8" w:rsidRDefault="00A91A44" w:rsidP="00A91A44">
      <w:pPr>
        <w:spacing w:after="0" w:line="240" w:lineRule="auto"/>
        <w:jc w:val="both"/>
        <w:rPr>
          <w:rStyle w:val="eop"/>
        </w:rPr>
      </w:pPr>
    </w:p>
    <w:p w14:paraId="6F801B42" w14:textId="344C1227" w:rsidR="00A91A44" w:rsidRPr="003D4CE1" w:rsidRDefault="00A91A44" w:rsidP="33F126A0">
      <w:pPr>
        <w:pStyle w:val="ListParagraph"/>
        <w:numPr>
          <w:ilvl w:val="1"/>
          <w:numId w:val="4"/>
        </w:numPr>
        <w:spacing w:after="0" w:line="240" w:lineRule="auto"/>
        <w:jc w:val="both"/>
        <w:rPr>
          <w:rStyle w:val="eop"/>
        </w:rPr>
      </w:pPr>
      <w:r w:rsidRPr="33F126A0">
        <w:rPr>
          <w:rStyle w:val="normaltextrun"/>
          <w:rFonts w:eastAsiaTheme="majorEastAsia"/>
        </w:rPr>
        <w:t>Māori as </w:t>
      </w:r>
      <w:proofErr w:type="spellStart"/>
      <w:r w:rsidRPr="33F126A0">
        <w:rPr>
          <w:rStyle w:val="spellingerror"/>
        </w:rPr>
        <w:t>Tiriti</w:t>
      </w:r>
      <w:proofErr w:type="spellEnd"/>
      <w:r w:rsidRPr="33F126A0">
        <w:rPr>
          <w:rStyle w:val="normaltextrun"/>
          <w:rFonts w:eastAsiaTheme="majorEastAsia"/>
        </w:rPr>
        <w:t xml:space="preserve">-partners are part of </w:t>
      </w:r>
      <w:proofErr w:type="gramStart"/>
      <w:r w:rsidRPr="33F126A0">
        <w:rPr>
          <w:rStyle w:val="normaltextrun"/>
          <w:rFonts w:eastAsiaTheme="majorEastAsia"/>
        </w:rPr>
        <w:t>decision-making;</w:t>
      </w:r>
      <w:proofErr w:type="gramEnd"/>
    </w:p>
    <w:p w14:paraId="20A295BC" w14:textId="77777777" w:rsidR="00A91A44" w:rsidRPr="003D4CE1" w:rsidRDefault="00A91A44" w:rsidP="33F126A0">
      <w:pPr>
        <w:pStyle w:val="ListParagraph"/>
        <w:numPr>
          <w:ilvl w:val="1"/>
          <w:numId w:val="4"/>
        </w:numPr>
        <w:spacing w:after="0" w:line="240" w:lineRule="auto"/>
        <w:jc w:val="both"/>
        <w:rPr>
          <w:rStyle w:val="eop"/>
        </w:rPr>
      </w:pPr>
      <w:r w:rsidRPr="33F126A0">
        <w:rPr>
          <w:rStyle w:val="normaltextrun"/>
          <w:rFonts w:eastAsiaTheme="majorEastAsia"/>
        </w:rPr>
        <w:t>Māori </w:t>
      </w:r>
      <w:r w:rsidRPr="33F126A0">
        <w:rPr>
          <w:rStyle w:val="advancedproofingissue"/>
        </w:rPr>
        <w:t>are able and supported to</w:t>
      </w:r>
      <w:r w:rsidRPr="33F126A0">
        <w:rPr>
          <w:rStyle w:val="normaltextrun"/>
          <w:rFonts w:eastAsiaTheme="majorEastAsia"/>
        </w:rPr>
        <w:t> exercise self-determination and lead solutions; and</w:t>
      </w:r>
    </w:p>
    <w:p w14:paraId="1857105C" w14:textId="77777777" w:rsidR="00A91A44" w:rsidRPr="0084434F" w:rsidRDefault="00A91A44" w:rsidP="33F126A0">
      <w:pPr>
        <w:pStyle w:val="ListParagraph"/>
        <w:numPr>
          <w:ilvl w:val="1"/>
          <w:numId w:val="4"/>
        </w:numPr>
        <w:spacing w:after="0" w:line="240" w:lineRule="auto"/>
        <w:jc w:val="both"/>
        <w:rPr>
          <w:rStyle w:val="normaltextrun"/>
        </w:rPr>
      </w:pPr>
      <w:r w:rsidRPr="33F126A0">
        <w:rPr>
          <w:rStyle w:val="normaltextrun"/>
          <w:rFonts w:eastAsiaTheme="majorEastAsia"/>
        </w:rPr>
        <w:t>Equity for Māori is central to responses.</w:t>
      </w:r>
    </w:p>
    <w:p w14:paraId="5F1B62B3" w14:textId="77777777" w:rsidR="00A91A44" w:rsidRPr="003D4CE1" w:rsidRDefault="00A91A44" w:rsidP="00A91A44">
      <w:pPr>
        <w:pStyle w:val="ListParagraph"/>
        <w:ind w:left="1440"/>
        <w:jc w:val="both"/>
        <w:rPr>
          <w:rStyle w:val="eop"/>
          <w:bCs/>
        </w:rPr>
      </w:pPr>
      <w:r w:rsidRPr="003D4CE1">
        <w:rPr>
          <w:rStyle w:val="eop"/>
          <w:bCs/>
        </w:rPr>
        <w:t xml:space="preserve"> </w:t>
      </w:r>
    </w:p>
    <w:p w14:paraId="38A65F98" w14:textId="1F6C8EF1" w:rsidR="00A91A44" w:rsidRPr="007C7DAA" w:rsidRDefault="00A91A44" w:rsidP="33F126A0">
      <w:pPr>
        <w:pStyle w:val="ListParagraph"/>
        <w:numPr>
          <w:ilvl w:val="0"/>
          <w:numId w:val="4"/>
        </w:numPr>
        <w:spacing w:after="0" w:line="240" w:lineRule="auto"/>
        <w:jc w:val="both"/>
      </w:pPr>
      <w:r>
        <w:t>To ensure this, Te </w:t>
      </w:r>
      <w:proofErr w:type="spellStart"/>
      <w:r>
        <w:t>Tiriti</w:t>
      </w:r>
      <w:proofErr w:type="spellEnd"/>
      <w:r>
        <w:t> and the United National Declaration on the Rights of Indigenous Peoples should be central to all planning and decision-making</w:t>
      </w:r>
      <w:r w:rsidR="00CC4CD0">
        <w:t xml:space="preserve"> relating to the Strategy. </w:t>
      </w:r>
    </w:p>
    <w:p w14:paraId="61AE19A4" w14:textId="77777777" w:rsidR="00A91A44" w:rsidRPr="007C7DAA" w:rsidRDefault="00A91A44" w:rsidP="00A91A44">
      <w:pPr>
        <w:pStyle w:val="ListParagraph"/>
        <w:spacing w:after="0" w:line="240" w:lineRule="auto"/>
        <w:jc w:val="both"/>
        <w:rPr>
          <w:bCs/>
        </w:rPr>
      </w:pPr>
    </w:p>
    <w:p w14:paraId="7623A0D4" w14:textId="6C3D9D74" w:rsidR="00A91A44" w:rsidRPr="00211595" w:rsidRDefault="00A91A44" w:rsidP="33F126A0">
      <w:pPr>
        <w:numPr>
          <w:ilvl w:val="0"/>
          <w:numId w:val="4"/>
        </w:numPr>
        <w:spacing w:after="0" w:line="240" w:lineRule="auto"/>
        <w:jc w:val="both"/>
      </w:pPr>
      <w:r w:rsidRPr="00100572">
        <w:t xml:space="preserve">Te </w:t>
      </w:r>
      <w:proofErr w:type="spellStart"/>
      <w:r w:rsidRPr="00100572">
        <w:t>Tiriti</w:t>
      </w:r>
      <w:proofErr w:type="spellEnd"/>
      <w:r w:rsidRPr="00100572">
        <w:t xml:space="preserve"> provides the foundational source of legitimacy for co-existing systems of governance and law in Aotearoa New Zealand.</w:t>
      </w:r>
      <w:r w:rsidRPr="00F15556">
        <w:rPr>
          <w:vertAlign w:val="superscript"/>
        </w:rPr>
        <w:footnoteReference w:id="5"/>
      </w:r>
      <w:r>
        <w:rPr>
          <w:vertAlign w:val="superscript"/>
        </w:rPr>
        <w:t xml:space="preserve"> </w:t>
      </w:r>
      <w:r w:rsidRPr="00211595">
        <w:rPr>
          <w:color w:val="000000" w:themeColor="text1"/>
        </w:rPr>
        <w:t>As the Waitangi Tribunal</w:t>
      </w:r>
      <w:r w:rsidR="00AC7507">
        <w:rPr>
          <w:rStyle w:val="FootnoteReference"/>
          <w:color w:val="000000" w:themeColor="text1"/>
        </w:rPr>
        <w:footnoteReference w:id="6"/>
      </w:r>
      <w:r w:rsidRPr="00211595">
        <w:rPr>
          <w:color w:val="000000" w:themeColor="text1"/>
        </w:rPr>
        <w:t xml:space="preserve"> has stated on numerous occasions, striking a practical balance requires a process of negotiation and agreement between the </w:t>
      </w:r>
      <w:proofErr w:type="spellStart"/>
      <w:r w:rsidRPr="00211595">
        <w:rPr>
          <w:color w:val="000000" w:themeColor="text1"/>
        </w:rPr>
        <w:t>Tiriti</w:t>
      </w:r>
      <w:proofErr w:type="spellEnd"/>
      <w:r w:rsidRPr="00211595">
        <w:rPr>
          <w:color w:val="000000" w:themeColor="text1"/>
        </w:rPr>
        <w:t xml:space="preserve"> partners</w:t>
      </w:r>
      <w:r w:rsidR="0069278A">
        <w:rPr>
          <w:color w:val="000000" w:themeColor="text1"/>
        </w:rPr>
        <w:t xml:space="preserve"> as follows</w:t>
      </w:r>
      <w:r>
        <w:rPr>
          <w:color w:val="000000" w:themeColor="text1"/>
        </w:rPr>
        <w:t>:</w:t>
      </w:r>
      <w:r>
        <w:rPr>
          <w:rStyle w:val="FootnoteReference"/>
          <w:color w:val="000000" w:themeColor="text1"/>
        </w:rPr>
        <w:footnoteReference w:id="7"/>
      </w:r>
    </w:p>
    <w:p w14:paraId="4FDDE01F" w14:textId="77777777" w:rsidR="00A91A44" w:rsidRDefault="00A91A44" w:rsidP="009C295B">
      <w:pPr>
        <w:pStyle w:val="ListParagraph"/>
        <w:rPr>
          <w:i/>
        </w:rPr>
      </w:pPr>
    </w:p>
    <w:p w14:paraId="48129765" w14:textId="71376B7D" w:rsidR="00A91A44" w:rsidRPr="009C295B" w:rsidRDefault="00A91A44" w:rsidP="009C295B">
      <w:pPr>
        <w:spacing w:after="0" w:line="240" w:lineRule="auto"/>
        <w:ind w:left="720"/>
        <w:jc w:val="both"/>
      </w:pPr>
      <w:r w:rsidRPr="007C7DAA">
        <w:rPr>
          <w:i/>
          <w:iCs/>
        </w:rPr>
        <w:lastRenderedPageBreak/>
        <w:t xml:space="preserve">The Treaty exchange of </w:t>
      </w:r>
      <w:proofErr w:type="spellStart"/>
      <w:r w:rsidRPr="007C7DAA">
        <w:rPr>
          <w:i/>
          <w:iCs/>
        </w:rPr>
        <w:t>kāwanatanga</w:t>
      </w:r>
      <w:proofErr w:type="spellEnd"/>
      <w:r w:rsidRPr="007C7DAA">
        <w:rPr>
          <w:i/>
          <w:iCs/>
        </w:rPr>
        <w:t xml:space="preserve"> for rangatiratanga establishes the rights of the Crown and Māori to exercise authority in their respective spheres. Where they overlap, striking a practical balance between the Crown’s authority and the authority of Māori should be a matter for negotiation, conducted in the spirit of cooperation and tailored to the circumstances. It is from this need to strike a balance that the principle of partnership is derived</w:t>
      </w:r>
      <w:r w:rsidRPr="007C7DAA">
        <w:rPr>
          <w:sz w:val="20"/>
          <w:szCs w:val="20"/>
        </w:rPr>
        <w:t>.</w:t>
      </w:r>
    </w:p>
    <w:p w14:paraId="3BC2EEE1" w14:textId="77777777" w:rsidR="004B6718" w:rsidRPr="004B6718" w:rsidRDefault="004B6718" w:rsidP="004B6718">
      <w:pPr>
        <w:pStyle w:val="ListParagraph"/>
        <w:ind w:left="1440"/>
        <w:jc w:val="both"/>
        <w:rPr>
          <w:sz w:val="20"/>
          <w:szCs w:val="20"/>
        </w:rPr>
      </w:pPr>
    </w:p>
    <w:p w14:paraId="4C113835" w14:textId="116B81CF" w:rsidR="004B6718" w:rsidRPr="00760C17" w:rsidRDefault="00A91A44" w:rsidP="006F45C7">
      <w:pPr>
        <w:pStyle w:val="ListParagraph"/>
        <w:numPr>
          <w:ilvl w:val="0"/>
          <w:numId w:val="4"/>
        </w:numPr>
        <w:spacing w:line="240" w:lineRule="auto"/>
        <w:rPr>
          <w:rFonts w:eastAsia="Calibri"/>
        </w:rPr>
      </w:pPr>
      <w:r>
        <w:t>The importance of Māori participation in decision making</w:t>
      </w:r>
      <w:r w:rsidR="00CC4CD0">
        <w:t xml:space="preserve"> regarding the strategy</w:t>
      </w:r>
      <w:r>
        <w:t>, both at an early stage and throughout the process</w:t>
      </w:r>
      <w:r w:rsidRPr="33F126A0">
        <w:rPr>
          <w:rFonts w:eastAsia="Calibri"/>
        </w:rPr>
        <w:t xml:space="preserve"> is particularly critical </w:t>
      </w:r>
      <w:r w:rsidR="00890F7C">
        <w:rPr>
          <w:rFonts w:eastAsia="Calibri"/>
        </w:rPr>
        <w:t>because</w:t>
      </w:r>
      <w:r w:rsidRPr="33F126A0">
        <w:rPr>
          <w:rFonts w:eastAsia="Calibri"/>
        </w:rPr>
        <w:t xml:space="preserve"> </w:t>
      </w:r>
      <w:r w:rsidR="000C07ED">
        <w:rPr>
          <w:rFonts w:eastAsia="Calibri"/>
        </w:rPr>
        <w:t>Māori are disproportionately represented as victims of family and sexual violence</w:t>
      </w:r>
      <w:r w:rsidR="006E29DE">
        <w:rPr>
          <w:rFonts w:eastAsia="Calibri"/>
        </w:rPr>
        <w:t xml:space="preserve">. </w:t>
      </w:r>
      <w:r w:rsidR="009D56B2">
        <w:rPr>
          <w:rStyle w:val="normaltextrun"/>
          <w:rFonts w:eastAsiaTheme="majorEastAsia"/>
        </w:rPr>
        <w:t>The 2019 Crimes and Victims’ survey reported that</w:t>
      </w:r>
      <w:r w:rsidR="009D56B2" w:rsidRPr="33F126A0">
        <w:rPr>
          <w:rStyle w:val="normaltextrun"/>
          <w:rFonts w:eastAsiaTheme="majorEastAsia"/>
        </w:rPr>
        <w:t xml:space="preserve"> </w:t>
      </w:r>
      <w:r w:rsidR="009D56B2" w:rsidRPr="33F126A0">
        <w:t xml:space="preserve">Māori experience almost three times more Intimate Partner Violence (IPV) incidents per 100 adults than the national average. </w:t>
      </w:r>
      <w:r w:rsidR="0062130F">
        <w:t xml:space="preserve">In addition, </w:t>
      </w:r>
      <w:r w:rsidR="009D56B2" w:rsidRPr="33F126A0">
        <w:t>New Zealand Europeans experience less physical or psychological family violence compared to Māori (70% less likely) and Pacific people (44% less likely).</w:t>
      </w:r>
      <w:r w:rsidR="009D56B2" w:rsidRPr="33F126A0">
        <w:rPr>
          <w:rStyle w:val="FootnoteReference"/>
        </w:rPr>
        <w:footnoteReference w:id="8"/>
      </w:r>
    </w:p>
    <w:p w14:paraId="5351AFC6" w14:textId="21389001" w:rsidR="00760C17" w:rsidRDefault="00760C17" w:rsidP="00760C17">
      <w:pPr>
        <w:pStyle w:val="Default"/>
        <w:numPr>
          <w:ilvl w:val="0"/>
          <w:numId w:val="4"/>
        </w:numPr>
        <w:rPr>
          <w:rFonts w:asciiTheme="minorHAnsi" w:hAnsiTheme="minorHAnsi" w:cstheme="minorBidi"/>
          <w:sz w:val="22"/>
          <w:szCs w:val="22"/>
        </w:rPr>
      </w:pPr>
      <w:r w:rsidRPr="33F126A0">
        <w:rPr>
          <w:rFonts w:asciiTheme="minorHAnsi" w:hAnsiTheme="minorHAnsi" w:cstheme="minorBidi"/>
          <w:color w:val="auto"/>
          <w:sz w:val="22"/>
          <w:szCs w:val="22"/>
        </w:rPr>
        <w:t>In December 2018, a</w:t>
      </w:r>
      <w:r>
        <w:rPr>
          <w:rFonts w:asciiTheme="minorHAnsi" w:hAnsiTheme="minorHAnsi" w:cstheme="minorBidi"/>
          <w:color w:val="auto"/>
          <w:sz w:val="22"/>
          <w:szCs w:val="22"/>
        </w:rPr>
        <w:t xml:space="preserve">n </w:t>
      </w:r>
      <w:r w:rsidRPr="33F126A0">
        <w:rPr>
          <w:rFonts w:asciiTheme="minorHAnsi" w:hAnsiTheme="minorHAnsi" w:cstheme="minorBidi"/>
          <w:color w:val="auto"/>
          <w:sz w:val="22"/>
          <w:szCs w:val="22"/>
        </w:rPr>
        <w:t>interim M</w:t>
      </w:r>
      <w:r w:rsidRPr="33F126A0">
        <w:rPr>
          <w:rFonts w:asciiTheme="minorHAnsi" w:hAnsiTheme="minorHAnsi" w:cstheme="minorBidi"/>
          <w:color w:val="auto"/>
          <w:sz w:val="22"/>
          <w:szCs w:val="22"/>
          <w:lang w:val="mi-NZ"/>
        </w:rPr>
        <w:t xml:space="preserve">āori advisory group – </w:t>
      </w:r>
      <w:r w:rsidRPr="33F126A0">
        <w:rPr>
          <w:rFonts w:asciiTheme="minorHAnsi" w:hAnsiTheme="minorHAnsi" w:cstheme="minorBidi"/>
          <w:sz w:val="22"/>
          <w:szCs w:val="22"/>
        </w:rPr>
        <w:t xml:space="preserve">Te </w:t>
      </w:r>
      <w:proofErr w:type="spellStart"/>
      <w:r w:rsidRPr="33F126A0">
        <w:rPr>
          <w:rFonts w:asciiTheme="minorHAnsi" w:hAnsiTheme="minorHAnsi" w:cstheme="minorBidi"/>
          <w:sz w:val="22"/>
          <w:szCs w:val="22"/>
        </w:rPr>
        <w:t>Rōpū</w:t>
      </w:r>
      <w:proofErr w:type="spellEnd"/>
      <w:r w:rsidRPr="33F126A0">
        <w:rPr>
          <w:rFonts w:asciiTheme="minorHAnsi" w:hAnsiTheme="minorHAnsi" w:cstheme="minorBidi"/>
          <w:sz w:val="22"/>
          <w:szCs w:val="22"/>
        </w:rPr>
        <w:t xml:space="preserve"> – was appointed to work in partnership with Ministers to help transform the whole-of-government response to family violence, sexual </w:t>
      </w:r>
      <w:proofErr w:type="gramStart"/>
      <w:r w:rsidRPr="33F126A0">
        <w:rPr>
          <w:rFonts w:asciiTheme="minorHAnsi" w:hAnsiTheme="minorHAnsi" w:cstheme="minorBidi"/>
          <w:sz w:val="22"/>
          <w:szCs w:val="22"/>
        </w:rPr>
        <w:t>violence</w:t>
      </w:r>
      <w:proofErr w:type="gramEnd"/>
      <w:r w:rsidRPr="33F126A0">
        <w:rPr>
          <w:rFonts w:asciiTheme="minorHAnsi" w:hAnsiTheme="minorHAnsi" w:cstheme="minorBidi"/>
          <w:sz w:val="22"/>
          <w:szCs w:val="22"/>
        </w:rPr>
        <w:t xml:space="preserve"> and violence against</w:t>
      </w:r>
      <w:r w:rsidRPr="00B91EA4">
        <w:rPr>
          <w:rFonts w:asciiTheme="minorHAnsi" w:hAnsiTheme="minorHAnsi" w:cstheme="minorHAnsi"/>
          <w:sz w:val="22"/>
          <w:szCs w:val="22"/>
        </w:rPr>
        <w:t xml:space="preserve"> </w:t>
      </w:r>
      <w:proofErr w:type="spellStart"/>
      <w:r w:rsidRPr="00B91EA4">
        <w:rPr>
          <w:rFonts w:asciiTheme="minorHAnsi" w:hAnsiTheme="minorHAnsi" w:cstheme="minorHAnsi"/>
          <w:sz w:val="22"/>
          <w:szCs w:val="22"/>
        </w:rPr>
        <w:t>wh</w:t>
      </w:r>
      <w:proofErr w:type="spellEnd"/>
      <w:r w:rsidR="00B91EA4" w:rsidRPr="00B91EA4">
        <w:rPr>
          <w:rFonts w:asciiTheme="minorHAnsi" w:eastAsiaTheme="minorEastAsia" w:hAnsiTheme="minorHAnsi" w:cstheme="minorHAnsi"/>
          <w:sz w:val="22"/>
          <w:szCs w:val="22"/>
          <w:lang w:val="en-GB"/>
        </w:rPr>
        <w:t>ā</w:t>
      </w:r>
      <w:proofErr w:type="spellStart"/>
      <w:r w:rsidRPr="00B91EA4">
        <w:rPr>
          <w:rFonts w:asciiTheme="minorHAnsi" w:hAnsiTheme="minorHAnsi" w:cstheme="minorHAnsi"/>
          <w:sz w:val="22"/>
          <w:szCs w:val="22"/>
        </w:rPr>
        <w:t>na</w:t>
      </w:r>
      <w:r w:rsidR="009B42D9" w:rsidRPr="00B91EA4">
        <w:rPr>
          <w:rFonts w:asciiTheme="minorHAnsi" w:hAnsiTheme="minorHAnsi" w:cstheme="minorHAnsi"/>
          <w:sz w:val="22"/>
          <w:szCs w:val="22"/>
        </w:rPr>
        <w:t>u</w:t>
      </w:r>
      <w:proofErr w:type="spellEnd"/>
      <w:r>
        <w:rPr>
          <w:rFonts w:asciiTheme="minorHAnsi" w:hAnsiTheme="minorHAnsi" w:cstheme="minorBidi"/>
          <w:sz w:val="22"/>
          <w:szCs w:val="22"/>
        </w:rPr>
        <w:t xml:space="preserve">. </w:t>
      </w:r>
      <w:r w:rsidRPr="33F126A0">
        <w:rPr>
          <w:rFonts w:asciiTheme="minorHAnsi" w:hAnsiTheme="minorHAnsi" w:cstheme="minorBidi"/>
          <w:sz w:val="22"/>
          <w:szCs w:val="22"/>
        </w:rPr>
        <w:t xml:space="preserve">Te </w:t>
      </w:r>
      <w:proofErr w:type="spellStart"/>
      <w:r w:rsidRPr="33F126A0">
        <w:rPr>
          <w:rFonts w:asciiTheme="minorHAnsi" w:hAnsiTheme="minorHAnsi" w:cstheme="minorBidi"/>
          <w:sz w:val="22"/>
          <w:szCs w:val="22"/>
        </w:rPr>
        <w:t>Rōpū</w:t>
      </w:r>
      <w:proofErr w:type="spellEnd"/>
      <w:r>
        <w:rPr>
          <w:rFonts w:asciiTheme="minorHAnsi" w:hAnsiTheme="minorHAnsi" w:cstheme="minorBidi"/>
          <w:sz w:val="22"/>
          <w:szCs w:val="22"/>
        </w:rPr>
        <w:t xml:space="preserve"> was to be</w:t>
      </w:r>
      <w:r w:rsidRPr="33F126A0">
        <w:rPr>
          <w:rFonts w:asciiTheme="minorHAnsi" w:hAnsiTheme="minorHAnsi" w:cstheme="minorBidi"/>
          <w:sz w:val="22"/>
          <w:szCs w:val="22"/>
        </w:rPr>
        <w:t xml:space="preserve"> underpinned by </w:t>
      </w:r>
      <w:r>
        <w:rPr>
          <w:rFonts w:asciiTheme="minorHAnsi" w:hAnsiTheme="minorHAnsi" w:cstheme="minorBidi"/>
          <w:sz w:val="22"/>
          <w:szCs w:val="22"/>
        </w:rPr>
        <w:t xml:space="preserve">Te </w:t>
      </w:r>
      <w:proofErr w:type="spellStart"/>
      <w:r>
        <w:rPr>
          <w:rFonts w:asciiTheme="minorHAnsi" w:hAnsiTheme="minorHAnsi" w:cstheme="minorBidi"/>
          <w:sz w:val="22"/>
          <w:szCs w:val="22"/>
        </w:rPr>
        <w:t>Tiriti</w:t>
      </w:r>
      <w:proofErr w:type="spellEnd"/>
      <w:r>
        <w:rPr>
          <w:rFonts w:asciiTheme="minorHAnsi" w:hAnsiTheme="minorHAnsi" w:cstheme="minorBidi"/>
          <w:sz w:val="22"/>
          <w:szCs w:val="22"/>
        </w:rPr>
        <w:t xml:space="preserve"> o Waitangi </w:t>
      </w:r>
      <w:r w:rsidRPr="33F126A0">
        <w:rPr>
          <w:rFonts w:asciiTheme="minorHAnsi" w:hAnsiTheme="minorHAnsi" w:cstheme="minorBidi"/>
          <w:sz w:val="22"/>
          <w:szCs w:val="22"/>
        </w:rPr>
        <w:t xml:space="preserve">to give effect to the partnership between Māori and the Crown. </w:t>
      </w:r>
      <w:r>
        <w:rPr>
          <w:rFonts w:asciiTheme="minorHAnsi" w:hAnsiTheme="minorHAnsi" w:cstheme="minorBidi"/>
          <w:sz w:val="22"/>
          <w:szCs w:val="22"/>
        </w:rPr>
        <w:t xml:space="preserve">The interim Te </w:t>
      </w:r>
      <w:proofErr w:type="spellStart"/>
      <w:r w:rsidRPr="33F126A0">
        <w:rPr>
          <w:rFonts w:asciiTheme="minorHAnsi" w:hAnsiTheme="minorHAnsi" w:cstheme="minorBidi"/>
          <w:sz w:val="22"/>
          <w:szCs w:val="22"/>
        </w:rPr>
        <w:t>Rōpū</w:t>
      </w:r>
      <w:proofErr w:type="spellEnd"/>
      <w:r>
        <w:rPr>
          <w:rFonts w:asciiTheme="minorHAnsi" w:hAnsiTheme="minorHAnsi" w:cstheme="minorBidi"/>
          <w:sz w:val="22"/>
          <w:szCs w:val="22"/>
        </w:rPr>
        <w:t xml:space="preserve"> was tasked with developing the draft strategy. </w:t>
      </w:r>
      <w:r w:rsidRPr="00760C17">
        <w:rPr>
          <w:rFonts w:asciiTheme="minorHAnsi" w:hAnsiTheme="minorHAnsi" w:cstheme="minorBidi"/>
          <w:sz w:val="22"/>
          <w:szCs w:val="22"/>
        </w:rPr>
        <w:t xml:space="preserve">However, Te </w:t>
      </w:r>
      <w:proofErr w:type="spellStart"/>
      <w:r w:rsidRPr="00760C17">
        <w:rPr>
          <w:rFonts w:asciiTheme="minorHAnsi" w:hAnsiTheme="minorHAnsi" w:cstheme="minorBidi"/>
          <w:sz w:val="22"/>
          <w:szCs w:val="22"/>
        </w:rPr>
        <w:t>Rōpū</w:t>
      </w:r>
      <w:proofErr w:type="spellEnd"/>
      <w:r w:rsidRPr="00760C17">
        <w:rPr>
          <w:rFonts w:asciiTheme="minorHAnsi" w:hAnsiTheme="minorHAnsi" w:cstheme="minorBidi"/>
          <w:sz w:val="22"/>
          <w:szCs w:val="22"/>
        </w:rPr>
        <w:t xml:space="preserve"> has since been disbanded.</w:t>
      </w:r>
    </w:p>
    <w:p w14:paraId="58405FA7" w14:textId="77777777" w:rsidR="00760C17" w:rsidRPr="00760C17" w:rsidRDefault="00760C17" w:rsidP="00760C17">
      <w:pPr>
        <w:pStyle w:val="Default"/>
        <w:ind w:left="360"/>
        <w:rPr>
          <w:rFonts w:asciiTheme="minorHAnsi" w:hAnsiTheme="minorHAnsi" w:cstheme="minorBidi"/>
          <w:sz w:val="22"/>
          <w:szCs w:val="22"/>
        </w:rPr>
      </w:pPr>
    </w:p>
    <w:p w14:paraId="672A9051" w14:textId="77777777" w:rsidR="00B57968" w:rsidRDefault="00960696" w:rsidP="00B57968">
      <w:pPr>
        <w:spacing w:line="240" w:lineRule="auto"/>
        <w:rPr>
          <w:rFonts w:cstheme="minorHAnsi"/>
          <w:b/>
          <w:bCs/>
        </w:rPr>
      </w:pPr>
      <w:r w:rsidRPr="0067327A">
        <w:rPr>
          <w:rFonts w:cstheme="minorHAnsi"/>
          <w:b/>
          <w:bCs/>
        </w:rPr>
        <w:t>Legal developments</w:t>
      </w:r>
    </w:p>
    <w:p w14:paraId="31298FFB" w14:textId="53BE1A13" w:rsidR="00F875EB" w:rsidRPr="00790F40" w:rsidRDefault="008040F0" w:rsidP="00790F40">
      <w:pPr>
        <w:spacing w:line="240" w:lineRule="auto"/>
        <w:rPr>
          <w:rFonts w:cstheme="minorHAnsi"/>
          <w:i/>
          <w:iCs/>
        </w:rPr>
      </w:pPr>
      <w:r w:rsidRPr="00790F40">
        <w:rPr>
          <w:rFonts w:cstheme="minorHAnsi"/>
          <w:i/>
          <w:iCs/>
        </w:rPr>
        <w:t xml:space="preserve">Family Violence Act 2018 </w:t>
      </w:r>
    </w:p>
    <w:p w14:paraId="633CCCB8" w14:textId="7E39FCE2" w:rsidR="00F875EB" w:rsidRPr="00790F40" w:rsidRDefault="00DE1739" w:rsidP="00790F40">
      <w:pPr>
        <w:pStyle w:val="ListParagraph"/>
        <w:numPr>
          <w:ilvl w:val="0"/>
          <w:numId w:val="4"/>
        </w:numPr>
        <w:spacing w:line="240" w:lineRule="auto"/>
        <w:rPr>
          <w:b/>
          <w:bCs/>
        </w:rPr>
      </w:pPr>
      <w:r w:rsidRPr="33F126A0">
        <w:t>In July 2019, the Family Violence Act 2018 came into effect, replacing the Domestic Violence Act</w:t>
      </w:r>
      <w:r w:rsidR="00F875EB" w:rsidRPr="33F126A0">
        <w:t xml:space="preserve"> </w:t>
      </w:r>
      <w:r w:rsidRPr="33F126A0">
        <w:t>1995.</w:t>
      </w:r>
      <w:r w:rsidR="00F875EB" w:rsidRPr="33F126A0">
        <w:t xml:space="preserve"> </w:t>
      </w:r>
      <w:r w:rsidR="00C21EFA" w:rsidRPr="33F126A0">
        <w:t>The definition of family violence</w:t>
      </w:r>
      <w:r w:rsidR="007D718D" w:rsidRPr="33F126A0">
        <w:t xml:space="preserve"> </w:t>
      </w:r>
      <w:r w:rsidR="002F24F1">
        <w:t>in</w:t>
      </w:r>
      <w:r w:rsidR="007D718D" w:rsidRPr="33F126A0">
        <w:t xml:space="preserve"> the Act</w:t>
      </w:r>
      <w:r w:rsidR="00C21EFA" w:rsidRPr="33F126A0">
        <w:t xml:space="preserve"> was expanded to include</w:t>
      </w:r>
      <w:r w:rsidR="00790F40">
        <w:t xml:space="preserve"> </w:t>
      </w:r>
      <w:r w:rsidR="00C21EFA" w:rsidRPr="33F126A0">
        <w:t>coercive and controlling behaviour</w:t>
      </w:r>
      <w:r w:rsidR="00790F40">
        <w:t xml:space="preserve">, as well as </w:t>
      </w:r>
      <w:r w:rsidR="00C21EFA" w:rsidRPr="33F126A0">
        <w:t>dowry abuse</w:t>
      </w:r>
      <w:r w:rsidR="00790F40">
        <w:t>. Other significant changes include:</w:t>
      </w:r>
    </w:p>
    <w:p w14:paraId="59107A33" w14:textId="77777777" w:rsidR="00790F40" w:rsidRPr="00790F40" w:rsidRDefault="00790F40" w:rsidP="00790F40">
      <w:pPr>
        <w:pStyle w:val="ListParagraph"/>
        <w:spacing w:line="240" w:lineRule="auto"/>
        <w:ind w:left="360"/>
        <w:rPr>
          <w:b/>
          <w:bCs/>
        </w:rPr>
      </w:pPr>
    </w:p>
    <w:p w14:paraId="308B9616" w14:textId="5811561E" w:rsidR="00F875EB" w:rsidRPr="00F875EB" w:rsidRDefault="00184525" w:rsidP="33F126A0">
      <w:pPr>
        <w:pStyle w:val="ListParagraph"/>
        <w:numPr>
          <w:ilvl w:val="1"/>
          <w:numId w:val="4"/>
        </w:numPr>
        <w:spacing w:line="240" w:lineRule="auto"/>
        <w:rPr>
          <w:b/>
          <w:bCs/>
        </w:rPr>
      </w:pPr>
      <w:r w:rsidRPr="33F126A0">
        <w:t>R</w:t>
      </w:r>
      <w:r w:rsidR="00C21EFA" w:rsidRPr="33F126A0">
        <w:t>emov</w:t>
      </w:r>
      <w:r w:rsidR="00790F40">
        <w:t>al of</w:t>
      </w:r>
      <w:r w:rsidR="00C21EFA" w:rsidRPr="33F126A0">
        <w:t xml:space="preserve"> legal barriers to information sharing between agencies to increase victims’ safety. </w:t>
      </w:r>
    </w:p>
    <w:p w14:paraId="2695475C" w14:textId="77777777" w:rsidR="00F875EB" w:rsidRPr="00F875EB" w:rsidRDefault="00184525" w:rsidP="33F126A0">
      <w:pPr>
        <w:pStyle w:val="ListParagraph"/>
        <w:numPr>
          <w:ilvl w:val="1"/>
          <w:numId w:val="4"/>
        </w:numPr>
        <w:spacing w:line="240" w:lineRule="auto"/>
        <w:rPr>
          <w:b/>
          <w:bCs/>
        </w:rPr>
      </w:pPr>
      <w:r w:rsidRPr="33F126A0">
        <w:t>A n</w:t>
      </w:r>
      <w:r w:rsidR="00C21EFA" w:rsidRPr="33F126A0">
        <w:t>ew charge of attempted strangulation</w:t>
      </w:r>
      <w:r w:rsidRPr="33F126A0">
        <w:t>, which</w:t>
      </w:r>
      <w:r w:rsidR="00C21EFA" w:rsidRPr="33F126A0">
        <w:t xml:space="preserve"> has seen Police lay an average of five charges per day, significantly higher than anticipated. </w:t>
      </w:r>
    </w:p>
    <w:p w14:paraId="70B5E7DC" w14:textId="71833522" w:rsidR="00F875EB" w:rsidRPr="00F875EB" w:rsidRDefault="00336BD2" w:rsidP="33F126A0">
      <w:pPr>
        <w:pStyle w:val="ListParagraph"/>
        <w:numPr>
          <w:ilvl w:val="1"/>
          <w:numId w:val="4"/>
        </w:numPr>
        <w:spacing w:line="240" w:lineRule="auto"/>
        <w:rPr>
          <w:b/>
          <w:bCs/>
        </w:rPr>
      </w:pPr>
      <w:r w:rsidRPr="33F126A0">
        <w:t>Amended definition of family relationship to r</w:t>
      </w:r>
      <w:r w:rsidR="00184525" w:rsidRPr="33F126A0">
        <w:t>ecognise that a carer can also be in a close personal relationship with the person they care for</w:t>
      </w:r>
      <w:r w:rsidR="00DD3BB6">
        <w:t>.</w:t>
      </w:r>
      <w:r w:rsidR="0015456D" w:rsidRPr="33F126A0">
        <w:t xml:space="preserve"> </w:t>
      </w:r>
    </w:p>
    <w:p w14:paraId="4C182FFF" w14:textId="47A9E06B" w:rsidR="006B75FC" w:rsidRPr="00790F40" w:rsidRDefault="00EC4043" w:rsidP="00790F40">
      <w:pPr>
        <w:spacing w:line="240" w:lineRule="auto"/>
        <w:rPr>
          <w:rFonts w:cstheme="minorHAnsi"/>
          <w:i/>
          <w:iCs/>
        </w:rPr>
      </w:pPr>
      <w:r w:rsidRPr="00790F40">
        <w:rPr>
          <w:rFonts w:cstheme="minorHAnsi"/>
          <w:i/>
          <w:iCs/>
        </w:rPr>
        <w:t>Domestic Violence</w:t>
      </w:r>
      <w:r w:rsidR="00C21EFA" w:rsidRPr="00790F40">
        <w:rPr>
          <w:rFonts w:cstheme="minorHAnsi"/>
          <w:i/>
          <w:iCs/>
        </w:rPr>
        <w:t xml:space="preserve">-victims’ </w:t>
      </w:r>
      <w:r w:rsidRPr="00790F40">
        <w:rPr>
          <w:rFonts w:cstheme="minorHAnsi"/>
          <w:i/>
          <w:iCs/>
        </w:rPr>
        <w:t xml:space="preserve">Protection Act </w:t>
      </w:r>
      <w:r w:rsidR="00C21EFA" w:rsidRPr="00790F40">
        <w:rPr>
          <w:rFonts w:cstheme="minorHAnsi"/>
          <w:i/>
          <w:iCs/>
        </w:rPr>
        <w:t>2018</w:t>
      </w:r>
    </w:p>
    <w:p w14:paraId="77399FED" w14:textId="19C87FF0" w:rsidR="006B75FC" w:rsidRPr="00F875EB" w:rsidRDefault="00184525" w:rsidP="33F126A0">
      <w:pPr>
        <w:pStyle w:val="ListParagraph"/>
        <w:numPr>
          <w:ilvl w:val="0"/>
          <w:numId w:val="4"/>
        </w:numPr>
        <w:spacing w:line="240" w:lineRule="auto"/>
      </w:pPr>
      <w:r w:rsidRPr="33F126A0">
        <w:t>The Domestic Violence</w:t>
      </w:r>
      <w:r w:rsidR="00AB6A47">
        <w:t xml:space="preserve"> V</w:t>
      </w:r>
      <w:r w:rsidRPr="33F126A0">
        <w:t>ictim</w:t>
      </w:r>
      <w:r w:rsidR="00CD4F1D">
        <w:t>s</w:t>
      </w:r>
      <w:r w:rsidRPr="33F126A0">
        <w:t xml:space="preserve">’ Protection Act 2018 </w:t>
      </w:r>
      <w:r w:rsidR="006B75FC" w:rsidRPr="33F126A0">
        <w:t>creates a legislative requirement for workplaces to provide flexible working conditions and up to ten days paid leave for people affected by, and those caring for children affected by, family violence.</w:t>
      </w:r>
    </w:p>
    <w:p w14:paraId="54207747" w14:textId="77777777" w:rsidR="00CA6EEF" w:rsidRPr="00790F40" w:rsidRDefault="00CA6EEF" w:rsidP="00CA6EEF">
      <w:pPr>
        <w:spacing w:line="240" w:lineRule="auto"/>
        <w:rPr>
          <w:rFonts w:cstheme="minorHAnsi"/>
          <w:b/>
          <w:bCs/>
          <w:i/>
          <w:iCs/>
        </w:rPr>
      </w:pPr>
      <w:r w:rsidRPr="00790F40">
        <w:rPr>
          <w:rFonts w:cstheme="minorHAnsi"/>
          <w:i/>
          <w:iCs/>
        </w:rPr>
        <w:t>Crimes (Definition of Female Genital Mutilation) Amendment Act</w:t>
      </w:r>
      <w:r>
        <w:rPr>
          <w:rFonts w:cstheme="minorHAnsi"/>
          <w:i/>
          <w:iCs/>
        </w:rPr>
        <w:t xml:space="preserve"> 2020</w:t>
      </w:r>
    </w:p>
    <w:p w14:paraId="7C8CB016" w14:textId="3BE4F0D0" w:rsidR="00CA6EEF" w:rsidRDefault="00CA6EEF" w:rsidP="00CA6EEF">
      <w:pPr>
        <w:pStyle w:val="ListParagraph"/>
        <w:numPr>
          <w:ilvl w:val="0"/>
          <w:numId w:val="4"/>
        </w:numPr>
        <w:spacing w:line="240" w:lineRule="auto"/>
      </w:pPr>
      <w:r w:rsidRPr="33F126A0">
        <w:t>In August 2020, the Crimes (Definition of Female Genital Mutilation) Amendment Act</w:t>
      </w:r>
      <w:r w:rsidRPr="33F126A0">
        <w:rPr>
          <w:b/>
          <w:bCs/>
        </w:rPr>
        <w:t xml:space="preserve"> </w:t>
      </w:r>
      <w:r w:rsidRPr="33F126A0">
        <w:t xml:space="preserve">came into force. The </w:t>
      </w:r>
      <w:r w:rsidR="00236286">
        <w:t>Act</w:t>
      </w:r>
      <w:r w:rsidRPr="33F126A0">
        <w:t xml:space="preserve"> amends the Crimes Act 1961 to update the definition of female genital mutilation (FGM) to ensure all types of FGM are illegal in New Zealand and all women and girls are adequately protected from FGM. </w:t>
      </w:r>
    </w:p>
    <w:p w14:paraId="3C4C3F44" w14:textId="77777777" w:rsidR="00CA6EEF" w:rsidRDefault="00CA6EEF" w:rsidP="00CA6EEF">
      <w:pPr>
        <w:pStyle w:val="ListParagraph"/>
        <w:spacing w:line="240" w:lineRule="auto"/>
        <w:rPr>
          <w:rFonts w:cstheme="minorHAnsi"/>
        </w:rPr>
      </w:pPr>
    </w:p>
    <w:p w14:paraId="5423F688" w14:textId="75203A48" w:rsidR="00CA6EEF" w:rsidRDefault="00CA6EEF" w:rsidP="00CA6EEF">
      <w:pPr>
        <w:pStyle w:val="ListParagraph"/>
        <w:numPr>
          <w:ilvl w:val="0"/>
          <w:numId w:val="4"/>
        </w:numPr>
        <w:spacing w:line="240" w:lineRule="auto"/>
      </w:pPr>
      <w:r w:rsidRPr="33F126A0">
        <w:lastRenderedPageBreak/>
        <w:t xml:space="preserve">The </w:t>
      </w:r>
      <w:r w:rsidR="00A80859">
        <w:t>Act</w:t>
      </w:r>
      <w:r w:rsidRPr="33F126A0">
        <w:t xml:space="preserve"> removes reference to “external” female genitalia under section 204</w:t>
      </w:r>
      <w:proofErr w:type="gramStart"/>
      <w:r w:rsidRPr="33F126A0">
        <w:t>A(</w:t>
      </w:r>
      <w:proofErr w:type="gramEnd"/>
      <w:r w:rsidRPr="33F126A0">
        <w:t>1) of the Crimes Act 1961</w:t>
      </w:r>
      <w:r w:rsidR="00CA59D8">
        <w:t>, thus</w:t>
      </w:r>
      <w:r w:rsidRPr="33F126A0">
        <w:t xml:space="preserve"> bringing it in</w:t>
      </w:r>
      <w:r w:rsidR="00CA59D8">
        <w:t>to</w:t>
      </w:r>
      <w:r w:rsidRPr="33F126A0">
        <w:t xml:space="preserve"> line with the World Health Organisation definition. The law now reads “the excision, infibulation, or mutilation of the whole or part of the external female genitalia”. </w:t>
      </w:r>
    </w:p>
    <w:p w14:paraId="02B5AFA7" w14:textId="77777777" w:rsidR="00CA6EEF" w:rsidRPr="00F875EB" w:rsidRDefault="00CA6EEF" w:rsidP="00CA6EEF">
      <w:pPr>
        <w:pStyle w:val="ListParagraph"/>
        <w:rPr>
          <w:rFonts w:cstheme="minorHAnsi"/>
          <w:color w:val="000000"/>
          <w:shd w:val="clear" w:color="auto" w:fill="FFFFFF"/>
        </w:rPr>
      </w:pPr>
    </w:p>
    <w:p w14:paraId="0F2050E5" w14:textId="67B3DE0A" w:rsidR="00CA6EEF" w:rsidRPr="00F875EB" w:rsidRDefault="00CA6EEF" w:rsidP="00CA6EEF">
      <w:pPr>
        <w:pStyle w:val="ListParagraph"/>
        <w:numPr>
          <w:ilvl w:val="0"/>
          <w:numId w:val="4"/>
        </w:numPr>
        <w:spacing w:line="240" w:lineRule="auto"/>
      </w:pPr>
      <w:r w:rsidRPr="33F126A0">
        <w:rPr>
          <w:color w:val="000000"/>
          <w:shd w:val="clear" w:color="auto" w:fill="FFFFFF"/>
        </w:rPr>
        <w:t>The term </w:t>
      </w:r>
      <w:r w:rsidRPr="33F126A0">
        <w:t>“other harmful procedures intended to alter the structure or function of the female genitalia” under s 204A</w:t>
      </w:r>
      <w:r>
        <w:t xml:space="preserve"> </w:t>
      </w:r>
      <w:r w:rsidRPr="33F126A0">
        <w:t>(1)</w:t>
      </w:r>
      <w:r w:rsidRPr="33F126A0">
        <w:rPr>
          <w:color w:val="000000"/>
          <w:shd w:val="clear" w:color="auto" w:fill="FFFFFF"/>
        </w:rPr>
        <w:t> was replaced with </w:t>
      </w:r>
      <w:r w:rsidRPr="33F126A0">
        <w:t>“other harmful procedures carried out on any part of the female genitalia”</w:t>
      </w:r>
      <w:r w:rsidRPr="33F126A0">
        <w:rPr>
          <w:color w:val="000000"/>
          <w:shd w:val="clear" w:color="auto" w:fill="FFFFFF"/>
        </w:rPr>
        <w:t xml:space="preserve">. This fits more closely with the </w:t>
      </w:r>
      <w:r w:rsidR="00860F1B">
        <w:rPr>
          <w:color w:val="000000"/>
          <w:shd w:val="clear" w:color="auto" w:fill="FFFFFF"/>
        </w:rPr>
        <w:t>Act’s</w:t>
      </w:r>
      <w:r w:rsidRPr="33F126A0">
        <w:rPr>
          <w:color w:val="000000"/>
          <w:shd w:val="clear" w:color="auto" w:fill="FFFFFF"/>
        </w:rPr>
        <w:t xml:space="preserve"> intention of protecting women and girls from all forms of female genital mutilation.</w:t>
      </w:r>
    </w:p>
    <w:p w14:paraId="477FFD82" w14:textId="4B2E2249" w:rsidR="00960696" w:rsidRPr="00790F40" w:rsidRDefault="00960696" w:rsidP="00790F40">
      <w:pPr>
        <w:spacing w:line="240" w:lineRule="auto"/>
        <w:rPr>
          <w:rFonts w:cstheme="minorHAnsi"/>
          <w:i/>
          <w:iCs/>
        </w:rPr>
      </w:pPr>
      <w:r w:rsidRPr="00790F40">
        <w:rPr>
          <w:rFonts w:cstheme="minorHAnsi"/>
          <w:i/>
          <w:iCs/>
        </w:rPr>
        <w:t>Residential Tenancies</w:t>
      </w:r>
      <w:r w:rsidR="00CA6EEF">
        <w:rPr>
          <w:rFonts w:cstheme="minorHAnsi"/>
          <w:i/>
          <w:iCs/>
        </w:rPr>
        <w:t xml:space="preserve"> Amendment</w:t>
      </w:r>
      <w:r w:rsidRPr="00790F40">
        <w:rPr>
          <w:rFonts w:cstheme="minorHAnsi"/>
          <w:i/>
          <w:iCs/>
        </w:rPr>
        <w:t xml:space="preserve"> Act </w:t>
      </w:r>
      <w:r w:rsidR="00CA6EEF">
        <w:rPr>
          <w:rFonts w:cstheme="minorHAnsi"/>
          <w:i/>
          <w:iCs/>
        </w:rPr>
        <w:t>2020</w:t>
      </w:r>
    </w:p>
    <w:p w14:paraId="142D2FD5" w14:textId="5FAC325E" w:rsidR="00960696" w:rsidRPr="00F875EB" w:rsidRDefault="005616FB" w:rsidP="33F126A0">
      <w:pPr>
        <w:pStyle w:val="ListParagraph"/>
        <w:numPr>
          <w:ilvl w:val="0"/>
          <w:numId w:val="4"/>
        </w:numPr>
        <w:spacing w:line="240" w:lineRule="auto"/>
        <w:rPr>
          <w:color w:val="000000" w:themeColor="text1"/>
        </w:rPr>
      </w:pPr>
      <w:r w:rsidRPr="33F126A0">
        <w:t xml:space="preserve">The </w:t>
      </w:r>
      <w:r w:rsidR="00960696" w:rsidRPr="33F126A0">
        <w:t xml:space="preserve">Residential Tenancies Amendment Act 2020 amended the Residential Tenancies Act 1986 to protect victims of family violence. </w:t>
      </w:r>
      <w:r w:rsidR="00D415A7" w:rsidRPr="33F126A0">
        <w:t xml:space="preserve">Section 56B of the Act enables a tenant to </w:t>
      </w:r>
      <w:r w:rsidR="0079274A">
        <w:t xml:space="preserve">leave a tenancy </w:t>
      </w:r>
      <w:r w:rsidR="002425FF">
        <w:t>with a minimum notice period of two days</w:t>
      </w:r>
      <w:r w:rsidR="00B21F71">
        <w:t>, through</w:t>
      </w:r>
      <w:r w:rsidR="00D415A7" w:rsidRPr="33F126A0">
        <w:t xml:space="preserve"> giv</w:t>
      </w:r>
      <w:r w:rsidR="00B21F71">
        <w:t>ing</w:t>
      </w:r>
      <w:r w:rsidR="00D415A7" w:rsidRPr="33F126A0">
        <w:t xml:space="preserve"> their landlord a family violence withdrawal notice</w:t>
      </w:r>
      <w:r w:rsidR="00B21F71">
        <w:t xml:space="preserve">. </w:t>
      </w:r>
      <w:r w:rsidR="00D415A7" w:rsidRPr="33F126A0">
        <w:t xml:space="preserve">The </w:t>
      </w:r>
      <w:r w:rsidR="007A0332" w:rsidRPr="33F126A0">
        <w:t>notice</w:t>
      </w:r>
      <w:r w:rsidR="00D415A7" w:rsidRPr="33F126A0">
        <w:t xml:space="preserve"> m</w:t>
      </w:r>
      <w:r w:rsidR="0021139A" w:rsidRPr="33F126A0">
        <w:t>ust be accompanie</w:t>
      </w:r>
      <w:r w:rsidR="008260D0">
        <w:t>d</w:t>
      </w:r>
      <w:r w:rsidR="0021139A" w:rsidRPr="33F126A0">
        <w:t xml:space="preserve"> by qualifying evidence that the tenant has been a victim of family violence while on the premises. </w:t>
      </w:r>
    </w:p>
    <w:p w14:paraId="391A1205" w14:textId="582FCC7E" w:rsidR="00960696" w:rsidRPr="00556D52" w:rsidRDefault="00B20512" w:rsidP="00CA6EEF">
      <w:pPr>
        <w:spacing w:line="240" w:lineRule="auto"/>
        <w:rPr>
          <w:rFonts w:cstheme="minorHAnsi"/>
          <w:i/>
          <w:iCs/>
        </w:rPr>
      </w:pPr>
      <w:r w:rsidRPr="00556D52">
        <w:rPr>
          <w:rFonts w:cstheme="minorHAnsi"/>
          <w:i/>
          <w:iCs/>
        </w:rPr>
        <w:t xml:space="preserve">Sexual Violence Legislation Bill </w:t>
      </w:r>
    </w:p>
    <w:p w14:paraId="2EBE2302" w14:textId="49FC1F0C" w:rsidR="003F20B6" w:rsidRPr="00F875EB" w:rsidRDefault="006C6CF8" w:rsidP="33F126A0">
      <w:pPr>
        <w:pStyle w:val="ListParagraph"/>
        <w:numPr>
          <w:ilvl w:val="0"/>
          <w:numId w:val="4"/>
        </w:numPr>
        <w:spacing w:line="240" w:lineRule="auto"/>
        <w:rPr>
          <w:i/>
          <w:iCs/>
        </w:rPr>
      </w:pPr>
      <w:r w:rsidRPr="33F126A0">
        <w:t xml:space="preserve">This </w:t>
      </w:r>
      <w:r w:rsidR="007A0332" w:rsidRPr="33F126A0">
        <w:t>B</w:t>
      </w:r>
      <w:r w:rsidRPr="33F126A0">
        <w:t xml:space="preserve">ill </w:t>
      </w:r>
      <w:r w:rsidR="00184525" w:rsidRPr="33F126A0">
        <w:t xml:space="preserve">would </w:t>
      </w:r>
      <w:r w:rsidRPr="33F126A0">
        <w:t xml:space="preserve">amend the Evidence Act 2006, Victims’ Rights Act 2002, and Criminal Procedure Act 2011 to reduce the </w:t>
      </w:r>
      <w:r w:rsidR="00542043">
        <w:t xml:space="preserve">risk of </w:t>
      </w:r>
      <w:r w:rsidR="009E4EC4">
        <w:t>potentially</w:t>
      </w:r>
      <w:r w:rsidR="009E4EC4" w:rsidRPr="33F126A0">
        <w:t xml:space="preserve"> </w:t>
      </w:r>
      <w:r w:rsidRPr="33F126A0">
        <w:t>re</w:t>
      </w:r>
      <w:r w:rsidR="00556D52">
        <w:t>-</w:t>
      </w:r>
      <w:r w:rsidRPr="33F126A0">
        <w:t>traumati</w:t>
      </w:r>
      <w:r w:rsidR="00542043">
        <w:t>s</w:t>
      </w:r>
      <w:r w:rsidR="009E4EC4">
        <w:t>ing</w:t>
      </w:r>
      <w:r w:rsidRPr="33F126A0">
        <w:t xml:space="preserve"> victims of sexual violence when they attend court and give evidence</w:t>
      </w:r>
      <w:r w:rsidR="00184525" w:rsidRPr="33F126A0">
        <w:t xml:space="preserve">. However, </w:t>
      </w:r>
      <w:r w:rsidR="00831151" w:rsidRPr="33F126A0">
        <w:t>the Bill</w:t>
      </w:r>
      <w:r w:rsidR="00184525" w:rsidRPr="33F126A0">
        <w:t xml:space="preserve"> is only at its</w:t>
      </w:r>
      <w:r w:rsidRPr="33F126A0">
        <w:t xml:space="preserve"> second reading</w:t>
      </w:r>
      <w:r w:rsidR="009968D4" w:rsidRPr="33F126A0">
        <w:t>.</w:t>
      </w:r>
      <w:r w:rsidR="00002C3E" w:rsidRPr="33F126A0">
        <w:t xml:space="preserve"> Proposed law changes include six core changes “to ensure that the justice system, in prosecuting sexual violence cases, does no more harm to victims and survivors”.</w:t>
      </w:r>
    </w:p>
    <w:p w14:paraId="07CF11E3" w14:textId="77777777" w:rsidR="00F875EB" w:rsidRPr="0067327A" w:rsidRDefault="00F875EB" w:rsidP="003F457F">
      <w:pPr>
        <w:spacing w:line="240" w:lineRule="auto"/>
        <w:rPr>
          <w:rFonts w:cstheme="minorHAnsi"/>
          <w:b/>
          <w:bCs/>
        </w:rPr>
      </w:pPr>
      <w:r>
        <w:rPr>
          <w:rFonts w:cstheme="minorHAnsi"/>
          <w:b/>
          <w:bCs/>
        </w:rPr>
        <w:t>Sexual violence d</w:t>
      </w:r>
      <w:r w:rsidRPr="0067327A">
        <w:rPr>
          <w:rFonts w:cstheme="minorHAnsi"/>
          <w:b/>
          <w:bCs/>
        </w:rPr>
        <w:t>ata</w:t>
      </w:r>
    </w:p>
    <w:p w14:paraId="2DEDF3DA" w14:textId="72745A51" w:rsidR="00F875EB" w:rsidRDefault="00F875EB" w:rsidP="33F126A0">
      <w:pPr>
        <w:pStyle w:val="ListParagraph"/>
        <w:numPr>
          <w:ilvl w:val="0"/>
          <w:numId w:val="4"/>
        </w:numPr>
        <w:spacing w:line="240" w:lineRule="auto"/>
      </w:pPr>
      <w:r w:rsidRPr="33F126A0">
        <w:t xml:space="preserve">On 1 November 2019, the Ministry of Justice published a report </w:t>
      </w:r>
      <w:r w:rsidRPr="33F126A0">
        <w:rPr>
          <w:i/>
          <w:iCs/>
        </w:rPr>
        <w:t xml:space="preserve">Attrition and progression: Reported sexual violence victimisations in the criminal justice </w:t>
      </w:r>
      <w:r w:rsidRPr="33F126A0">
        <w:t>system.</w:t>
      </w:r>
      <w:r w:rsidR="009360A5" w:rsidRPr="33F126A0">
        <w:rPr>
          <w:rStyle w:val="FootnoteReference"/>
        </w:rPr>
        <w:footnoteReference w:id="9"/>
      </w:r>
      <w:r w:rsidRPr="33F126A0">
        <w:t xml:space="preserve"> The research quantifies the proportion of reported sexual violence victimisations that currently progress through the justice system to conviction. It also looks at whether differences exist over time, for children and young people, adults reporting historic childhood offences, difference offence types, M</w:t>
      </w:r>
      <w:r w:rsidR="00371E90">
        <w:t>ā</w:t>
      </w:r>
      <w:r w:rsidRPr="33F126A0">
        <w:t>ori</w:t>
      </w:r>
      <w:r w:rsidR="00F24BA0">
        <w:t>,</w:t>
      </w:r>
      <w:r w:rsidRPr="33F126A0">
        <w:t xml:space="preserve"> and different perpetrator relationship types. </w:t>
      </w:r>
    </w:p>
    <w:p w14:paraId="1CB0C97D" w14:textId="77777777" w:rsidR="00F875EB" w:rsidRDefault="00F875EB" w:rsidP="00F875EB">
      <w:pPr>
        <w:pStyle w:val="ListParagraph"/>
        <w:spacing w:line="240" w:lineRule="auto"/>
        <w:rPr>
          <w:rFonts w:cstheme="minorHAnsi"/>
        </w:rPr>
      </w:pPr>
    </w:p>
    <w:p w14:paraId="452E8B57" w14:textId="683FF316" w:rsidR="00F875EB" w:rsidRDefault="00F875EB" w:rsidP="33F126A0">
      <w:pPr>
        <w:pStyle w:val="ListParagraph"/>
        <w:numPr>
          <w:ilvl w:val="0"/>
          <w:numId w:val="4"/>
        </w:numPr>
        <w:spacing w:line="240" w:lineRule="auto"/>
      </w:pPr>
      <w:r w:rsidRPr="33F126A0">
        <w:t xml:space="preserve">This is the first time that the Ministry of Justice has carried out a large-scale analysis of this type. </w:t>
      </w:r>
      <w:r w:rsidR="00CE093E">
        <w:t>The report</w:t>
      </w:r>
      <w:r w:rsidR="00CE093E" w:rsidRPr="33F126A0">
        <w:t xml:space="preserve"> </w:t>
      </w:r>
      <w:r w:rsidRPr="33F126A0">
        <w:t xml:space="preserve">covers all sexual assault complaints made to police between 2014 and 2018. The broad results showed </w:t>
      </w:r>
      <w:r w:rsidR="007A402C">
        <w:t xml:space="preserve">that </w:t>
      </w:r>
      <w:r w:rsidRPr="33F126A0">
        <w:t>out of the 23,739 cases of sexual assaults reported to police over the four-year period:</w:t>
      </w:r>
    </w:p>
    <w:p w14:paraId="512B2967" w14:textId="77777777" w:rsidR="00F875EB" w:rsidRPr="00F875EB" w:rsidRDefault="00F875EB" w:rsidP="00F875EB">
      <w:pPr>
        <w:pStyle w:val="ListParagraph"/>
        <w:rPr>
          <w:rFonts w:cstheme="minorHAnsi"/>
        </w:rPr>
      </w:pPr>
    </w:p>
    <w:p w14:paraId="71C7F761" w14:textId="44F109E4" w:rsidR="00F875EB" w:rsidRDefault="00F875EB" w:rsidP="33F126A0">
      <w:pPr>
        <w:pStyle w:val="ListParagraph"/>
        <w:numPr>
          <w:ilvl w:val="1"/>
          <w:numId w:val="4"/>
        </w:numPr>
        <w:spacing w:line="240" w:lineRule="auto"/>
      </w:pPr>
      <w:r w:rsidRPr="33F126A0">
        <w:t>61 percent occurred when the victim was a child or young person (aged 17 years or younger)</w:t>
      </w:r>
      <w:r w:rsidR="007F6EC0">
        <w:t>.</w:t>
      </w:r>
    </w:p>
    <w:p w14:paraId="237E4019" w14:textId="190485A2" w:rsidR="00F875EB" w:rsidRDefault="00F875EB" w:rsidP="33F126A0">
      <w:pPr>
        <w:pStyle w:val="ListParagraph"/>
        <w:numPr>
          <w:ilvl w:val="1"/>
          <w:numId w:val="4"/>
        </w:numPr>
        <w:spacing w:line="240" w:lineRule="auto"/>
      </w:pPr>
      <w:r w:rsidRPr="33F126A0">
        <w:t xml:space="preserve">53 percent were reported when the victim was an </w:t>
      </w:r>
      <w:r w:rsidR="007F6EC0" w:rsidRPr="33F126A0">
        <w:t>adult</w:t>
      </w:r>
      <w:r w:rsidR="007F6EC0">
        <w:t>.</w:t>
      </w:r>
      <w:r w:rsidRPr="33F126A0">
        <w:t xml:space="preserve"> </w:t>
      </w:r>
    </w:p>
    <w:p w14:paraId="286A4DCE" w14:textId="3BC908A1" w:rsidR="00F875EB" w:rsidRDefault="00F875EB" w:rsidP="33F126A0">
      <w:pPr>
        <w:pStyle w:val="ListParagraph"/>
        <w:numPr>
          <w:ilvl w:val="1"/>
          <w:numId w:val="4"/>
        </w:numPr>
        <w:spacing w:line="240" w:lineRule="auto"/>
      </w:pPr>
      <w:r w:rsidRPr="33F126A0">
        <w:t>55 percent were indecent assault, which was more frequently reported by children and young people</w:t>
      </w:r>
      <w:r w:rsidR="007F6EC0">
        <w:t>.</w:t>
      </w:r>
      <w:r w:rsidRPr="33F126A0">
        <w:t xml:space="preserve"> </w:t>
      </w:r>
    </w:p>
    <w:p w14:paraId="72C9BFDF" w14:textId="686806C6" w:rsidR="00F875EB" w:rsidRDefault="00F875EB" w:rsidP="33F126A0">
      <w:pPr>
        <w:pStyle w:val="ListParagraph"/>
        <w:numPr>
          <w:ilvl w:val="1"/>
          <w:numId w:val="4"/>
        </w:numPr>
        <w:spacing w:line="240" w:lineRule="auto"/>
      </w:pPr>
      <w:r w:rsidRPr="33F126A0">
        <w:t xml:space="preserve">31 percent made it to court. Of those, 11 percent resulted in a conviction, and in 6 percent of cases a prison sentence was imposed. </w:t>
      </w:r>
    </w:p>
    <w:p w14:paraId="79D8B62A" w14:textId="77777777" w:rsidR="00F875EB" w:rsidRPr="00F875EB" w:rsidRDefault="00F875EB" w:rsidP="00F875EB">
      <w:pPr>
        <w:pStyle w:val="ListParagraph"/>
        <w:spacing w:line="240" w:lineRule="auto"/>
        <w:ind w:left="1440"/>
        <w:rPr>
          <w:rFonts w:cstheme="minorHAnsi"/>
        </w:rPr>
      </w:pPr>
    </w:p>
    <w:p w14:paraId="14C11C54" w14:textId="4F68710C" w:rsidR="00F875EB" w:rsidRDefault="00F875EB" w:rsidP="33F126A0">
      <w:pPr>
        <w:pStyle w:val="ListParagraph"/>
        <w:numPr>
          <w:ilvl w:val="0"/>
          <w:numId w:val="4"/>
        </w:numPr>
        <w:spacing w:line="240" w:lineRule="auto"/>
      </w:pPr>
      <w:r w:rsidRPr="33F126A0">
        <w:t>The statistics showed there was a 21 percent increase in the number of cases reported to police between 2015 and 2018.</w:t>
      </w:r>
    </w:p>
    <w:p w14:paraId="74C5AB7A" w14:textId="77777777" w:rsidR="00F875EB" w:rsidRDefault="00F875EB" w:rsidP="00F875EB">
      <w:pPr>
        <w:pStyle w:val="ListParagraph"/>
        <w:spacing w:line="240" w:lineRule="auto"/>
        <w:rPr>
          <w:rFonts w:cstheme="minorHAnsi"/>
        </w:rPr>
      </w:pPr>
    </w:p>
    <w:p w14:paraId="70C4899F" w14:textId="3FE30C3B" w:rsidR="00175E25" w:rsidRPr="0067327A" w:rsidRDefault="0084702B" w:rsidP="0067327A">
      <w:pPr>
        <w:spacing w:line="240" w:lineRule="auto"/>
        <w:rPr>
          <w:rFonts w:cstheme="minorHAnsi"/>
          <w:b/>
          <w:bCs/>
        </w:rPr>
      </w:pPr>
      <w:r w:rsidRPr="0067327A">
        <w:rPr>
          <w:rFonts w:cstheme="minorHAnsi"/>
          <w:b/>
          <w:bCs/>
        </w:rPr>
        <w:t xml:space="preserve">Impact of COVID on domestic violence </w:t>
      </w:r>
    </w:p>
    <w:p w14:paraId="7EF43732" w14:textId="1B6DA6EF" w:rsidR="00C13287" w:rsidRDefault="00C446C2" w:rsidP="33F126A0">
      <w:pPr>
        <w:pStyle w:val="ListParagraph"/>
        <w:numPr>
          <w:ilvl w:val="0"/>
          <w:numId w:val="4"/>
        </w:numPr>
        <w:spacing w:line="240" w:lineRule="auto"/>
      </w:pPr>
      <w:r w:rsidRPr="33F126A0">
        <w:t xml:space="preserve">In June 2020, the Commission made a submission to the Special Rapporteur on </w:t>
      </w:r>
      <w:r w:rsidR="00614102" w:rsidRPr="33F126A0">
        <w:t>violence</w:t>
      </w:r>
      <w:r w:rsidRPr="33F126A0">
        <w:t xml:space="preserve"> against women, its </w:t>
      </w:r>
      <w:proofErr w:type="gramStart"/>
      <w:r w:rsidRPr="33F126A0">
        <w:t>causes</w:t>
      </w:r>
      <w:proofErr w:type="gramEnd"/>
      <w:r w:rsidRPr="33F126A0">
        <w:t xml:space="preserve"> and consequences on the impact of COVID-19 and the increase of </w:t>
      </w:r>
      <w:r w:rsidR="00614102" w:rsidRPr="33F126A0">
        <w:t>domestic</w:t>
      </w:r>
      <w:r w:rsidRPr="33F126A0">
        <w:t xml:space="preserve"> violence against women.</w:t>
      </w:r>
      <w:bookmarkStart w:id="3" w:name="_Ref64290459"/>
      <w:r w:rsidR="004177D5" w:rsidRPr="33F126A0">
        <w:rPr>
          <w:rStyle w:val="FootnoteReference"/>
        </w:rPr>
        <w:footnoteReference w:id="10"/>
      </w:r>
      <w:bookmarkEnd w:id="3"/>
      <w:r w:rsidRPr="33F126A0">
        <w:t xml:space="preserve"> </w:t>
      </w:r>
    </w:p>
    <w:p w14:paraId="7F05639E" w14:textId="77777777" w:rsidR="00C13287" w:rsidRDefault="00C13287" w:rsidP="00C13287">
      <w:pPr>
        <w:pStyle w:val="ListParagraph"/>
        <w:spacing w:line="240" w:lineRule="auto"/>
        <w:rPr>
          <w:rFonts w:cstheme="minorHAnsi"/>
        </w:rPr>
      </w:pPr>
    </w:p>
    <w:p w14:paraId="45BEE2F8" w14:textId="44749408" w:rsidR="00831151" w:rsidRPr="00C13287" w:rsidRDefault="00C446C2" w:rsidP="00EF56B1">
      <w:pPr>
        <w:pStyle w:val="ListParagraph"/>
        <w:numPr>
          <w:ilvl w:val="0"/>
          <w:numId w:val="4"/>
        </w:numPr>
        <w:spacing w:line="240" w:lineRule="auto"/>
      </w:pPr>
      <w:r w:rsidRPr="33F126A0">
        <w:t>The Commission found that while Police data did not indicate an increase in domestic violence during the COVID</w:t>
      </w:r>
      <w:r w:rsidR="00E77FC0">
        <w:t>-19</w:t>
      </w:r>
      <w:r w:rsidRPr="33F126A0">
        <w:t xml:space="preserve"> lockdowns</w:t>
      </w:r>
      <w:r w:rsidR="00E77FC0">
        <w:t xml:space="preserve"> in New Zealand</w:t>
      </w:r>
      <w:r w:rsidRPr="33F126A0">
        <w:t xml:space="preserve">, </w:t>
      </w:r>
      <w:r w:rsidR="00862833">
        <w:t xml:space="preserve">civil society organisations provided </w:t>
      </w:r>
      <w:r w:rsidR="007708B3">
        <w:t xml:space="preserve">information to the Commission </w:t>
      </w:r>
      <w:r w:rsidR="00C3657B">
        <w:t>which</w:t>
      </w:r>
      <w:r w:rsidR="00DA6571">
        <w:t xml:space="preserve"> </w:t>
      </w:r>
      <w:r w:rsidR="007708B3">
        <w:t>highlighted</w:t>
      </w:r>
      <w:r w:rsidRPr="33F126A0">
        <w:t xml:space="preserve"> barriers</w:t>
      </w:r>
      <w:r w:rsidR="003E2AB6">
        <w:t xml:space="preserve"> to reporting</w:t>
      </w:r>
      <w:r w:rsidR="00262407">
        <w:t xml:space="preserve"> and support</w:t>
      </w:r>
      <w:r w:rsidR="003E2AB6">
        <w:t xml:space="preserve"> by</w:t>
      </w:r>
      <w:r w:rsidRPr="33F126A0">
        <w:t xml:space="preserve"> victims/survivors</w:t>
      </w:r>
      <w:r w:rsidR="008905E1">
        <w:t>. This</w:t>
      </w:r>
      <w:r w:rsidR="00262407">
        <w:t xml:space="preserve"> </w:t>
      </w:r>
      <w:r w:rsidRPr="33F126A0">
        <w:t>suggest</w:t>
      </w:r>
      <w:r w:rsidR="008905E1">
        <w:t>s</w:t>
      </w:r>
      <w:r w:rsidRPr="33F126A0">
        <w:t xml:space="preserve"> that there </w:t>
      </w:r>
      <w:r w:rsidR="00EE0DE1">
        <w:t>may have been</w:t>
      </w:r>
      <w:r w:rsidR="00262407">
        <w:t xml:space="preserve"> </w:t>
      </w:r>
      <w:r w:rsidRPr="33F126A0">
        <w:t>an increase of family violence in New Zealand during COV</w:t>
      </w:r>
      <w:r w:rsidR="003C19F7" w:rsidRPr="33F126A0">
        <w:t>I</w:t>
      </w:r>
      <w:r w:rsidRPr="33F126A0">
        <w:t>D-19.</w:t>
      </w:r>
      <w:r w:rsidR="00875D03">
        <w:rPr>
          <w:rStyle w:val="FootnoteReference"/>
        </w:rPr>
        <w:footnoteReference w:id="11"/>
      </w:r>
      <w:r w:rsidR="00572A28">
        <w:t xml:space="preserve"> </w:t>
      </w:r>
      <w:r w:rsidR="00653FAA" w:rsidRPr="00C13287">
        <w:t xml:space="preserve"> </w:t>
      </w:r>
    </w:p>
    <w:p w14:paraId="4DF50F26" w14:textId="6F68A7B5" w:rsidR="00592E15" w:rsidRPr="0067327A" w:rsidRDefault="00DE1739" w:rsidP="0067327A">
      <w:pPr>
        <w:spacing w:line="240" w:lineRule="auto"/>
        <w:rPr>
          <w:rFonts w:cstheme="minorHAnsi"/>
          <w:b/>
          <w:bCs/>
        </w:rPr>
      </w:pPr>
      <w:r w:rsidRPr="0067327A">
        <w:rPr>
          <w:rFonts w:cstheme="minorHAnsi"/>
          <w:b/>
          <w:bCs/>
        </w:rPr>
        <w:t>Disabled women</w:t>
      </w:r>
      <w:r w:rsidR="00DE5869">
        <w:rPr>
          <w:rFonts w:cstheme="minorHAnsi"/>
          <w:b/>
          <w:bCs/>
        </w:rPr>
        <w:t xml:space="preserve"> </w:t>
      </w:r>
    </w:p>
    <w:p w14:paraId="6B167585" w14:textId="7142629C" w:rsidR="00D00B96" w:rsidRPr="00024657" w:rsidRDefault="00D00B96" w:rsidP="00F56A0E">
      <w:pPr>
        <w:pStyle w:val="ListParagraph"/>
        <w:numPr>
          <w:ilvl w:val="0"/>
          <w:numId w:val="4"/>
        </w:numPr>
        <w:spacing w:line="240" w:lineRule="auto"/>
      </w:pPr>
      <w:r w:rsidRPr="674A3E8A">
        <w:rPr>
          <w:rFonts w:eastAsia="Calibri"/>
        </w:rPr>
        <w:t xml:space="preserve">The Committee specifically </w:t>
      </w:r>
      <w:r w:rsidR="00B75CD1" w:rsidRPr="674A3E8A">
        <w:rPr>
          <w:rFonts w:eastAsia="Calibri"/>
        </w:rPr>
        <w:t xml:space="preserve">recommended </w:t>
      </w:r>
      <w:r w:rsidR="00024657" w:rsidRPr="674A3E8A">
        <w:rPr>
          <w:rFonts w:eastAsia="Calibri"/>
        </w:rPr>
        <w:t xml:space="preserve">that the strategy on combating gender-based violence against women include </w:t>
      </w:r>
      <w:r w:rsidRPr="674A3E8A">
        <w:rPr>
          <w:rFonts w:eastAsia="Calibri"/>
        </w:rPr>
        <w:t>measures that protect women with disabilities who are victims of abusive caregivers</w:t>
      </w:r>
      <w:r w:rsidR="00177E9C" w:rsidRPr="674A3E8A">
        <w:rPr>
          <w:rFonts w:eastAsia="Calibri"/>
        </w:rPr>
        <w:t>.</w:t>
      </w:r>
    </w:p>
    <w:p w14:paraId="29077914" w14:textId="77777777" w:rsidR="00B75CD1" w:rsidRDefault="00B75CD1" w:rsidP="00405E71">
      <w:pPr>
        <w:pStyle w:val="ListParagraph"/>
        <w:spacing w:line="240" w:lineRule="auto"/>
        <w:ind w:left="360"/>
      </w:pPr>
    </w:p>
    <w:p w14:paraId="40CCCC45" w14:textId="18B52879" w:rsidR="003F457F" w:rsidRDefault="00865EB9" w:rsidP="00F56A0E">
      <w:pPr>
        <w:pStyle w:val="ListParagraph"/>
        <w:numPr>
          <w:ilvl w:val="0"/>
          <w:numId w:val="4"/>
        </w:numPr>
        <w:spacing w:line="240" w:lineRule="auto"/>
      </w:pPr>
      <w:r>
        <w:t xml:space="preserve">As noted above, the </w:t>
      </w:r>
      <w:r w:rsidR="00F32C02">
        <w:t xml:space="preserve">definition of </w:t>
      </w:r>
      <w:r w:rsidR="004F5CCB">
        <w:t xml:space="preserve">family relationship </w:t>
      </w:r>
      <w:r>
        <w:t xml:space="preserve">under the </w:t>
      </w:r>
      <w:r w:rsidRPr="33F126A0">
        <w:t>Family Violence</w:t>
      </w:r>
      <w:r>
        <w:t xml:space="preserve"> Act 2018 </w:t>
      </w:r>
      <w:r w:rsidR="004F5CCB">
        <w:t xml:space="preserve">was amended to </w:t>
      </w:r>
      <w:r w:rsidR="00F32C02" w:rsidRPr="33F126A0">
        <w:t>recognise that a carer can also be in a close personal relationship with the person they care for</w:t>
      </w:r>
      <w:r w:rsidR="00C54937">
        <w:t>, for</w:t>
      </w:r>
      <w:r w:rsidR="00F56A0E">
        <w:t xml:space="preserve"> </w:t>
      </w:r>
      <w:r w:rsidR="00592E15" w:rsidRPr="33F126A0">
        <w:t xml:space="preserve">the purposes of invoking the protective elements of the Act—for example, protection orders. </w:t>
      </w:r>
    </w:p>
    <w:p w14:paraId="2BAE2BBF" w14:textId="77777777" w:rsidR="003F457F" w:rsidRDefault="003F457F" w:rsidP="003F457F">
      <w:pPr>
        <w:pStyle w:val="ListParagraph"/>
        <w:spacing w:line="240" w:lineRule="auto"/>
        <w:rPr>
          <w:rFonts w:cstheme="minorHAnsi"/>
        </w:rPr>
      </w:pPr>
    </w:p>
    <w:p w14:paraId="7EFE1BF0" w14:textId="2996D6BB" w:rsidR="0015524F" w:rsidRDefault="00592E15" w:rsidP="004C3506">
      <w:pPr>
        <w:pStyle w:val="ListParagraph"/>
        <w:numPr>
          <w:ilvl w:val="0"/>
          <w:numId w:val="4"/>
        </w:numPr>
        <w:spacing w:line="240" w:lineRule="auto"/>
      </w:pPr>
      <w:r w:rsidRPr="33F126A0">
        <w:t>The Act also recognises family violence as including the withholding of care, aid, medicine or a device or support, or restricting access to employment or education. However, the Act does not make provision for accommodati</w:t>
      </w:r>
      <w:r w:rsidR="00914C1D">
        <w:t>ng</w:t>
      </w:r>
      <w:r w:rsidRPr="33F126A0">
        <w:t xml:space="preserve"> </w:t>
      </w:r>
      <w:r w:rsidR="00914C1D">
        <w:t>the</w:t>
      </w:r>
      <w:r w:rsidRPr="33F126A0">
        <w:t xml:space="preserve"> needs of disabled people when making protection orders, nor does it contain specific safeguarding measures to reduce family violence experienced by disabled people. </w:t>
      </w:r>
    </w:p>
    <w:p w14:paraId="7582B933" w14:textId="77777777" w:rsidR="0015524F" w:rsidRDefault="0015524F" w:rsidP="0015524F">
      <w:pPr>
        <w:pStyle w:val="ListParagraph"/>
      </w:pPr>
    </w:p>
    <w:p w14:paraId="1827202D" w14:textId="542CDB93" w:rsidR="004C3506" w:rsidRDefault="00592E15" w:rsidP="004C3506">
      <w:pPr>
        <w:pStyle w:val="ListParagraph"/>
        <w:numPr>
          <w:ilvl w:val="0"/>
          <w:numId w:val="4"/>
        </w:numPr>
        <w:spacing w:line="240" w:lineRule="auto"/>
      </w:pPr>
      <w:r w:rsidRPr="33F126A0">
        <w:t xml:space="preserve">New Zealanders continue to experience high rates of family violence, and there is little data available </w:t>
      </w:r>
      <w:r w:rsidR="00F70658">
        <w:t>on</w:t>
      </w:r>
      <w:r w:rsidRPr="33F126A0">
        <w:t xml:space="preserve"> how many disabled people are affected. </w:t>
      </w:r>
      <w:r w:rsidR="00641F8E">
        <w:t xml:space="preserve">If Police were required to collect </w:t>
      </w:r>
      <w:r w:rsidRPr="33F126A0">
        <w:t>disaggregated data on disabled people’s experience of violence and abuse</w:t>
      </w:r>
      <w:r w:rsidR="00641F8E">
        <w:t>, this</w:t>
      </w:r>
      <w:r w:rsidRPr="33F126A0">
        <w:t xml:space="preserve"> would allow the situation </w:t>
      </w:r>
      <w:r w:rsidR="00B80871">
        <w:t xml:space="preserve">to be monitored </w:t>
      </w:r>
      <w:r w:rsidRPr="33F126A0">
        <w:t>more effectively</w:t>
      </w:r>
      <w:r w:rsidR="00B80871">
        <w:t>.</w:t>
      </w:r>
    </w:p>
    <w:p w14:paraId="219D85A5" w14:textId="77777777" w:rsidR="004C3506" w:rsidRPr="004C3506" w:rsidRDefault="004C3506" w:rsidP="004C3506">
      <w:pPr>
        <w:pStyle w:val="ListParagraph"/>
        <w:spacing w:line="240" w:lineRule="auto"/>
        <w:ind w:left="360"/>
      </w:pPr>
    </w:p>
    <w:p w14:paraId="5AC76CC1" w14:textId="6B3F3034" w:rsidR="003F457F" w:rsidRDefault="003F09DB" w:rsidP="33F126A0">
      <w:pPr>
        <w:pStyle w:val="ListParagraph"/>
        <w:numPr>
          <w:ilvl w:val="0"/>
          <w:numId w:val="4"/>
        </w:numPr>
        <w:spacing w:line="240" w:lineRule="auto"/>
      </w:pPr>
      <w:r>
        <w:t>The Commission also notes that t</w:t>
      </w:r>
      <w:r w:rsidR="00592E15" w:rsidRPr="33F126A0">
        <w:t>he New Zealand Police do not collect disaggregated statistics on sexual and other violent crime towards disabled women. There is currently only one generic code</w:t>
      </w:r>
      <w:r w:rsidR="000221AB">
        <w:rPr>
          <w:rStyle w:val="FootnoteReference"/>
        </w:rPr>
        <w:footnoteReference w:id="12"/>
      </w:r>
      <w:r w:rsidR="00592E15" w:rsidRPr="33F126A0">
        <w:t xml:space="preserve"> to record attendance to incidents of concern, </w:t>
      </w:r>
      <w:proofErr w:type="gramStart"/>
      <w:r w:rsidR="00592E15" w:rsidRPr="33F126A0">
        <w:t>harm</w:t>
      </w:r>
      <w:proofErr w:type="gramEnd"/>
      <w:r w:rsidR="00592E15" w:rsidRPr="33F126A0">
        <w:t xml:space="preserve"> or crime towards disabled people. This makes it difficult to accurately assess, record and monitor disparate access or disproportionately poorer outcomes for disabled women.</w:t>
      </w:r>
    </w:p>
    <w:p w14:paraId="2FA41117" w14:textId="77777777" w:rsidR="003F457F" w:rsidRPr="003F457F" w:rsidRDefault="003F457F" w:rsidP="003F457F">
      <w:pPr>
        <w:pStyle w:val="ListParagraph"/>
        <w:rPr>
          <w:rFonts w:cstheme="minorHAnsi"/>
        </w:rPr>
      </w:pPr>
    </w:p>
    <w:p w14:paraId="3B98F04D" w14:textId="620988B2" w:rsidR="003F457F" w:rsidRPr="0008789E" w:rsidRDefault="00905E4F" w:rsidP="004C3506">
      <w:pPr>
        <w:pStyle w:val="ListParagraph"/>
        <w:numPr>
          <w:ilvl w:val="0"/>
          <w:numId w:val="4"/>
        </w:numPr>
        <w:spacing w:line="240" w:lineRule="auto"/>
      </w:pPr>
      <w:r>
        <w:t>Recently, t</w:t>
      </w:r>
      <w:r w:rsidR="007E0ACD" w:rsidRPr="007E0ACD">
        <w:t>he Joint Venture</w:t>
      </w:r>
      <w:r w:rsidR="007E0ACD">
        <w:t xml:space="preserve"> Business Unit</w:t>
      </w:r>
      <w:r w:rsidR="007E0ACD" w:rsidRPr="007E0ACD">
        <w:t xml:space="preserve"> has agreed to work with the Commission’s Disability Rights Commissioner, Paula Tesoriero </w:t>
      </w:r>
      <w:r w:rsidR="00592E15" w:rsidRPr="33F126A0">
        <w:t xml:space="preserve">on the issue of disabled people and violence. This includes </w:t>
      </w:r>
      <w:r w:rsidR="00E72808">
        <w:t>improving</w:t>
      </w:r>
      <w:r w:rsidR="0033117D">
        <w:t xml:space="preserve"> data collection so that any data relating to fami</w:t>
      </w:r>
      <w:r w:rsidR="00B71D23">
        <w:t xml:space="preserve">ly and sexual violence is able to be disaggregated by disability, </w:t>
      </w:r>
      <w:r w:rsidR="007640C5">
        <w:t>collecting more data on</w:t>
      </w:r>
      <w:r w:rsidR="00592E15" w:rsidRPr="33F126A0">
        <w:t xml:space="preserve"> disclosures of violen</w:t>
      </w:r>
      <w:r w:rsidR="004500E0">
        <w:t>t</w:t>
      </w:r>
      <w:r w:rsidR="00592E15" w:rsidRPr="33F126A0">
        <w:t xml:space="preserve"> assaults towards disabled people, looking at accessibility of mainstream family and sexual violence services for disabled people</w:t>
      </w:r>
      <w:r w:rsidR="00B71D23">
        <w:t xml:space="preserve"> and exploring </w:t>
      </w:r>
      <w:r w:rsidR="00A56BC2">
        <w:t xml:space="preserve">the </w:t>
      </w:r>
      <w:r w:rsidR="007706DB">
        <w:t>development of a specialist service</w:t>
      </w:r>
      <w:r w:rsidR="00A56BC2">
        <w:t xml:space="preserve"> for them</w:t>
      </w:r>
      <w:r w:rsidR="00592E15" w:rsidRPr="33F126A0">
        <w:t xml:space="preserve">, </w:t>
      </w:r>
      <w:r w:rsidR="00735F99">
        <w:t xml:space="preserve">and </w:t>
      </w:r>
      <w:r w:rsidR="00592E15" w:rsidRPr="33F126A0">
        <w:t xml:space="preserve">working </w:t>
      </w:r>
      <w:r w:rsidR="00592E15" w:rsidRPr="33F126A0">
        <w:lastRenderedPageBreak/>
        <w:t xml:space="preserve">with disabled people </w:t>
      </w:r>
      <w:r w:rsidR="00737DB0">
        <w:t>so</w:t>
      </w:r>
      <w:r w:rsidR="00592E15" w:rsidRPr="33F126A0">
        <w:t xml:space="preserve"> they are supported and </w:t>
      </w:r>
      <w:r w:rsidR="00737DB0" w:rsidRPr="33F126A0">
        <w:t>e</w:t>
      </w:r>
      <w:r w:rsidR="00737DB0">
        <w:t>mpowered</w:t>
      </w:r>
      <w:r w:rsidR="00737DB0" w:rsidRPr="33F126A0">
        <w:t xml:space="preserve"> </w:t>
      </w:r>
      <w:r w:rsidR="00592E15" w:rsidRPr="33F126A0">
        <w:t xml:space="preserve">to shape and lead their own responses. </w:t>
      </w:r>
      <w:r w:rsidR="003F457F" w:rsidRPr="674A3E8A">
        <w:rPr>
          <w:rFonts w:ascii="Calibri" w:hAnsi="Calibri" w:cs="Calibri"/>
          <w:color w:val="000000" w:themeColor="text1"/>
          <w:sz w:val="23"/>
          <w:szCs w:val="23"/>
        </w:rPr>
        <w:br w:type="page"/>
      </w:r>
    </w:p>
    <w:p w14:paraId="48A04C73" w14:textId="73EE77BF" w:rsidR="008F5215" w:rsidRPr="00C44E10" w:rsidRDefault="3D3F0A51" w:rsidP="004847FF">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rFonts w:cstheme="minorHAnsi"/>
        </w:rPr>
      </w:pPr>
      <w:r w:rsidRPr="0067327A">
        <w:rPr>
          <w:rFonts w:cstheme="minorHAnsi"/>
          <w:b/>
          <w:bCs/>
        </w:rPr>
        <w:lastRenderedPageBreak/>
        <w:t xml:space="preserve">Remove abortion from the Crimes Act 1961 and amend the Contraception, Sterilisation and Abortion Act 1977 </w:t>
      </w:r>
      <w:proofErr w:type="gramStart"/>
      <w:r w:rsidRPr="0067327A">
        <w:rPr>
          <w:rFonts w:cstheme="minorHAnsi"/>
          <w:b/>
          <w:bCs/>
        </w:rPr>
        <w:t>in order to</w:t>
      </w:r>
      <w:proofErr w:type="gramEnd"/>
      <w:r w:rsidRPr="0067327A">
        <w:rPr>
          <w:rFonts w:cstheme="minorHAnsi"/>
          <w:b/>
          <w:bCs/>
        </w:rPr>
        <w:t xml:space="preserve"> fully decriminalize abortion and incorporate the treatment of abortion into health services legislation</w:t>
      </w:r>
      <w:r w:rsidR="00BF3BCC" w:rsidRPr="0067327A">
        <w:rPr>
          <w:rFonts w:cstheme="minorHAnsi"/>
          <w:b/>
          <w:bCs/>
        </w:rPr>
        <w:t>.</w:t>
      </w:r>
    </w:p>
    <w:p w14:paraId="0F6807E3" w14:textId="1FE5BD47" w:rsidR="003A5D78" w:rsidRPr="000952F4" w:rsidRDefault="00615FA4" w:rsidP="003A5D78">
      <w:pPr>
        <w:shd w:val="clear" w:color="auto" w:fill="FFFFFF"/>
        <w:spacing w:before="100" w:beforeAutospacing="1" w:after="100" w:afterAutospacing="1" w:line="240" w:lineRule="auto"/>
        <w:rPr>
          <w:rFonts w:eastAsia="Times New Roman"/>
          <w:b/>
          <w:color w:val="000000"/>
        </w:rPr>
      </w:pPr>
      <w:r>
        <w:rPr>
          <w:rFonts w:eastAsia="Times New Roman"/>
          <w:b/>
          <w:bCs/>
          <w:color w:val="000000"/>
        </w:rPr>
        <w:t>Abortion Legislation Act 2020</w:t>
      </w:r>
    </w:p>
    <w:p w14:paraId="74686457" w14:textId="3030A2D0" w:rsidR="000D109A" w:rsidRPr="000B1FE1" w:rsidRDefault="00024025" w:rsidP="000B1FE1">
      <w:pPr>
        <w:pStyle w:val="ListParagraph"/>
        <w:numPr>
          <w:ilvl w:val="0"/>
          <w:numId w:val="4"/>
        </w:numPr>
        <w:shd w:val="clear" w:color="auto" w:fill="FFFFFF"/>
        <w:spacing w:before="100" w:beforeAutospacing="1" w:after="100" w:afterAutospacing="1" w:line="240" w:lineRule="auto"/>
        <w:rPr>
          <w:rFonts w:eastAsia="Times New Roman"/>
          <w:color w:val="000000"/>
        </w:rPr>
      </w:pPr>
      <w:r>
        <w:rPr>
          <w:rFonts w:eastAsia="Times New Roman"/>
          <w:color w:val="000000" w:themeColor="text1"/>
        </w:rPr>
        <w:t xml:space="preserve">In March 2020, the </w:t>
      </w:r>
      <w:r w:rsidR="00410A25">
        <w:rPr>
          <w:rFonts w:eastAsia="Times New Roman"/>
          <w:color w:val="000000" w:themeColor="text1"/>
        </w:rPr>
        <w:t>A</w:t>
      </w:r>
      <w:r w:rsidR="00F11A51" w:rsidRPr="000B1FE1">
        <w:rPr>
          <w:rFonts w:eastAsia="Times New Roman"/>
          <w:color w:val="000000" w:themeColor="text1"/>
        </w:rPr>
        <w:t xml:space="preserve">bortion </w:t>
      </w:r>
      <w:r>
        <w:rPr>
          <w:rFonts w:eastAsia="Times New Roman"/>
          <w:color w:val="000000" w:themeColor="text1"/>
        </w:rPr>
        <w:t>Legislation Act was passed. The Act removes a</w:t>
      </w:r>
      <w:r w:rsidR="00F11A51" w:rsidRPr="000B1FE1">
        <w:rPr>
          <w:rFonts w:eastAsia="Times New Roman"/>
          <w:color w:val="000000" w:themeColor="text1"/>
        </w:rPr>
        <w:t>bortion as a crime from the Crimes Act 1961</w:t>
      </w:r>
      <w:r w:rsidR="000D109A" w:rsidRPr="000B1FE1">
        <w:rPr>
          <w:rFonts w:eastAsia="Times New Roman"/>
          <w:color w:val="000000" w:themeColor="text1"/>
        </w:rPr>
        <w:t xml:space="preserve"> </w:t>
      </w:r>
      <w:r w:rsidR="00122EA7" w:rsidRPr="000B1FE1">
        <w:rPr>
          <w:rFonts w:eastAsia="Times New Roman"/>
          <w:color w:val="000000" w:themeColor="text1"/>
        </w:rPr>
        <w:t xml:space="preserve">(except for the offence of </w:t>
      </w:r>
      <w:r w:rsidR="00F01E16" w:rsidRPr="000B1FE1">
        <w:rPr>
          <w:rFonts w:eastAsia="Times New Roman"/>
          <w:color w:val="000000" w:themeColor="text1"/>
        </w:rPr>
        <w:t xml:space="preserve">a person other than a health practitioner </w:t>
      </w:r>
      <w:r w:rsidR="00122EA7" w:rsidRPr="000B1FE1">
        <w:rPr>
          <w:rFonts w:eastAsia="Times New Roman"/>
          <w:color w:val="000000" w:themeColor="text1"/>
        </w:rPr>
        <w:t>procuring an abortion for a woman under s 183). A</w:t>
      </w:r>
      <w:r w:rsidR="000D109A" w:rsidRPr="000B1FE1">
        <w:rPr>
          <w:rFonts w:eastAsia="Times New Roman"/>
          <w:color w:val="000000" w:themeColor="text1"/>
        </w:rPr>
        <w:t>bortion is now considered a health care issue</w:t>
      </w:r>
      <w:r w:rsidR="00122EA7" w:rsidRPr="000B1FE1">
        <w:rPr>
          <w:rFonts w:eastAsia="Times New Roman"/>
          <w:color w:val="000000" w:themeColor="text1"/>
        </w:rPr>
        <w:t xml:space="preserve"> as set out in the </w:t>
      </w:r>
      <w:r w:rsidR="00122EA7" w:rsidRPr="33F126A0">
        <w:t>Contraception, Sterilisation, and Abortion Act (CSA Act).</w:t>
      </w:r>
    </w:p>
    <w:p w14:paraId="61BC62CF" w14:textId="77777777" w:rsidR="000D109A" w:rsidRDefault="000D109A" w:rsidP="000D109A">
      <w:pPr>
        <w:pStyle w:val="ListParagraph"/>
        <w:shd w:val="clear" w:color="auto" w:fill="FFFFFF"/>
        <w:spacing w:before="100" w:beforeAutospacing="1" w:after="100" w:afterAutospacing="1" w:line="240" w:lineRule="auto"/>
        <w:rPr>
          <w:rFonts w:eastAsia="Times New Roman" w:cstheme="minorHAnsi"/>
          <w:color w:val="000000"/>
        </w:rPr>
      </w:pPr>
    </w:p>
    <w:p w14:paraId="4A947F93" w14:textId="6A3869A8" w:rsidR="00E226BA" w:rsidRPr="00E226BA" w:rsidRDefault="00184525" w:rsidP="33F126A0">
      <w:pPr>
        <w:pStyle w:val="ListParagraph"/>
        <w:numPr>
          <w:ilvl w:val="0"/>
          <w:numId w:val="4"/>
        </w:numPr>
        <w:shd w:val="clear" w:color="auto" w:fill="FFFFFF"/>
        <w:spacing w:before="100" w:beforeAutospacing="1" w:after="100" w:afterAutospacing="1" w:line="240" w:lineRule="auto"/>
        <w:rPr>
          <w:rFonts w:eastAsia="Times New Roman"/>
          <w:color w:val="000000"/>
        </w:rPr>
      </w:pPr>
      <w:r w:rsidRPr="33F126A0">
        <w:rPr>
          <w:rFonts w:eastAsia="Times New Roman"/>
          <w:color w:val="000000" w:themeColor="text1"/>
        </w:rPr>
        <w:t xml:space="preserve">Section 10 of the </w:t>
      </w:r>
      <w:r w:rsidRPr="33F126A0">
        <w:t>CSA Act</w:t>
      </w:r>
      <w:r w:rsidR="00122EA7" w:rsidRPr="33F126A0">
        <w:t xml:space="preserve"> </w:t>
      </w:r>
      <w:r w:rsidRPr="33F126A0">
        <w:t>provides that a qualified health practitioner may provide abortion services to a wom</w:t>
      </w:r>
      <w:r w:rsidR="003A174B">
        <w:t>a</w:t>
      </w:r>
      <w:r w:rsidRPr="33F126A0">
        <w:t xml:space="preserve">n who is not more than 20 weeks pregnant. No statutory criteria must be met </w:t>
      </w:r>
      <w:r w:rsidR="00B75BE6" w:rsidRPr="33F126A0">
        <w:t>for</w:t>
      </w:r>
      <w:r w:rsidRPr="33F126A0">
        <w:t xml:space="preserve"> the health practitioner to agree to the abortion.</w:t>
      </w:r>
    </w:p>
    <w:p w14:paraId="14A53A28" w14:textId="77777777" w:rsidR="00E226BA" w:rsidRPr="00E226BA" w:rsidRDefault="00E226BA" w:rsidP="00E226BA">
      <w:pPr>
        <w:pStyle w:val="ListParagraph"/>
        <w:shd w:val="clear" w:color="auto" w:fill="FFFFFF"/>
        <w:spacing w:before="100" w:beforeAutospacing="1" w:after="100" w:afterAutospacing="1" w:line="240" w:lineRule="auto"/>
        <w:rPr>
          <w:rFonts w:eastAsia="Times New Roman" w:cstheme="minorHAnsi"/>
          <w:color w:val="000000"/>
        </w:rPr>
      </w:pPr>
    </w:p>
    <w:p w14:paraId="36FB7151" w14:textId="35C7A5A4" w:rsidR="00E226BA" w:rsidRDefault="00184525" w:rsidP="33F126A0">
      <w:pPr>
        <w:pStyle w:val="ListParagraph"/>
        <w:numPr>
          <w:ilvl w:val="0"/>
          <w:numId w:val="4"/>
        </w:numPr>
        <w:shd w:val="clear" w:color="auto" w:fill="FFFFFF"/>
        <w:spacing w:before="100" w:beforeAutospacing="1" w:after="100" w:afterAutospacing="1" w:line="240" w:lineRule="auto"/>
        <w:rPr>
          <w:rFonts w:eastAsia="Times New Roman"/>
          <w:color w:val="000000"/>
        </w:rPr>
      </w:pPr>
      <w:r w:rsidRPr="33F126A0">
        <w:rPr>
          <w:rFonts w:eastAsia="Times New Roman"/>
          <w:color w:val="000000"/>
        </w:rPr>
        <w:t>Section 11 of the CSA Act</w:t>
      </w:r>
      <w:r w:rsidRPr="33F126A0">
        <w:rPr>
          <w:rFonts w:eastAsia="Times New Roman"/>
          <w:color w:val="000000"/>
          <w:shd w:val="clear" w:color="auto" w:fill="FFFFFF"/>
        </w:rPr>
        <w:t xml:space="preserve"> provides that a</w:t>
      </w:r>
      <w:r w:rsidRPr="33F126A0">
        <w:rPr>
          <w:rFonts w:eastAsia="Times New Roman"/>
          <w:color w:val="000000"/>
        </w:rPr>
        <w:t> qualified health practitioner may provide abortion services to a woman who is more than 20 weeks pregnant if they reasonably believe that the abortion is clinically appropriate in the circumstances. In considering whether the abortion is clinically appropriate in the circumstances, the qualified health practitioner must</w:t>
      </w:r>
      <w:r w:rsidR="00D26C1A">
        <w:rPr>
          <w:rFonts w:eastAsia="Times New Roman"/>
          <w:color w:val="000000"/>
        </w:rPr>
        <w:t xml:space="preserve"> </w:t>
      </w:r>
      <w:r w:rsidRPr="33F126A0">
        <w:rPr>
          <w:rFonts w:eastAsia="Times New Roman"/>
          <w:color w:val="000000"/>
        </w:rPr>
        <w:t>consult at least one other qualified health practitioner</w:t>
      </w:r>
      <w:r w:rsidRPr="33F126A0">
        <w:rPr>
          <w:rFonts w:eastAsia="Times New Roman"/>
        </w:rPr>
        <w:t xml:space="preserve"> and </w:t>
      </w:r>
      <w:r w:rsidRPr="33F126A0">
        <w:rPr>
          <w:rFonts w:eastAsia="Times New Roman"/>
          <w:color w:val="000000"/>
        </w:rPr>
        <w:t>have regard to</w:t>
      </w:r>
      <w:r w:rsidRPr="33F126A0">
        <w:rPr>
          <w:rFonts w:eastAsia="Times New Roman"/>
        </w:rPr>
        <w:t xml:space="preserve"> </w:t>
      </w:r>
      <w:r w:rsidRPr="33F126A0">
        <w:rPr>
          <w:rFonts w:eastAsia="Times New Roman"/>
          <w:color w:val="000000"/>
        </w:rPr>
        <w:t>all relevant legal, professional and ethical standards to which the qualified health practitioner is subject</w:t>
      </w:r>
      <w:r w:rsidRPr="33F126A0">
        <w:rPr>
          <w:rFonts w:eastAsia="Times New Roman"/>
        </w:rPr>
        <w:t xml:space="preserve">, </w:t>
      </w:r>
      <w:r w:rsidR="00D26C1A">
        <w:rPr>
          <w:rFonts w:eastAsia="Times New Roman"/>
        </w:rPr>
        <w:t xml:space="preserve">including </w:t>
      </w:r>
      <w:r w:rsidRPr="33F126A0">
        <w:rPr>
          <w:rFonts w:eastAsia="Times New Roman"/>
          <w:color w:val="000000"/>
        </w:rPr>
        <w:t>the woman’s</w:t>
      </w:r>
      <w:r w:rsidRPr="33F126A0">
        <w:rPr>
          <w:rFonts w:eastAsia="Times New Roman"/>
        </w:rPr>
        <w:t xml:space="preserve"> </w:t>
      </w:r>
      <w:r w:rsidRPr="33F126A0">
        <w:rPr>
          <w:rFonts w:eastAsia="Times New Roman"/>
          <w:color w:val="000000"/>
        </w:rPr>
        <w:t>physical health</w:t>
      </w:r>
      <w:r w:rsidR="00D26C1A">
        <w:rPr>
          <w:rFonts w:eastAsia="Times New Roman"/>
          <w:color w:val="000000"/>
        </w:rPr>
        <w:t>,</w:t>
      </w:r>
      <w:r w:rsidRPr="33F126A0">
        <w:rPr>
          <w:rFonts w:eastAsia="Times New Roman"/>
        </w:rPr>
        <w:t xml:space="preserve"> </w:t>
      </w:r>
      <w:r w:rsidRPr="33F126A0">
        <w:rPr>
          <w:rFonts w:eastAsia="Times New Roman"/>
          <w:color w:val="000000"/>
        </w:rPr>
        <w:t>mental health</w:t>
      </w:r>
      <w:r w:rsidR="00A67CAF">
        <w:rPr>
          <w:rFonts w:eastAsia="Times New Roman"/>
          <w:color w:val="000000"/>
        </w:rPr>
        <w:t>, and</w:t>
      </w:r>
      <w:r w:rsidRPr="33F126A0">
        <w:rPr>
          <w:rFonts w:eastAsia="Times New Roman"/>
        </w:rPr>
        <w:t xml:space="preserve"> </w:t>
      </w:r>
      <w:r w:rsidRPr="33F126A0">
        <w:rPr>
          <w:rFonts w:eastAsia="Times New Roman"/>
          <w:color w:val="000000"/>
        </w:rPr>
        <w:t xml:space="preserve">overall wellbeing, </w:t>
      </w:r>
      <w:r w:rsidR="00A67CAF">
        <w:rPr>
          <w:rFonts w:eastAsia="Times New Roman"/>
          <w:color w:val="000000"/>
        </w:rPr>
        <w:t xml:space="preserve">and </w:t>
      </w:r>
      <w:r w:rsidRPr="33F126A0">
        <w:rPr>
          <w:rFonts w:eastAsia="Times New Roman"/>
          <w:color w:val="000000"/>
        </w:rPr>
        <w:t xml:space="preserve">the gestational age of the </w:t>
      </w:r>
      <w:proofErr w:type="spellStart"/>
      <w:r w:rsidRPr="33F126A0">
        <w:rPr>
          <w:rFonts w:eastAsia="Times New Roman"/>
          <w:color w:val="000000"/>
        </w:rPr>
        <w:t>fetus</w:t>
      </w:r>
      <w:proofErr w:type="spellEnd"/>
      <w:r w:rsidRPr="33F126A0">
        <w:rPr>
          <w:rFonts w:eastAsia="Times New Roman"/>
          <w:color w:val="000000"/>
        </w:rPr>
        <w:t>.</w:t>
      </w:r>
    </w:p>
    <w:p w14:paraId="673701B9" w14:textId="77777777" w:rsidR="00E226BA" w:rsidRPr="00E226BA" w:rsidRDefault="00E226BA" w:rsidP="00E226BA">
      <w:pPr>
        <w:pStyle w:val="ListParagraph"/>
        <w:rPr>
          <w:rFonts w:eastAsia="Times New Roman" w:cstheme="minorHAnsi"/>
          <w:color w:val="000000"/>
        </w:rPr>
      </w:pPr>
    </w:p>
    <w:p w14:paraId="550F0061" w14:textId="03F3CDBA" w:rsidR="0065473D" w:rsidRPr="0065473D" w:rsidRDefault="009B4774" w:rsidP="0065473D">
      <w:pPr>
        <w:pStyle w:val="ListParagraph"/>
        <w:numPr>
          <w:ilvl w:val="0"/>
          <w:numId w:val="4"/>
        </w:numPr>
        <w:shd w:val="clear" w:color="auto" w:fill="FFFFFF" w:themeFill="background1"/>
        <w:spacing w:before="100" w:beforeAutospacing="1" w:after="100" w:afterAutospacing="1" w:line="240" w:lineRule="auto"/>
        <w:rPr>
          <w:rFonts w:eastAsia="Times New Roman"/>
          <w:color w:val="000000" w:themeColor="text1"/>
        </w:rPr>
      </w:pPr>
      <w:r>
        <w:t xml:space="preserve">The law change </w:t>
      </w:r>
      <w:r w:rsidR="0076329E">
        <w:t xml:space="preserve">also </w:t>
      </w:r>
      <w:r>
        <w:t>mean</w:t>
      </w:r>
      <w:r w:rsidR="0076329E">
        <w:t>s</w:t>
      </w:r>
      <w:r>
        <w:t xml:space="preserve"> that a </w:t>
      </w:r>
      <w:r w:rsidR="0076329E">
        <w:t xml:space="preserve">wider range of </w:t>
      </w:r>
      <w:r>
        <w:t>health practitioner</w:t>
      </w:r>
      <w:r w:rsidR="00712789">
        <w:t>s</w:t>
      </w:r>
      <w:r>
        <w:t xml:space="preserve"> c</w:t>
      </w:r>
      <w:r w:rsidR="0076329E">
        <w:t>an</w:t>
      </w:r>
      <w:r>
        <w:t xml:space="preserve"> provide abortion services</w:t>
      </w:r>
      <w:r w:rsidR="002001FB">
        <w:t>. P</w:t>
      </w:r>
      <w:r>
        <w:t>rior to th</w:t>
      </w:r>
      <w:r w:rsidR="002001FB">
        <w:t>e law change</w:t>
      </w:r>
      <w:r w:rsidR="00BA07BB">
        <w:t>,</w:t>
      </w:r>
      <w:r>
        <w:t xml:space="preserve"> two specially licensed doctors were required to approve the procedure first. </w:t>
      </w:r>
    </w:p>
    <w:p w14:paraId="1739740D" w14:textId="6079E829" w:rsidR="00C945E5" w:rsidRPr="000952F4" w:rsidRDefault="00133F80" w:rsidP="000952F4">
      <w:pPr>
        <w:shd w:val="clear" w:color="auto" w:fill="FFFFFF" w:themeFill="background1"/>
        <w:spacing w:before="100" w:beforeAutospacing="1" w:after="100" w:afterAutospacing="1" w:line="240" w:lineRule="auto"/>
        <w:rPr>
          <w:rFonts w:eastAsia="Times New Roman" w:cstheme="minorHAnsi"/>
          <w:b/>
          <w:color w:val="000000" w:themeColor="text1"/>
        </w:rPr>
      </w:pPr>
      <w:r w:rsidRPr="000952F4">
        <w:rPr>
          <w:rFonts w:eastAsia="Times New Roman" w:cstheme="minorHAnsi"/>
          <w:b/>
          <w:color w:val="000000" w:themeColor="text1"/>
        </w:rPr>
        <w:t>Safe</w:t>
      </w:r>
      <w:r w:rsidR="00C945E5" w:rsidRPr="000952F4">
        <w:rPr>
          <w:rFonts w:eastAsia="Times New Roman" w:cstheme="minorHAnsi"/>
          <w:b/>
          <w:color w:val="000000" w:themeColor="text1"/>
        </w:rPr>
        <w:t xml:space="preserve"> Zones</w:t>
      </w:r>
    </w:p>
    <w:p w14:paraId="08C95AB8" w14:textId="213685B8" w:rsidR="002A09FA" w:rsidRPr="00652A63" w:rsidRDefault="00D2364D" w:rsidP="002A09FA">
      <w:pPr>
        <w:pStyle w:val="ListParagraph"/>
        <w:numPr>
          <w:ilvl w:val="0"/>
          <w:numId w:val="4"/>
        </w:numPr>
        <w:shd w:val="clear" w:color="auto" w:fill="FFFFFF"/>
        <w:spacing w:before="100" w:beforeAutospacing="1" w:after="100" w:afterAutospacing="1" w:line="240" w:lineRule="auto"/>
        <w:rPr>
          <w:rFonts w:eastAsia="Times New Roman"/>
          <w:color w:val="000000"/>
        </w:rPr>
      </w:pPr>
      <w:r w:rsidRPr="33F126A0">
        <w:t>The Commission notes that the</w:t>
      </w:r>
      <w:r>
        <w:t xml:space="preserve"> </w:t>
      </w:r>
      <w:r w:rsidR="005C1DF9">
        <w:t xml:space="preserve">original </w:t>
      </w:r>
      <w:r>
        <w:t>Abortion Legislation</w:t>
      </w:r>
      <w:r w:rsidRPr="33F126A0">
        <w:t xml:space="preserve"> Bill </w:t>
      </w:r>
      <w:r w:rsidR="00F11028">
        <w:t>provided</w:t>
      </w:r>
      <w:r w:rsidRPr="33F126A0">
        <w:t xml:space="preserve"> for 150 metre Safe Zones that could be established around abortion clinics on a case-by-case basis to prohibit intimidating and interfering behaviour. However, parliament voted to remove such provisions</w:t>
      </w:r>
      <w:r>
        <w:t>.</w:t>
      </w:r>
    </w:p>
    <w:p w14:paraId="044740F4" w14:textId="77777777" w:rsidR="00652A63" w:rsidRPr="00652A63" w:rsidRDefault="00652A63" w:rsidP="00652A63">
      <w:pPr>
        <w:pStyle w:val="ListParagraph"/>
        <w:rPr>
          <w:rFonts w:eastAsia="Times New Roman"/>
          <w:color w:val="000000"/>
        </w:rPr>
      </w:pPr>
    </w:p>
    <w:p w14:paraId="3ADE3CD9" w14:textId="4AA16C2F" w:rsidR="00C945E5" w:rsidRPr="00C945E5" w:rsidRDefault="007B3CA4" w:rsidP="000952F4">
      <w:pPr>
        <w:pStyle w:val="ListParagraph"/>
        <w:numPr>
          <w:ilvl w:val="0"/>
          <w:numId w:val="4"/>
        </w:numPr>
        <w:shd w:val="clear" w:color="auto" w:fill="FFFFFF"/>
        <w:spacing w:before="100" w:beforeAutospacing="1" w:after="100" w:afterAutospacing="1" w:line="240" w:lineRule="auto"/>
        <w:rPr>
          <w:rFonts w:eastAsia="Times New Roman"/>
          <w:color w:val="000000"/>
        </w:rPr>
      </w:pPr>
      <w:r>
        <w:rPr>
          <w:rFonts w:eastAsia="Times New Roman"/>
          <w:color w:val="000000"/>
        </w:rPr>
        <w:t>In July 2020, t</w:t>
      </w:r>
      <w:r w:rsidR="006017A8">
        <w:rPr>
          <w:rFonts w:eastAsia="Times New Roman"/>
          <w:color w:val="000000"/>
        </w:rPr>
        <w:t>he</w:t>
      </w:r>
      <w:r w:rsidR="00671246">
        <w:rPr>
          <w:rFonts w:eastAsia="Times New Roman"/>
          <w:color w:val="000000"/>
        </w:rPr>
        <w:t xml:space="preserve"> </w:t>
      </w:r>
      <w:r w:rsidR="00671246" w:rsidRPr="00671246">
        <w:rPr>
          <w:rFonts w:eastAsia="Times New Roman"/>
          <w:color w:val="000000"/>
        </w:rPr>
        <w:t xml:space="preserve">Contraception, Sterilisation, and Abortion (Safe Areas) Amendment Bill </w:t>
      </w:r>
      <w:r>
        <w:rPr>
          <w:rFonts w:eastAsia="Times New Roman"/>
          <w:color w:val="000000"/>
        </w:rPr>
        <w:t>was</w:t>
      </w:r>
      <w:r w:rsidR="00652A63">
        <w:rPr>
          <w:rFonts w:eastAsia="Times New Roman"/>
          <w:color w:val="000000"/>
        </w:rPr>
        <w:t xml:space="preserve"> introduced </w:t>
      </w:r>
      <w:r w:rsidR="00133F80">
        <w:rPr>
          <w:rFonts w:eastAsia="Times New Roman"/>
          <w:color w:val="000000"/>
        </w:rPr>
        <w:t>to parliament</w:t>
      </w:r>
      <w:r w:rsidR="00A16B66">
        <w:rPr>
          <w:rFonts w:eastAsia="Times New Roman"/>
          <w:color w:val="000000"/>
        </w:rPr>
        <w:t>, but</w:t>
      </w:r>
      <w:r w:rsidR="006017A8">
        <w:rPr>
          <w:rFonts w:eastAsia="Times New Roman"/>
          <w:color w:val="000000"/>
        </w:rPr>
        <w:t xml:space="preserve"> </w:t>
      </w:r>
      <w:r w:rsidR="00A16B66">
        <w:rPr>
          <w:rFonts w:eastAsia="Times New Roman"/>
          <w:color w:val="000000"/>
        </w:rPr>
        <w:t>i</w:t>
      </w:r>
      <w:r>
        <w:rPr>
          <w:rFonts w:eastAsia="Times New Roman"/>
          <w:color w:val="000000"/>
        </w:rPr>
        <w:t>t remains</w:t>
      </w:r>
      <w:r w:rsidR="006017A8">
        <w:rPr>
          <w:rFonts w:eastAsia="Times New Roman"/>
          <w:color w:val="000000"/>
        </w:rPr>
        <w:t xml:space="preserve"> </w:t>
      </w:r>
      <w:r w:rsidR="00A16B66">
        <w:rPr>
          <w:rFonts w:eastAsia="Times New Roman"/>
          <w:color w:val="000000"/>
        </w:rPr>
        <w:t>in</w:t>
      </w:r>
      <w:r w:rsidR="006017A8">
        <w:rPr>
          <w:rFonts w:eastAsia="Times New Roman"/>
          <w:color w:val="000000"/>
        </w:rPr>
        <w:t xml:space="preserve"> its </w:t>
      </w:r>
      <w:r w:rsidR="00A16B66">
        <w:rPr>
          <w:rFonts w:eastAsia="Times New Roman"/>
          <w:color w:val="000000"/>
        </w:rPr>
        <w:t>early stages.</w:t>
      </w:r>
      <w:r w:rsidR="00584D3D">
        <w:rPr>
          <w:rFonts w:eastAsia="Times New Roman"/>
          <w:color w:val="000000"/>
        </w:rPr>
        <w:t xml:space="preserve"> The Bill </w:t>
      </w:r>
      <w:r w:rsidR="00E84841" w:rsidRPr="00E84841">
        <w:rPr>
          <w:rFonts w:eastAsia="Times New Roman"/>
          <w:color w:val="000000"/>
        </w:rPr>
        <w:t xml:space="preserve">provides a regulation-making power to set up safe areas around specific abortion facilities, on a case-by-case basis. The purpose of this regulation-making power is to protect the safety and well-being, and respect the privacy and dignity, of </w:t>
      </w:r>
      <w:r w:rsidR="00CB6CB8">
        <w:rPr>
          <w:rFonts w:eastAsia="Times New Roman"/>
          <w:color w:val="000000"/>
        </w:rPr>
        <w:t xml:space="preserve">both </w:t>
      </w:r>
      <w:r w:rsidR="00E84841" w:rsidRPr="00E84841">
        <w:rPr>
          <w:rFonts w:eastAsia="Times New Roman"/>
          <w:color w:val="000000"/>
        </w:rPr>
        <w:t>women accessing abortion facilities and practitioners providing and assisting with abortion services.</w:t>
      </w:r>
      <w:r w:rsidR="00097475">
        <w:rPr>
          <w:rStyle w:val="FootnoteReference"/>
          <w:rFonts w:eastAsia="Times New Roman"/>
          <w:color w:val="000000"/>
        </w:rPr>
        <w:footnoteReference w:id="13"/>
      </w:r>
    </w:p>
    <w:p w14:paraId="3FC8BB0C" w14:textId="3F91072E" w:rsidR="002A09FA" w:rsidRPr="00C945E5" w:rsidRDefault="00C945E5" w:rsidP="000952F4">
      <w:pPr>
        <w:shd w:val="clear" w:color="auto" w:fill="FFFFFF"/>
        <w:spacing w:before="100" w:beforeAutospacing="1" w:after="100" w:afterAutospacing="1" w:line="240" w:lineRule="auto"/>
        <w:rPr>
          <w:rFonts w:eastAsia="Times New Roman"/>
          <w:b/>
          <w:bCs/>
          <w:color w:val="000000"/>
        </w:rPr>
      </w:pPr>
      <w:r w:rsidRPr="00C945E5">
        <w:rPr>
          <w:rFonts w:eastAsia="Times New Roman"/>
          <w:b/>
          <w:bCs/>
          <w:color w:val="000000"/>
        </w:rPr>
        <w:t xml:space="preserve">Access to Abortion Services </w:t>
      </w:r>
    </w:p>
    <w:p w14:paraId="7963787C" w14:textId="2B3486BB" w:rsidR="002A09FA" w:rsidRPr="002A09FA" w:rsidRDefault="00446DBF" w:rsidP="002A09FA">
      <w:pPr>
        <w:pStyle w:val="ListParagraph"/>
        <w:numPr>
          <w:ilvl w:val="0"/>
          <w:numId w:val="4"/>
        </w:numPr>
        <w:shd w:val="clear" w:color="auto" w:fill="FFFFFF"/>
        <w:spacing w:before="100" w:beforeAutospacing="1" w:after="100" w:afterAutospacing="1" w:line="240" w:lineRule="auto"/>
        <w:rPr>
          <w:rFonts w:eastAsia="Times New Roman"/>
          <w:color w:val="000000" w:themeColor="text1"/>
        </w:rPr>
      </w:pPr>
      <w:r w:rsidRPr="674A3E8A">
        <w:rPr>
          <w:rFonts w:eastAsia="Times New Roman"/>
          <w:color w:val="000000" w:themeColor="text1"/>
        </w:rPr>
        <w:t xml:space="preserve">In August 2020, </w:t>
      </w:r>
      <w:r w:rsidR="00032257" w:rsidRPr="674A3E8A">
        <w:rPr>
          <w:rFonts w:eastAsia="Times New Roman"/>
          <w:color w:val="000000" w:themeColor="text1"/>
        </w:rPr>
        <w:t xml:space="preserve">the Ministry of Health </w:t>
      </w:r>
      <w:r w:rsidR="00C060D6" w:rsidRPr="674A3E8A">
        <w:rPr>
          <w:rFonts w:eastAsia="Times New Roman"/>
          <w:color w:val="000000" w:themeColor="text1"/>
        </w:rPr>
        <w:t>received results</w:t>
      </w:r>
      <w:r w:rsidR="00C447BF" w:rsidRPr="674A3E8A">
        <w:rPr>
          <w:rFonts w:eastAsia="Times New Roman"/>
          <w:color w:val="000000" w:themeColor="text1"/>
        </w:rPr>
        <w:t xml:space="preserve"> from a survey that </w:t>
      </w:r>
      <w:r w:rsidR="00032257" w:rsidRPr="674A3E8A">
        <w:rPr>
          <w:rFonts w:eastAsia="Times New Roman"/>
          <w:color w:val="000000" w:themeColor="text1"/>
        </w:rPr>
        <w:t xml:space="preserve">for the </w:t>
      </w:r>
      <w:proofErr w:type="gramStart"/>
      <w:r w:rsidR="00032257" w:rsidRPr="674A3E8A">
        <w:rPr>
          <w:rFonts w:eastAsia="Times New Roman"/>
          <w:color w:val="000000" w:themeColor="text1"/>
        </w:rPr>
        <w:t>first</w:t>
      </w:r>
      <w:r w:rsidR="005A7BBA" w:rsidRPr="674A3E8A">
        <w:rPr>
          <w:rFonts w:eastAsia="Times New Roman"/>
          <w:color w:val="000000" w:themeColor="text1"/>
        </w:rPr>
        <w:t xml:space="preserve"> </w:t>
      </w:r>
      <w:r w:rsidR="00032257" w:rsidRPr="674A3E8A">
        <w:rPr>
          <w:rFonts w:eastAsia="Times New Roman"/>
          <w:color w:val="000000" w:themeColor="text1"/>
        </w:rPr>
        <w:t>time</w:t>
      </w:r>
      <w:proofErr w:type="gramEnd"/>
      <w:r w:rsidR="00032257" w:rsidRPr="674A3E8A">
        <w:rPr>
          <w:rFonts w:eastAsia="Times New Roman"/>
          <w:color w:val="000000" w:themeColor="text1"/>
        </w:rPr>
        <w:t xml:space="preserve"> asked district health boards (DHBs) to provide information on abortion services as part of their quarterly reporting process. </w:t>
      </w:r>
      <w:r w:rsidR="00E81450" w:rsidRPr="674A3E8A">
        <w:rPr>
          <w:rFonts w:eastAsia="Times New Roman"/>
          <w:color w:val="000000" w:themeColor="text1"/>
        </w:rPr>
        <w:t>The summary of the survey responses</w:t>
      </w:r>
      <w:r w:rsidR="00C447BF" w:rsidRPr="674A3E8A">
        <w:rPr>
          <w:rFonts w:eastAsia="Times New Roman"/>
          <w:color w:val="000000" w:themeColor="text1"/>
        </w:rPr>
        <w:t xml:space="preserve"> recorded</w:t>
      </w:r>
      <w:r w:rsidR="005025E6" w:rsidRPr="674A3E8A">
        <w:rPr>
          <w:rFonts w:eastAsia="Times New Roman"/>
          <w:color w:val="000000" w:themeColor="text1"/>
        </w:rPr>
        <w:t xml:space="preserve"> </w:t>
      </w:r>
      <w:r w:rsidR="00C447BF" w:rsidRPr="674A3E8A">
        <w:rPr>
          <w:rFonts w:eastAsia="Times New Roman"/>
          <w:color w:val="000000" w:themeColor="text1"/>
        </w:rPr>
        <w:t>k</w:t>
      </w:r>
      <w:r w:rsidR="005025E6" w:rsidRPr="674A3E8A">
        <w:rPr>
          <w:rFonts w:eastAsia="Times New Roman"/>
          <w:color w:val="000000" w:themeColor="text1"/>
        </w:rPr>
        <w:t>ey findings</w:t>
      </w:r>
      <w:r w:rsidR="00C447BF" w:rsidRPr="674A3E8A">
        <w:rPr>
          <w:rFonts w:eastAsia="Times New Roman"/>
          <w:color w:val="000000" w:themeColor="text1"/>
        </w:rPr>
        <w:t xml:space="preserve"> that highlight</w:t>
      </w:r>
      <w:r w:rsidR="002A09FA" w:rsidRPr="674A3E8A">
        <w:rPr>
          <w:rFonts w:eastAsia="Times New Roman"/>
          <w:color w:val="000000" w:themeColor="text1"/>
        </w:rPr>
        <w:t>ed issues</w:t>
      </w:r>
      <w:r w:rsidR="00830478" w:rsidRPr="674A3E8A">
        <w:rPr>
          <w:rFonts w:eastAsia="Times New Roman"/>
          <w:color w:val="000000" w:themeColor="text1"/>
        </w:rPr>
        <w:t>,</w:t>
      </w:r>
      <w:r w:rsidR="002A09FA" w:rsidRPr="674A3E8A">
        <w:rPr>
          <w:rFonts w:eastAsia="Times New Roman"/>
          <w:color w:val="000000" w:themeColor="text1"/>
        </w:rPr>
        <w:t xml:space="preserve"> such as</w:t>
      </w:r>
      <w:r w:rsidR="005025E6" w:rsidRPr="674A3E8A">
        <w:rPr>
          <w:rFonts w:eastAsia="Times New Roman"/>
          <w:color w:val="000000" w:themeColor="text1"/>
        </w:rPr>
        <w:t>:</w:t>
      </w:r>
      <w:r w:rsidR="00254041" w:rsidRPr="674A3E8A">
        <w:rPr>
          <w:rStyle w:val="FootnoteReference"/>
          <w:rFonts w:eastAsia="Times New Roman"/>
          <w:color w:val="000000" w:themeColor="text1"/>
        </w:rPr>
        <w:footnoteReference w:id="14"/>
      </w:r>
    </w:p>
    <w:p w14:paraId="3B103F91" w14:textId="77777777" w:rsidR="002A09FA" w:rsidRPr="00D55F9B" w:rsidRDefault="002A09FA" w:rsidP="002A09FA">
      <w:pPr>
        <w:pStyle w:val="ListParagraph"/>
        <w:shd w:val="clear" w:color="auto" w:fill="FFFFFF"/>
        <w:spacing w:before="100" w:beforeAutospacing="1" w:after="100" w:afterAutospacing="1" w:line="240" w:lineRule="auto"/>
        <w:ind w:left="360"/>
        <w:rPr>
          <w:rFonts w:eastAsia="Times New Roman" w:cstheme="minorHAnsi"/>
          <w:color w:val="000000" w:themeColor="text1"/>
        </w:rPr>
      </w:pPr>
    </w:p>
    <w:p w14:paraId="422782B6" w14:textId="740E997E" w:rsidR="00D572CB" w:rsidRDefault="00022E95" w:rsidP="00D572CB">
      <w:pPr>
        <w:pStyle w:val="ListParagraph"/>
        <w:numPr>
          <w:ilvl w:val="0"/>
          <w:numId w:val="1"/>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lastRenderedPageBreak/>
        <w:t>Significant</w:t>
      </w:r>
      <w:r w:rsidR="00D572CB">
        <w:rPr>
          <w:rFonts w:eastAsia="Times New Roman" w:cstheme="minorHAnsi"/>
          <w:color w:val="000000" w:themeColor="text1"/>
        </w:rPr>
        <w:t xml:space="preserve"> </w:t>
      </w:r>
      <w:r>
        <w:rPr>
          <w:rFonts w:eastAsia="Times New Roman" w:cstheme="minorHAnsi"/>
          <w:color w:val="000000" w:themeColor="text1"/>
        </w:rPr>
        <w:t>v</w:t>
      </w:r>
      <w:r w:rsidR="00D572CB">
        <w:rPr>
          <w:rFonts w:eastAsia="Times New Roman" w:cstheme="minorHAnsi"/>
          <w:color w:val="000000" w:themeColor="text1"/>
        </w:rPr>
        <w:t>ar</w:t>
      </w:r>
      <w:r>
        <w:rPr>
          <w:rFonts w:eastAsia="Times New Roman" w:cstheme="minorHAnsi"/>
          <w:color w:val="000000" w:themeColor="text1"/>
        </w:rPr>
        <w:t>ia</w:t>
      </w:r>
      <w:r w:rsidR="00D572CB">
        <w:rPr>
          <w:rFonts w:eastAsia="Times New Roman" w:cstheme="minorHAnsi"/>
          <w:color w:val="000000" w:themeColor="text1"/>
        </w:rPr>
        <w:t>tion between DHBs in terms of what services are provided within their region</w:t>
      </w:r>
      <w:r w:rsidR="002A5AB9">
        <w:rPr>
          <w:rFonts w:eastAsia="Times New Roman" w:cstheme="minorHAnsi"/>
          <w:color w:val="000000" w:themeColor="text1"/>
        </w:rPr>
        <w:t>.</w:t>
      </w:r>
      <w:r w:rsidR="00C7003A">
        <w:rPr>
          <w:rFonts w:eastAsia="Times New Roman" w:cstheme="minorHAnsi"/>
          <w:color w:val="000000" w:themeColor="text1"/>
        </w:rPr>
        <w:t xml:space="preserve"> </w:t>
      </w:r>
    </w:p>
    <w:p w14:paraId="1D437CA8" w14:textId="3290B222" w:rsidR="00C7003A" w:rsidRDefault="00615FA4" w:rsidP="00D572CB">
      <w:pPr>
        <w:pStyle w:val="ListParagraph"/>
        <w:numPr>
          <w:ilvl w:val="0"/>
          <w:numId w:val="1"/>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L</w:t>
      </w:r>
      <w:r w:rsidR="00D00E53">
        <w:rPr>
          <w:rFonts w:eastAsia="Times New Roman" w:cstheme="minorHAnsi"/>
          <w:color w:val="000000" w:themeColor="text1"/>
        </w:rPr>
        <w:t xml:space="preserve">imited availability of services from 22 weeks if there is no </w:t>
      </w:r>
      <w:proofErr w:type="spellStart"/>
      <w:r w:rsidR="00D00E53">
        <w:rPr>
          <w:rFonts w:eastAsia="Times New Roman" w:cstheme="minorHAnsi"/>
          <w:color w:val="000000" w:themeColor="text1"/>
        </w:rPr>
        <w:t>fetal</w:t>
      </w:r>
      <w:proofErr w:type="spellEnd"/>
      <w:r w:rsidR="00D00E53">
        <w:rPr>
          <w:rFonts w:eastAsia="Times New Roman" w:cstheme="minorHAnsi"/>
          <w:color w:val="000000" w:themeColor="text1"/>
        </w:rPr>
        <w:t xml:space="preserve"> </w:t>
      </w:r>
      <w:r w:rsidR="00F15CB2">
        <w:rPr>
          <w:rFonts w:eastAsia="Times New Roman" w:cstheme="minorHAnsi"/>
          <w:color w:val="000000" w:themeColor="text1"/>
        </w:rPr>
        <w:t>abnormality</w:t>
      </w:r>
      <w:r w:rsidR="00D00E53">
        <w:rPr>
          <w:rFonts w:eastAsia="Times New Roman" w:cstheme="minorHAnsi"/>
          <w:color w:val="000000" w:themeColor="text1"/>
        </w:rPr>
        <w:t xml:space="preserve"> or severe health risk to the women</w:t>
      </w:r>
      <w:r w:rsidR="002A5AB9">
        <w:rPr>
          <w:rFonts w:eastAsia="Times New Roman" w:cstheme="minorHAnsi"/>
          <w:color w:val="000000" w:themeColor="text1"/>
        </w:rPr>
        <w:t>.</w:t>
      </w:r>
    </w:p>
    <w:p w14:paraId="16A10386" w14:textId="44C772EC" w:rsidR="00892C06" w:rsidRDefault="007D0758" w:rsidP="00D572CB">
      <w:pPr>
        <w:pStyle w:val="ListParagraph"/>
        <w:numPr>
          <w:ilvl w:val="0"/>
          <w:numId w:val="1"/>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Several DHBs noted that since the Abortion Legislation Act 2020</w:t>
      </w:r>
      <w:r w:rsidR="00D629A7">
        <w:rPr>
          <w:rFonts w:eastAsia="Times New Roman" w:cstheme="minorHAnsi"/>
          <w:color w:val="000000" w:themeColor="text1"/>
        </w:rPr>
        <w:t xml:space="preserve"> there has been greater access to abortions</w:t>
      </w:r>
      <w:r w:rsidR="000660EB">
        <w:rPr>
          <w:rFonts w:eastAsia="Times New Roman" w:cstheme="minorHAnsi"/>
          <w:color w:val="000000" w:themeColor="text1"/>
        </w:rPr>
        <w:t xml:space="preserve"> and an improvement to equitable access for young people, M</w:t>
      </w:r>
      <w:r w:rsidR="00095ECB">
        <w:rPr>
          <w:rFonts w:eastAsia="Times New Roman" w:cstheme="minorHAnsi"/>
          <w:color w:val="000000" w:themeColor="text1"/>
        </w:rPr>
        <w:t>ā</w:t>
      </w:r>
      <w:r w:rsidR="000660EB">
        <w:rPr>
          <w:rFonts w:eastAsia="Times New Roman" w:cstheme="minorHAnsi"/>
          <w:color w:val="000000" w:themeColor="text1"/>
        </w:rPr>
        <w:t xml:space="preserve">ori and Pacific </w:t>
      </w:r>
      <w:r w:rsidR="00D15405">
        <w:rPr>
          <w:rFonts w:eastAsia="Times New Roman" w:cstheme="minorHAnsi"/>
          <w:color w:val="000000" w:themeColor="text1"/>
        </w:rPr>
        <w:t>p</w:t>
      </w:r>
      <w:r w:rsidR="000660EB">
        <w:rPr>
          <w:rFonts w:eastAsia="Times New Roman" w:cstheme="minorHAnsi"/>
          <w:color w:val="000000" w:themeColor="text1"/>
        </w:rPr>
        <w:t xml:space="preserve">eople who previously had low uptake of </w:t>
      </w:r>
      <w:r w:rsidR="00BA36AC">
        <w:rPr>
          <w:rFonts w:eastAsia="Times New Roman" w:cstheme="minorHAnsi"/>
          <w:color w:val="000000" w:themeColor="text1"/>
        </w:rPr>
        <w:t>early medical abortion compared to surgical abortion</w:t>
      </w:r>
      <w:r w:rsidR="002A5AB9">
        <w:rPr>
          <w:rFonts w:eastAsia="Times New Roman" w:cstheme="minorHAnsi"/>
          <w:color w:val="000000" w:themeColor="text1"/>
        </w:rPr>
        <w:t>.</w:t>
      </w:r>
    </w:p>
    <w:p w14:paraId="3CBE9C64" w14:textId="34413628" w:rsidR="00D15405" w:rsidRDefault="00D15405" w:rsidP="00D572CB">
      <w:pPr>
        <w:pStyle w:val="ListParagraph"/>
        <w:numPr>
          <w:ilvl w:val="0"/>
          <w:numId w:val="1"/>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 xml:space="preserve">Most issues raised </w:t>
      </w:r>
      <w:r w:rsidR="00F21272">
        <w:rPr>
          <w:rFonts w:eastAsia="Times New Roman" w:cstheme="minorHAnsi"/>
          <w:color w:val="000000" w:themeColor="text1"/>
        </w:rPr>
        <w:t>by DHBs related to the availability of appropriate staff and other workforce issues</w:t>
      </w:r>
      <w:r w:rsidR="0078067F">
        <w:rPr>
          <w:rFonts w:eastAsia="Times New Roman" w:cstheme="minorHAnsi"/>
          <w:color w:val="000000" w:themeColor="text1"/>
        </w:rPr>
        <w:t>, particularly a need for training</w:t>
      </w:r>
      <w:r w:rsidR="002A5AB9">
        <w:rPr>
          <w:rFonts w:eastAsia="Times New Roman" w:cstheme="minorHAnsi"/>
          <w:color w:val="000000" w:themeColor="text1"/>
        </w:rPr>
        <w:t>.</w:t>
      </w:r>
    </w:p>
    <w:p w14:paraId="71FDA4C2" w14:textId="60519154" w:rsidR="007D0C9C" w:rsidRDefault="00F43C61" w:rsidP="00D572CB">
      <w:pPr>
        <w:pStyle w:val="ListParagraph"/>
        <w:numPr>
          <w:ilvl w:val="0"/>
          <w:numId w:val="1"/>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Conscientious objection is proving to be a major barrier in ensuring the availability and continuity of the workforce and services they prov</w:t>
      </w:r>
      <w:r w:rsidR="00F029D3">
        <w:rPr>
          <w:rFonts w:eastAsia="Times New Roman" w:cstheme="minorHAnsi"/>
          <w:color w:val="000000" w:themeColor="text1"/>
        </w:rPr>
        <w:t xml:space="preserve">ide. </w:t>
      </w:r>
    </w:p>
    <w:p w14:paraId="7D915BB4" w14:textId="591D9E5F" w:rsidR="00F029D3" w:rsidRDefault="00F029D3" w:rsidP="00D572CB">
      <w:pPr>
        <w:pStyle w:val="ListParagraph"/>
        <w:numPr>
          <w:ilvl w:val="0"/>
          <w:numId w:val="1"/>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 xml:space="preserve">Some </w:t>
      </w:r>
      <w:r w:rsidR="00ED374B">
        <w:rPr>
          <w:rFonts w:eastAsia="Times New Roman" w:cstheme="minorHAnsi"/>
          <w:color w:val="000000" w:themeColor="text1"/>
        </w:rPr>
        <w:t xml:space="preserve">medical practitioners are unwilling to be involved outside of care for severe </w:t>
      </w:r>
      <w:proofErr w:type="spellStart"/>
      <w:r w:rsidR="00ED374B">
        <w:rPr>
          <w:rFonts w:eastAsia="Times New Roman" w:cstheme="minorHAnsi"/>
          <w:color w:val="000000" w:themeColor="text1"/>
        </w:rPr>
        <w:t>fetal</w:t>
      </w:r>
      <w:proofErr w:type="spellEnd"/>
      <w:r w:rsidR="00ED374B">
        <w:rPr>
          <w:rFonts w:eastAsia="Times New Roman" w:cstheme="minorHAnsi"/>
          <w:color w:val="000000" w:themeColor="text1"/>
        </w:rPr>
        <w:t xml:space="preserve"> abnormality</w:t>
      </w:r>
      <w:r w:rsidR="002A5AB9">
        <w:rPr>
          <w:rFonts w:eastAsia="Times New Roman" w:cstheme="minorHAnsi"/>
          <w:color w:val="000000" w:themeColor="text1"/>
        </w:rPr>
        <w:t>.</w:t>
      </w:r>
    </w:p>
    <w:p w14:paraId="37428ED0" w14:textId="5942ED76" w:rsidR="00D15DA7" w:rsidRDefault="00D15DA7" w:rsidP="00D572CB">
      <w:pPr>
        <w:pStyle w:val="ListParagraph"/>
        <w:numPr>
          <w:ilvl w:val="0"/>
          <w:numId w:val="1"/>
        </w:numPr>
        <w:shd w:val="clear" w:color="auto" w:fill="FFFFFF"/>
        <w:spacing w:before="100" w:beforeAutospacing="1" w:after="100" w:afterAutospacing="1" w:line="240" w:lineRule="auto"/>
        <w:rPr>
          <w:rFonts w:eastAsia="Times New Roman" w:cstheme="minorHAnsi"/>
          <w:color w:val="000000" w:themeColor="text1"/>
        </w:rPr>
      </w:pPr>
      <w:r>
        <w:rPr>
          <w:rFonts w:eastAsia="Times New Roman" w:cstheme="minorHAnsi"/>
          <w:color w:val="000000" w:themeColor="text1"/>
        </w:rPr>
        <w:t>High number of practitioners providing services are nearing retirement</w:t>
      </w:r>
      <w:r w:rsidR="00A974B3">
        <w:rPr>
          <w:rFonts w:eastAsia="Times New Roman" w:cstheme="minorHAnsi"/>
          <w:color w:val="000000" w:themeColor="text1"/>
        </w:rPr>
        <w:t>.</w:t>
      </w:r>
    </w:p>
    <w:p w14:paraId="255C110F" w14:textId="4C706745" w:rsidR="00446DBF" w:rsidRPr="00F5116D" w:rsidRDefault="00250277" w:rsidP="00F15CB2">
      <w:pPr>
        <w:pStyle w:val="ListParagraph"/>
        <w:numPr>
          <w:ilvl w:val="0"/>
          <w:numId w:val="1"/>
        </w:numPr>
        <w:shd w:val="clear" w:color="auto" w:fill="FFFFFF"/>
        <w:spacing w:before="100" w:beforeAutospacing="1" w:after="100" w:afterAutospacing="1" w:line="240" w:lineRule="auto"/>
        <w:rPr>
          <w:rFonts w:eastAsia="Times New Roman" w:cstheme="minorHAnsi"/>
          <w:color w:val="000000" w:themeColor="text1"/>
        </w:rPr>
      </w:pPr>
      <w:r w:rsidRPr="00F5116D">
        <w:rPr>
          <w:rFonts w:cstheme="minorHAnsi"/>
          <w:b/>
          <w:bCs/>
        </w:rPr>
        <w:br w:type="page"/>
      </w:r>
    </w:p>
    <w:p w14:paraId="0952459F" w14:textId="2DA045D1" w:rsidR="00C62835" w:rsidRPr="0067327A" w:rsidRDefault="2131C634" w:rsidP="004847FF">
      <w:pPr>
        <w:pBdr>
          <w:top w:val="single" w:sz="4" w:space="1" w:color="auto"/>
          <w:left w:val="single" w:sz="4" w:space="4" w:color="auto"/>
          <w:bottom w:val="single" w:sz="4" w:space="1" w:color="auto"/>
          <w:right w:val="single" w:sz="4" w:space="4" w:color="auto"/>
        </w:pBdr>
        <w:shd w:val="clear" w:color="auto" w:fill="D9E2F3" w:themeFill="accent1" w:themeFillTint="33"/>
        <w:spacing w:line="240" w:lineRule="auto"/>
        <w:rPr>
          <w:rFonts w:cstheme="minorHAnsi"/>
          <w:b/>
          <w:bCs/>
        </w:rPr>
      </w:pPr>
      <w:r w:rsidRPr="0067327A">
        <w:rPr>
          <w:rFonts w:cstheme="minorHAnsi"/>
          <w:b/>
          <w:bCs/>
        </w:rPr>
        <w:lastRenderedPageBreak/>
        <w:t xml:space="preserve">Establish a </w:t>
      </w:r>
      <w:r w:rsidR="008F5215" w:rsidRPr="0067327A">
        <w:rPr>
          <w:rFonts w:cstheme="minorHAnsi"/>
          <w:b/>
          <w:bCs/>
        </w:rPr>
        <w:t xml:space="preserve">royal commission of inquiry </w:t>
      </w:r>
      <w:r w:rsidR="3AF6B19A" w:rsidRPr="0067327A">
        <w:rPr>
          <w:rFonts w:cstheme="minorHAnsi"/>
          <w:b/>
          <w:bCs/>
        </w:rPr>
        <w:t xml:space="preserve">to engage wide-ranging evaluation </w:t>
      </w:r>
      <w:r w:rsidR="092812C7" w:rsidRPr="0067327A">
        <w:rPr>
          <w:rFonts w:cstheme="minorHAnsi"/>
          <w:b/>
          <w:bCs/>
        </w:rPr>
        <w:t xml:space="preserve">on the drawbacks, obstruction of justice and hindrances to safety for women inherent in the family court system </w:t>
      </w:r>
      <w:r w:rsidR="2FB6FAFF" w:rsidRPr="0067327A">
        <w:rPr>
          <w:rFonts w:cstheme="minorHAnsi"/>
          <w:b/>
          <w:bCs/>
        </w:rPr>
        <w:t xml:space="preserve">and </w:t>
      </w:r>
      <w:r w:rsidR="008F5215" w:rsidRPr="0067327A">
        <w:rPr>
          <w:rFonts w:cstheme="minorHAnsi"/>
          <w:b/>
          <w:bCs/>
        </w:rPr>
        <w:t xml:space="preserve">recommend changes necessary to make the family courts safe and just for women and children, </w:t>
      </w:r>
      <w:r w:rsidR="1C4E8CFE" w:rsidRPr="0067327A">
        <w:rPr>
          <w:rFonts w:cstheme="minorHAnsi"/>
          <w:b/>
          <w:bCs/>
        </w:rPr>
        <w:t>particularly</w:t>
      </w:r>
      <w:r w:rsidR="008F5215" w:rsidRPr="0067327A">
        <w:rPr>
          <w:rFonts w:cstheme="minorHAnsi"/>
          <w:b/>
          <w:bCs/>
        </w:rPr>
        <w:t xml:space="preserve"> in situations of domestic violence</w:t>
      </w:r>
      <w:r w:rsidR="00BF3BCC" w:rsidRPr="0067327A">
        <w:rPr>
          <w:rFonts w:cstheme="minorHAnsi"/>
          <w:b/>
          <w:bCs/>
        </w:rPr>
        <w:t>.</w:t>
      </w:r>
    </w:p>
    <w:p w14:paraId="1FD06948" w14:textId="77777777" w:rsidR="00B21B17" w:rsidRDefault="3485D705" w:rsidP="00CD2038">
      <w:pPr>
        <w:pStyle w:val="ListParagraph"/>
        <w:numPr>
          <w:ilvl w:val="0"/>
          <w:numId w:val="4"/>
        </w:numPr>
        <w:spacing w:line="240" w:lineRule="auto"/>
        <w:rPr>
          <w:rFonts w:eastAsiaTheme="minorEastAsia"/>
        </w:rPr>
      </w:pPr>
      <w:r w:rsidRPr="674A3E8A">
        <w:t xml:space="preserve">The Government </w:t>
      </w:r>
      <w:r w:rsidR="6B17FBF5" w:rsidRPr="674A3E8A">
        <w:t xml:space="preserve">has not </w:t>
      </w:r>
      <w:r w:rsidRPr="674A3E8A">
        <w:t>establish</w:t>
      </w:r>
      <w:r w:rsidR="1E4138E0" w:rsidRPr="674A3E8A">
        <w:t>ed</w:t>
      </w:r>
      <w:r w:rsidRPr="674A3E8A">
        <w:t xml:space="preserve"> a royal commission of inquiry on the </w:t>
      </w:r>
      <w:r w:rsidR="2109D0EE" w:rsidRPr="674A3E8A">
        <w:t>issues highlighted</w:t>
      </w:r>
      <w:r w:rsidRPr="674A3E8A">
        <w:t xml:space="preserve"> by the Committe</w:t>
      </w:r>
      <w:r w:rsidRPr="674A3E8A">
        <w:rPr>
          <w:rFonts w:eastAsiaTheme="minorEastAsia"/>
        </w:rPr>
        <w:t>e</w:t>
      </w:r>
      <w:r w:rsidR="5C6B58E8" w:rsidRPr="674A3E8A">
        <w:rPr>
          <w:rFonts w:eastAsiaTheme="minorEastAsia"/>
        </w:rPr>
        <w:t>, and there is no indication that it intends to do so in the future</w:t>
      </w:r>
      <w:r w:rsidRPr="674A3E8A">
        <w:rPr>
          <w:rFonts w:eastAsiaTheme="minorEastAsia"/>
        </w:rPr>
        <w:t xml:space="preserve">. </w:t>
      </w:r>
    </w:p>
    <w:p w14:paraId="23119C99" w14:textId="77777777" w:rsidR="00CD2038" w:rsidRPr="00CD2038" w:rsidRDefault="00CD2038" w:rsidP="00CD2038">
      <w:pPr>
        <w:pStyle w:val="ListParagraph"/>
        <w:spacing w:line="240" w:lineRule="auto"/>
        <w:ind w:left="360"/>
        <w:rPr>
          <w:rFonts w:eastAsiaTheme="minorEastAsia" w:cstheme="minorHAnsi"/>
        </w:rPr>
      </w:pPr>
    </w:p>
    <w:p w14:paraId="1B87A242" w14:textId="696FC60F" w:rsidR="001E42B3" w:rsidRPr="00BB2BB1" w:rsidRDefault="24163F24" w:rsidP="08B8BA15">
      <w:pPr>
        <w:pStyle w:val="ListParagraph"/>
        <w:numPr>
          <w:ilvl w:val="0"/>
          <w:numId w:val="4"/>
        </w:numPr>
        <w:spacing w:line="240" w:lineRule="auto"/>
        <w:rPr>
          <w:rFonts w:eastAsiaTheme="minorEastAsia"/>
        </w:rPr>
      </w:pPr>
      <w:r w:rsidRPr="08B8BA15">
        <w:rPr>
          <w:rFonts w:eastAsiaTheme="minorEastAsia"/>
        </w:rPr>
        <w:t xml:space="preserve">While the Commission notes the government’s </w:t>
      </w:r>
      <w:r w:rsidR="007D2F9B">
        <w:rPr>
          <w:rFonts w:eastAsiaTheme="minorEastAsia"/>
        </w:rPr>
        <w:t xml:space="preserve">2019 </w:t>
      </w:r>
      <w:r w:rsidR="597CD08E" w:rsidRPr="08B8BA15">
        <w:rPr>
          <w:rFonts w:eastAsiaTheme="minorEastAsia"/>
        </w:rPr>
        <w:t>review of the 2014</w:t>
      </w:r>
      <w:r w:rsidR="15CEFA6F" w:rsidRPr="08B8BA15">
        <w:rPr>
          <w:rFonts w:eastAsiaTheme="minorEastAsia"/>
        </w:rPr>
        <w:t xml:space="preserve"> reforms to the family court</w:t>
      </w:r>
      <w:r w:rsidR="431FDD1A" w:rsidRPr="08B8BA15">
        <w:rPr>
          <w:rFonts w:eastAsiaTheme="minorEastAsia"/>
        </w:rPr>
        <w:t xml:space="preserve"> “Te Korowai Ture-</w:t>
      </w:r>
      <w:r w:rsidR="431FDD1A" w:rsidRPr="08B8BA15">
        <w:rPr>
          <w:rFonts w:eastAsiaTheme="minorEastAsia"/>
          <w:lang w:val="en-GB"/>
        </w:rPr>
        <w:t xml:space="preserve">ā </w:t>
      </w:r>
      <w:proofErr w:type="spellStart"/>
      <w:r w:rsidR="431FDD1A" w:rsidRPr="08B8BA15">
        <w:rPr>
          <w:rFonts w:eastAsiaTheme="minorEastAsia"/>
          <w:lang w:val="en-GB"/>
        </w:rPr>
        <w:t>Whānau</w:t>
      </w:r>
      <w:proofErr w:type="spellEnd"/>
      <w:r w:rsidR="431FDD1A" w:rsidRPr="08B8BA15">
        <w:rPr>
          <w:rFonts w:eastAsiaTheme="minorEastAsia"/>
          <w:lang w:val="en-GB"/>
        </w:rPr>
        <w:t>”</w:t>
      </w:r>
      <w:r w:rsidR="597CD08E" w:rsidRPr="08B8BA15">
        <w:rPr>
          <w:rFonts w:eastAsiaTheme="minorEastAsia"/>
        </w:rPr>
        <w:t>,</w:t>
      </w:r>
      <w:r w:rsidR="006B72FE">
        <w:rPr>
          <w:rStyle w:val="FootnoteReference"/>
          <w:rFonts w:eastAsiaTheme="minorEastAsia"/>
        </w:rPr>
        <w:footnoteReference w:id="15"/>
      </w:r>
      <w:r w:rsidR="55238935" w:rsidRPr="08B8BA15">
        <w:rPr>
          <w:rFonts w:eastAsiaTheme="minorEastAsia"/>
        </w:rPr>
        <w:t xml:space="preserve"> the terms of reference focused on delay, cost, forced mediation and lack of legal representation, but lacked any gender analysis, </w:t>
      </w:r>
      <w:r w:rsidR="00E32CA0" w:rsidRPr="00BB2BB1">
        <w:rPr>
          <w:rFonts w:eastAsiaTheme="minorEastAsia"/>
        </w:rPr>
        <w:t>through narrowly</w:t>
      </w:r>
      <w:r w:rsidR="55238935" w:rsidRPr="00BB2BB1">
        <w:rPr>
          <w:rFonts w:eastAsiaTheme="minorEastAsia"/>
        </w:rPr>
        <w:t xml:space="preserve"> focus</w:t>
      </w:r>
      <w:r w:rsidR="00E32CA0" w:rsidRPr="00BB2BB1">
        <w:rPr>
          <w:rFonts w:eastAsiaTheme="minorEastAsia"/>
        </w:rPr>
        <w:t>ing</w:t>
      </w:r>
      <w:r w:rsidR="55238935" w:rsidRPr="08B8BA15">
        <w:rPr>
          <w:rFonts w:eastAsiaTheme="minorEastAsia"/>
        </w:rPr>
        <w:t xml:space="preserve"> on child safety only.</w:t>
      </w:r>
      <w:r w:rsidR="597CD08E" w:rsidRPr="08B8BA15">
        <w:rPr>
          <w:rFonts w:eastAsiaTheme="minorEastAsia"/>
        </w:rPr>
        <w:t xml:space="preserve"> </w:t>
      </w:r>
      <w:r w:rsidR="1A672AFD" w:rsidRPr="08B8BA15">
        <w:rPr>
          <w:rFonts w:eastAsiaTheme="minorEastAsia"/>
        </w:rPr>
        <w:t xml:space="preserve">While the </w:t>
      </w:r>
      <w:r w:rsidR="6B91F714" w:rsidRPr="08B8BA15">
        <w:rPr>
          <w:rFonts w:eastAsiaTheme="minorEastAsia"/>
        </w:rPr>
        <w:t xml:space="preserve">review </w:t>
      </w:r>
      <w:r w:rsidR="110A2774" w:rsidRPr="08B8BA15">
        <w:rPr>
          <w:rFonts w:eastAsiaTheme="minorEastAsia"/>
        </w:rPr>
        <w:t>acknowledges</w:t>
      </w:r>
      <w:r w:rsidR="6B91F714" w:rsidRPr="08B8BA15">
        <w:rPr>
          <w:rFonts w:eastAsiaTheme="minorEastAsia"/>
        </w:rPr>
        <w:t xml:space="preserve"> the potential presence of unconscious bias</w:t>
      </w:r>
      <w:r w:rsidR="38DB3AC8" w:rsidRPr="08B8BA15">
        <w:rPr>
          <w:rFonts w:eastAsiaTheme="minorEastAsia"/>
        </w:rPr>
        <w:t xml:space="preserve"> in the family justice system</w:t>
      </w:r>
      <w:r w:rsidR="00FF6A43">
        <w:rPr>
          <w:rFonts w:eastAsiaTheme="minorEastAsia"/>
        </w:rPr>
        <w:t>,</w:t>
      </w:r>
      <w:r w:rsidR="6B91F714" w:rsidRPr="08B8BA15">
        <w:rPr>
          <w:rFonts w:eastAsiaTheme="minorEastAsia"/>
        </w:rPr>
        <w:t xml:space="preserve"> and a lack of </w:t>
      </w:r>
      <w:r w:rsidR="1A672AFD" w:rsidRPr="08B8BA15">
        <w:rPr>
          <w:rFonts w:eastAsiaTheme="minorEastAsia"/>
        </w:rPr>
        <w:t xml:space="preserve">understanding </w:t>
      </w:r>
      <w:r w:rsidR="1E7DAD37" w:rsidRPr="08B8BA15">
        <w:rPr>
          <w:rFonts w:eastAsiaTheme="minorEastAsia"/>
        </w:rPr>
        <w:t xml:space="preserve">amongst the family justice workforce </w:t>
      </w:r>
      <w:r w:rsidR="1A672AFD" w:rsidRPr="08B8BA15">
        <w:rPr>
          <w:rFonts w:eastAsiaTheme="minorEastAsia"/>
        </w:rPr>
        <w:t>o</w:t>
      </w:r>
      <w:r w:rsidR="3F576D02" w:rsidRPr="08B8BA15">
        <w:rPr>
          <w:rFonts w:eastAsiaTheme="minorEastAsia"/>
        </w:rPr>
        <w:t>n</w:t>
      </w:r>
      <w:r w:rsidR="1A672AFD" w:rsidRPr="08B8BA15">
        <w:rPr>
          <w:rFonts w:eastAsiaTheme="minorEastAsia"/>
        </w:rPr>
        <w:t xml:space="preserve"> the effects of trauma in the aftermath of violence</w:t>
      </w:r>
      <w:r w:rsidR="00FF6A43">
        <w:rPr>
          <w:rFonts w:eastAsiaTheme="minorEastAsia"/>
        </w:rPr>
        <w:t>,</w:t>
      </w:r>
      <w:r w:rsidR="1A672AFD" w:rsidRPr="08B8BA15">
        <w:rPr>
          <w:rFonts w:eastAsiaTheme="minorEastAsia"/>
        </w:rPr>
        <w:t xml:space="preserve"> </w:t>
      </w:r>
      <w:r w:rsidR="009351B9">
        <w:rPr>
          <w:rFonts w:eastAsiaTheme="minorEastAsia"/>
        </w:rPr>
        <w:t>it</w:t>
      </w:r>
      <w:r w:rsidR="1A672AFD" w:rsidRPr="08B8BA15">
        <w:rPr>
          <w:rFonts w:eastAsiaTheme="minorEastAsia"/>
        </w:rPr>
        <w:t xml:space="preserve"> d</w:t>
      </w:r>
      <w:r w:rsidR="5926E701" w:rsidRPr="08B8BA15">
        <w:rPr>
          <w:rFonts w:eastAsiaTheme="minorEastAsia"/>
        </w:rPr>
        <w:t>oes</w:t>
      </w:r>
      <w:r w:rsidR="1A672AFD" w:rsidRPr="08B8BA15">
        <w:rPr>
          <w:rFonts w:eastAsiaTheme="minorEastAsia"/>
        </w:rPr>
        <w:t xml:space="preserve"> not</w:t>
      </w:r>
      <w:r w:rsidR="3E952C6F" w:rsidRPr="08B8BA15">
        <w:rPr>
          <w:rFonts w:eastAsiaTheme="minorEastAsia"/>
        </w:rPr>
        <w:t xml:space="preserve"> </w:t>
      </w:r>
      <w:r w:rsidR="3C972CBE" w:rsidRPr="08B8BA15">
        <w:rPr>
          <w:rFonts w:eastAsiaTheme="minorEastAsia"/>
        </w:rPr>
        <w:t>address</w:t>
      </w:r>
      <w:r w:rsidR="1A672AFD" w:rsidRPr="08B8BA15">
        <w:rPr>
          <w:rFonts w:eastAsiaTheme="minorEastAsia"/>
        </w:rPr>
        <w:t xml:space="preserve"> the root causes of entrenched systemic discrimination against women in the family court and justice system</w:t>
      </w:r>
      <w:r w:rsidR="00A5304C">
        <w:rPr>
          <w:rFonts w:eastAsiaTheme="minorEastAsia"/>
        </w:rPr>
        <w:t xml:space="preserve"> which aggravate their safety concerns</w:t>
      </w:r>
      <w:r w:rsidR="00460D5B">
        <w:rPr>
          <w:rStyle w:val="FootnoteReference"/>
          <w:rFonts w:eastAsiaTheme="minorEastAsia"/>
        </w:rPr>
        <w:footnoteReference w:id="16"/>
      </w:r>
      <w:r w:rsidR="00F7521E">
        <w:rPr>
          <w:rFonts w:eastAsiaTheme="minorEastAsia"/>
        </w:rPr>
        <w:t xml:space="preserve"> including </w:t>
      </w:r>
      <w:r w:rsidR="007D1728" w:rsidRPr="08B8BA15">
        <w:rPr>
          <w:rFonts w:eastAsiaTheme="minorEastAsia"/>
        </w:rPr>
        <w:t xml:space="preserve">a </w:t>
      </w:r>
      <w:r w:rsidR="007D1728">
        <w:rPr>
          <w:rFonts w:eastAsiaTheme="minorEastAsia"/>
        </w:rPr>
        <w:t xml:space="preserve">persistent </w:t>
      </w:r>
      <w:r w:rsidR="007D1728" w:rsidRPr="08B8BA15">
        <w:rPr>
          <w:rFonts w:eastAsiaTheme="minorEastAsia"/>
        </w:rPr>
        <w:t>lack of training and understanding of the dynamics of domestic violence amongst professionals working in the area, including lawyers, police officers and family court judges</w:t>
      </w:r>
      <w:r w:rsidR="00460D5B">
        <w:rPr>
          <w:rFonts w:eastAsiaTheme="minorEastAsia"/>
        </w:rPr>
        <w:t>.</w:t>
      </w:r>
      <w:r w:rsidR="00460D5B">
        <w:rPr>
          <w:rStyle w:val="FootnoteReference"/>
          <w:rFonts w:eastAsiaTheme="minorEastAsia"/>
        </w:rPr>
        <w:footnoteReference w:id="17"/>
      </w:r>
    </w:p>
    <w:p w14:paraId="6C1D0599" w14:textId="0715A0C4" w:rsidR="00171A61" w:rsidRPr="00923E16" w:rsidRDefault="00171A61" w:rsidP="00923E16">
      <w:pPr>
        <w:spacing w:line="240" w:lineRule="auto"/>
        <w:rPr>
          <w:rFonts w:eastAsiaTheme="minorEastAsia"/>
        </w:rPr>
      </w:pPr>
    </w:p>
    <w:sectPr w:rsidR="00171A61" w:rsidRPr="00923E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860D5" w14:textId="77777777" w:rsidR="00921E74" w:rsidRDefault="00921E74">
      <w:pPr>
        <w:spacing w:after="0" w:line="240" w:lineRule="auto"/>
      </w:pPr>
      <w:r>
        <w:separator/>
      </w:r>
    </w:p>
  </w:endnote>
  <w:endnote w:type="continuationSeparator" w:id="0">
    <w:p w14:paraId="7EB0930B" w14:textId="77777777" w:rsidR="00921E74" w:rsidRDefault="00921E74">
      <w:pPr>
        <w:spacing w:after="0" w:line="240" w:lineRule="auto"/>
      </w:pPr>
      <w:r>
        <w:continuationSeparator/>
      </w:r>
    </w:p>
  </w:endnote>
  <w:endnote w:type="continuationNotice" w:id="1">
    <w:p w14:paraId="1E8E4B58" w14:textId="77777777" w:rsidR="00921E74" w:rsidRDefault="00921E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29653"/>
      <w:docPartObj>
        <w:docPartGallery w:val="Page Numbers (Bottom of Page)"/>
        <w:docPartUnique/>
      </w:docPartObj>
    </w:sdtPr>
    <w:sdtEndPr>
      <w:rPr>
        <w:noProof/>
      </w:rPr>
    </w:sdtEndPr>
    <w:sdtContent>
      <w:p w14:paraId="1DD96026" w14:textId="3B13A181" w:rsidR="009D56B2" w:rsidRDefault="009D56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D5F52E" w14:textId="77777777" w:rsidR="004852B9" w:rsidRDefault="00485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3178C" w14:textId="77777777" w:rsidR="004852B9" w:rsidRPr="009077F2" w:rsidRDefault="004852B9">
    <w:pPr>
      <w:pStyle w:val="Footer"/>
      <w:jc w:val="center"/>
      <w:rPr>
        <w:sz w:val="20"/>
        <w:szCs w:val="20"/>
      </w:rPr>
    </w:pPr>
  </w:p>
  <w:p w14:paraId="3E8B317F" w14:textId="77777777" w:rsidR="004852B9" w:rsidRDefault="00485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54DC7" w14:textId="77777777" w:rsidR="00921E74" w:rsidRDefault="00921E74">
      <w:pPr>
        <w:spacing w:after="0" w:line="240" w:lineRule="auto"/>
      </w:pPr>
      <w:r>
        <w:separator/>
      </w:r>
    </w:p>
  </w:footnote>
  <w:footnote w:type="continuationSeparator" w:id="0">
    <w:p w14:paraId="2CE409C0" w14:textId="77777777" w:rsidR="00921E74" w:rsidRDefault="00921E74">
      <w:pPr>
        <w:spacing w:after="0" w:line="240" w:lineRule="auto"/>
      </w:pPr>
      <w:r>
        <w:continuationSeparator/>
      </w:r>
    </w:p>
  </w:footnote>
  <w:footnote w:type="continuationNotice" w:id="1">
    <w:p w14:paraId="77E56284" w14:textId="77777777" w:rsidR="00921E74" w:rsidRDefault="00921E74">
      <w:pPr>
        <w:spacing w:after="0" w:line="240" w:lineRule="auto"/>
      </w:pPr>
    </w:p>
  </w:footnote>
  <w:footnote w:id="2">
    <w:p w14:paraId="3DDF59D0" w14:textId="7EA3113B" w:rsidR="00106568" w:rsidRPr="00BA0C30" w:rsidRDefault="00106568">
      <w:pPr>
        <w:pStyle w:val="FootnoteText"/>
        <w:rPr>
          <w:rFonts w:cstheme="minorHAnsi"/>
          <w:sz w:val="18"/>
          <w:szCs w:val="18"/>
        </w:rPr>
      </w:pPr>
      <w:r w:rsidRPr="00BA0C30">
        <w:rPr>
          <w:rStyle w:val="FootnoteReference"/>
          <w:rFonts w:cstheme="minorHAnsi"/>
          <w:sz w:val="18"/>
          <w:szCs w:val="18"/>
        </w:rPr>
        <w:footnoteRef/>
      </w:r>
      <w:r w:rsidRPr="00BA0C30">
        <w:rPr>
          <w:rFonts w:cstheme="minorHAnsi"/>
          <w:sz w:val="18"/>
          <w:szCs w:val="18"/>
        </w:rPr>
        <w:t xml:space="preserve"> Letter dated </w:t>
      </w:r>
      <w:r w:rsidR="00C323E2" w:rsidRPr="00BA0C30">
        <w:rPr>
          <w:rFonts w:cstheme="minorHAnsi"/>
          <w:sz w:val="18"/>
          <w:szCs w:val="18"/>
        </w:rPr>
        <w:t>11 November 2020</w:t>
      </w:r>
      <w:r w:rsidRPr="00BA0C30">
        <w:rPr>
          <w:rFonts w:cstheme="minorHAnsi"/>
          <w:sz w:val="18"/>
          <w:szCs w:val="18"/>
        </w:rPr>
        <w:t xml:space="preserve"> from EE</w:t>
      </w:r>
      <w:r w:rsidR="00C323E2" w:rsidRPr="00BA0C30">
        <w:rPr>
          <w:rFonts w:cstheme="minorHAnsi"/>
          <w:sz w:val="18"/>
          <w:szCs w:val="18"/>
        </w:rPr>
        <w:t>O</w:t>
      </w:r>
      <w:r w:rsidRPr="00BA0C30">
        <w:rPr>
          <w:rFonts w:cstheme="minorHAnsi"/>
          <w:sz w:val="18"/>
          <w:szCs w:val="18"/>
        </w:rPr>
        <w:t xml:space="preserve"> Commissioner to Minister of Immigration</w:t>
      </w:r>
      <w:r w:rsidR="00C323E2" w:rsidRPr="00BA0C30">
        <w:rPr>
          <w:rFonts w:cstheme="minorHAnsi"/>
          <w:sz w:val="18"/>
          <w:szCs w:val="18"/>
        </w:rPr>
        <w:t xml:space="preserve">, Hon Kris </w:t>
      </w:r>
      <w:proofErr w:type="spellStart"/>
      <w:r w:rsidR="00C323E2" w:rsidRPr="00BA0C30">
        <w:rPr>
          <w:rFonts w:cstheme="minorHAnsi"/>
          <w:sz w:val="18"/>
          <w:szCs w:val="18"/>
        </w:rPr>
        <w:t>Faafoi</w:t>
      </w:r>
      <w:proofErr w:type="spellEnd"/>
      <w:r w:rsidR="00061C6F" w:rsidRPr="00BA0C30">
        <w:rPr>
          <w:rFonts w:cstheme="minorHAnsi"/>
          <w:sz w:val="18"/>
          <w:szCs w:val="18"/>
        </w:rPr>
        <w:t>.</w:t>
      </w:r>
    </w:p>
  </w:footnote>
  <w:footnote w:id="3">
    <w:p w14:paraId="305D5B28" w14:textId="713F3E45" w:rsidR="002C56A6" w:rsidRPr="00BA0C30" w:rsidRDefault="002C56A6">
      <w:pPr>
        <w:pStyle w:val="FootnoteText"/>
        <w:rPr>
          <w:rFonts w:cstheme="minorHAnsi"/>
          <w:sz w:val="18"/>
          <w:szCs w:val="18"/>
        </w:rPr>
      </w:pPr>
      <w:r w:rsidRPr="00BA0C30">
        <w:rPr>
          <w:rStyle w:val="FootnoteReference"/>
          <w:rFonts w:cstheme="minorHAnsi"/>
          <w:sz w:val="18"/>
          <w:szCs w:val="18"/>
        </w:rPr>
        <w:footnoteRef/>
      </w:r>
      <w:r w:rsidRPr="00BA0C30">
        <w:rPr>
          <w:rFonts w:cstheme="minorHAnsi"/>
          <w:sz w:val="18"/>
          <w:szCs w:val="18"/>
        </w:rPr>
        <w:t xml:space="preserve"> </w:t>
      </w:r>
      <w:r w:rsidR="006B5DD8" w:rsidRPr="00BA0C30">
        <w:rPr>
          <w:rFonts w:cstheme="minorHAnsi"/>
          <w:sz w:val="18"/>
          <w:szCs w:val="18"/>
        </w:rPr>
        <w:t>Briefing on the performance of the Family Violence and Sexual Violence joint venture, p</w:t>
      </w:r>
      <w:r w:rsidR="009C50A6" w:rsidRPr="00BA0C30">
        <w:rPr>
          <w:rFonts w:cstheme="minorHAnsi"/>
          <w:sz w:val="18"/>
          <w:szCs w:val="18"/>
        </w:rPr>
        <w:t>. 4</w:t>
      </w:r>
      <w:r w:rsidR="00F07050" w:rsidRPr="00BA0C30">
        <w:rPr>
          <w:rFonts w:cstheme="minorHAnsi"/>
          <w:sz w:val="18"/>
          <w:szCs w:val="18"/>
        </w:rPr>
        <w:t xml:space="preserve"> (August 2020) </w:t>
      </w:r>
      <w:hyperlink r:id="rId1" w:history="1">
        <w:r w:rsidR="00F07050" w:rsidRPr="00BA0C30">
          <w:rPr>
            <w:rStyle w:val="Hyperlink"/>
            <w:rFonts w:cstheme="minorHAnsi"/>
            <w:sz w:val="18"/>
            <w:szCs w:val="18"/>
          </w:rPr>
          <w:t>https://www.parliament.nz/resource/en-NZ/SCR_99876/68803d2bb3c2f80fcb2d9f6f4cc0c69dd3d9fe16</w:t>
        </w:r>
      </w:hyperlink>
      <w:r w:rsidR="00F07050" w:rsidRPr="00BA0C30">
        <w:rPr>
          <w:rFonts w:cstheme="minorHAnsi"/>
          <w:sz w:val="18"/>
          <w:szCs w:val="18"/>
        </w:rPr>
        <w:t xml:space="preserve"> </w:t>
      </w:r>
    </w:p>
  </w:footnote>
  <w:footnote w:id="4">
    <w:p w14:paraId="19DE825B" w14:textId="267C14C1" w:rsidR="00F9419D" w:rsidRPr="00BA0C30" w:rsidRDefault="00F9419D" w:rsidP="00C11472">
      <w:pPr>
        <w:pStyle w:val="Default"/>
        <w:rPr>
          <w:rFonts w:asciiTheme="minorHAnsi" w:hAnsiTheme="minorHAnsi" w:cstheme="minorHAnsi"/>
          <w:sz w:val="18"/>
          <w:szCs w:val="18"/>
        </w:rPr>
      </w:pPr>
      <w:r w:rsidRPr="00BA0C30">
        <w:rPr>
          <w:rStyle w:val="FootnoteReference"/>
          <w:rFonts w:asciiTheme="minorHAnsi" w:hAnsiTheme="minorHAnsi" w:cstheme="minorHAnsi"/>
          <w:sz w:val="18"/>
          <w:szCs w:val="18"/>
        </w:rPr>
        <w:footnoteRef/>
      </w:r>
      <w:r w:rsidRPr="00BA0C30">
        <w:rPr>
          <w:rFonts w:asciiTheme="minorHAnsi" w:hAnsiTheme="minorHAnsi" w:cstheme="minorHAnsi"/>
          <w:sz w:val="18"/>
          <w:szCs w:val="18"/>
        </w:rPr>
        <w:t xml:space="preserve"> </w:t>
      </w:r>
      <w:r w:rsidR="00C11472" w:rsidRPr="00BA0C30">
        <w:rPr>
          <w:rFonts w:asciiTheme="minorHAnsi" w:hAnsiTheme="minorHAnsi" w:cstheme="minorHAnsi"/>
          <w:sz w:val="18"/>
          <w:szCs w:val="18"/>
        </w:rPr>
        <w:t xml:space="preserve">See </w:t>
      </w:r>
      <w:hyperlink r:id="rId2" w:history="1">
        <w:r w:rsidR="00C11472" w:rsidRPr="00BA0C30">
          <w:rPr>
            <w:rStyle w:val="Hyperlink"/>
            <w:rFonts w:asciiTheme="minorHAnsi" w:hAnsiTheme="minorHAnsi" w:cstheme="minorHAnsi"/>
            <w:sz w:val="18"/>
            <w:szCs w:val="18"/>
          </w:rPr>
          <w:t>https://www.newsroom.co.nz/pro/family-and-sexual-violence-strategy-on-the-way</w:t>
        </w:r>
      </w:hyperlink>
    </w:p>
  </w:footnote>
  <w:footnote w:id="5">
    <w:p w14:paraId="312561D8" w14:textId="1BEF726D" w:rsidR="00A91A44" w:rsidRPr="00BA0C30" w:rsidRDefault="00A91A44" w:rsidP="00A91A44">
      <w:pPr>
        <w:pStyle w:val="FootnoteText"/>
        <w:rPr>
          <w:rFonts w:cstheme="minorHAnsi"/>
          <w:sz w:val="18"/>
          <w:szCs w:val="18"/>
          <w:lang w:val="mi-NZ"/>
        </w:rPr>
      </w:pPr>
      <w:r w:rsidRPr="00BA0C30">
        <w:rPr>
          <w:rStyle w:val="FootnoteReference"/>
          <w:rFonts w:cstheme="minorHAnsi"/>
          <w:sz w:val="18"/>
          <w:szCs w:val="18"/>
        </w:rPr>
        <w:footnoteRef/>
      </w:r>
      <w:r w:rsidRPr="00BA0C30">
        <w:rPr>
          <w:rFonts w:cstheme="minorHAnsi"/>
          <w:sz w:val="18"/>
          <w:szCs w:val="18"/>
        </w:rPr>
        <w:t xml:space="preserve"> This position is discussed at length in the Commission’s 2013 submission to the Constitutional Advisory Panel, available at </w:t>
      </w:r>
      <w:hyperlink r:id="rId3" w:history="1">
        <w:r w:rsidRPr="00BA0C30">
          <w:rPr>
            <w:rStyle w:val="Hyperlink"/>
            <w:rFonts w:cstheme="minorHAnsi"/>
            <w:sz w:val="18"/>
            <w:szCs w:val="18"/>
          </w:rPr>
          <w:t>https://www.hrc.co.nz/our-work/indigenous-rights/our-work/review-new-zealands-constitutional-arrangements/</w:t>
        </w:r>
      </w:hyperlink>
      <w:r w:rsidR="006D076A" w:rsidRPr="00BA0C30">
        <w:rPr>
          <w:rFonts w:cstheme="minorHAnsi"/>
          <w:sz w:val="18"/>
          <w:szCs w:val="18"/>
        </w:rPr>
        <w:t xml:space="preserve"> </w:t>
      </w:r>
    </w:p>
  </w:footnote>
  <w:footnote w:id="6">
    <w:p w14:paraId="49967D46" w14:textId="11F8B5C3" w:rsidR="00AC7507" w:rsidRPr="00BA0C30" w:rsidRDefault="00AC7507">
      <w:pPr>
        <w:pStyle w:val="FootnoteText"/>
        <w:rPr>
          <w:rFonts w:cstheme="minorHAnsi"/>
          <w:sz w:val="18"/>
          <w:szCs w:val="18"/>
          <w:lang w:val="mi-NZ"/>
        </w:rPr>
      </w:pPr>
      <w:r w:rsidRPr="00BA0C30">
        <w:rPr>
          <w:rStyle w:val="FootnoteReference"/>
          <w:rFonts w:cstheme="minorHAnsi"/>
          <w:sz w:val="18"/>
          <w:szCs w:val="18"/>
        </w:rPr>
        <w:footnoteRef/>
      </w:r>
      <w:r w:rsidRPr="00BA0C30">
        <w:rPr>
          <w:rFonts w:cstheme="minorHAnsi"/>
          <w:sz w:val="18"/>
          <w:szCs w:val="18"/>
        </w:rPr>
        <w:t xml:space="preserve"> The Waitangi Tribunal is a standing commission of inquiry. It makes recommendations on claims brought by Māori relating to legislation, policies, </w:t>
      </w:r>
      <w:proofErr w:type="gramStart"/>
      <w:r w:rsidRPr="00BA0C30">
        <w:rPr>
          <w:rFonts w:cstheme="minorHAnsi"/>
          <w:sz w:val="18"/>
          <w:szCs w:val="18"/>
        </w:rPr>
        <w:t>actions</w:t>
      </w:r>
      <w:proofErr w:type="gramEnd"/>
      <w:r w:rsidRPr="00BA0C30">
        <w:rPr>
          <w:rFonts w:cstheme="minorHAnsi"/>
          <w:sz w:val="18"/>
          <w:szCs w:val="18"/>
        </w:rPr>
        <w:t xml:space="preserve"> or omissions of the Crown that are alleged to breach the promises made in the Treaty of Waitangi.</w:t>
      </w:r>
    </w:p>
  </w:footnote>
  <w:footnote w:id="7">
    <w:p w14:paraId="02277A2F" w14:textId="5BE1C387" w:rsidR="00A91A44" w:rsidRPr="00BA0C30" w:rsidRDefault="00A91A44" w:rsidP="00A91A44">
      <w:pPr>
        <w:pStyle w:val="FootnoteText"/>
        <w:rPr>
          <w:rFonts w:cstheme="minorHAnsi"/>
          <w:sz w:val="18"/>
          <w:szCs w:val="18"/>
          <w:lang w:val="mi-NZ"/>
        </w:rPr>
      </w:pPr>
      <w:r w:rsidRPr="00BA0C30">
        <w:rPr>
          <w:rStyle w:val="FootnoteReference"/>
          <w:rFonts w:cstheme="minorHAnsi"/>
          <w:sz w:val="18"/>
          <w:szCs w:val="18"/>
        </w:rPr>
        <w:footnoteRef/>
      </w:r>
      <w:r w:rsidRPr="00BA0C30">
        <w:rPr>
          <w:rFonts w:cstheme="minorHAnsi"/>
          <w:sz w:val="18"/>
          <w:szCs w:val="18"/>
        </w:rPr>
        <w:t xml:space="preserve"> Waitangi Tribunal (2015), </w:t>
      </w:r>
      <w:proofErr w:type="spellStart"/>
      <w:r w:rsidRPr="00BA0C30">
        <w:rPr>
          <w:rFonts w:cstheme="minorHAnsi"/>
          <w:i/>
          <w:iCs/>
          <w:sz w:val="18"/>
          <w:szCs w:val="18"/>
        </w:rPr>
        <w:t>Whāia</w:t>
      </w:r>
      <w:proofErr w:type="spellEnd"/>
      <w:r w:rsidRPr="00BA0C30">
        <w:rPr>
          <w:rFonts w:cstheme="minorHAnsi"/>
          <w:i/>
          <w:iCs/>
          <w:sz w:val="18"/>
          <w:szCs w:val="18"/>
        </w:rPr>
        <w:t xml:space="preserve"> </w:t>
      </w:r>
      <w:proofErr w:type="spellStart"/>
      <w:r w:rsidRPr="00BA0C30">
        <w:rPr>
          <w:rFonts w:cstheme="minorHAnsi"/>
          <w:i/>
          <w:iCs/>
          <w:sz w:val="18"/>
          <w:szCs w:val="18"/>
        </w:rPr>
        <w:t>te</w:t>
      </w:r>
      <w:proofErr w:type="spellEnd"/>
      <w:r w:rsidRPr="00BA0C30">
        <w:rPr>
          <w:rFonts w:cstheme="minorHAnsi"/>
          <w:i/>
          <w:iCs/>
          <w:sz w:val="18"/>
          <w:szCs w:val="18"/>
        </w:rPr>
        <w:t xml:space="preserve"> Mana Motuhake: Report on the Māori Community Development Act Claim, </w:t>
      </w:r>
      <w:r w:rsidRPr="00BA0C30">
        <w:rPr>
          <w:rFonts w:cstheme="minorHAnsi"/>
          <w:sz w:val="18"/>
          <w:szCs w:val="18"/>
        </w:rPr>
        <w:t xml:space="preserve">Wai 2417, at p 26. </w:t>
      </w:r>
    </w:p>
  </w:footnote>
  <w:footnote w:id="8">
    <w:p w14:paraId="0F1FE155" w14:textId="6AA3691F" w:rsidR="009D56B2" w:rsidRPr="00BA0C30" w:rsidRDefault="009D56B2" w:rsidP="009D56B2">
      <w:pPr>
        <w:pStyle w:val="FootnoteText"/>
        <w:rPr>
          <w:rFonts w:cstheme="minorHAnsi"/>
          <w:sz w:val="18"/>
          <w:szCs w:val="18"/>
          <w:lang w:val="mi-NZ"/>
        </w:rPr>
      </w:pPr>
      <w:r w:rsidRPr="00BA0C30">
        <w:rPr>
          <w:rStyle w:val="FootnoteReference"/>
          <w:rFonts w:cstheme="minorHAnsi"/>
          <w:sz w:val="18"/>
          <w:szCs w:val="18"/>
        </w:rPr>
        <w:footnoteRef/>
      </w:r>
      <w:r w:rsidRPr="00BA0C30">
        <w:rPr>
          <w:rFonts w:cstheme="minorHAnsi"/>
          <w:sz w:val="18"/>
          <w:szCs w:val="18"/>
        </w:rPr>
        <w:t xml:space="preserve"> </w:t>
      </w:r>
      <w:r w:rsidRPr="00BA0C30">
        <w:rPr>
          <w:rFonts w:cstheme="minorHAnsi"/>
          <w:i/>
          <w:iCs/>
          <w:sz w:val="18"/>
          <w:szCs w:val="18"/>
        </w:rPr>
        <w:t xml:space="preserve">NZ Crime and Victims Survey- filling the knowledge gap </w:t>
      </w:r>
      <w:r w:rsidRPr="00BA0C30">
        <w:rPr>
          <w:rFonts w:cstheme="minorHAnsi"/>
          <w:sz w:val="18"/>
          <w:szCs w:val="18"/>
        </w:rPr>
        <w:t>(</w:t>
      </w:r>
      <w:proofErr w:type="spellStart"/>
      <w:r w:rsidRPr="00BA0C30">
        <w:rPr>
          <w:rFonts w:cstheme="minorHAnsi"/>
          <w:sz w:val="18"/>
          <w:szCs w:val="18"/>
        </w:rPr>
        <w:t>Oranga</w:t>
      </w:r>
      <w:proofErr w:type="spellEnd"/>
      <w:r w:rsidRPr="00BA0C30">
        <w:rPr>
          <w:rFonts w:cstheme="minorHAnsi"/>
          <w:sz w:val="18"/>
          <w:szCs w:val="18"/>
        </w:rPr>
        <w:t xml:space="preserve"> Tamariki Evidence Centre, 2 July 2019) </w:t>
      </w:r>
      <w:hyperlink r:id="rId4" w:history="1">
        <w:r w:rsidRPr="00BA0C30">
          <w:rPr>
            <w:rStyle w:val="Hyperlink"/>
            <w:rFonts w:cstheme="minorHAnsi"/>
            <w:sz w:val="18"/>
            <w:szCs w:val="18"/>
          </w:rPr>
          <w:t>https://www.orangatamariki.govt.nz/assets/Uploads/Research/Research-seminars/August-2019-seminar/NZ-Crime-and-Victims-Survey-Dr-Michael-Slyuzberg.pdf</w:t>
        </w:r>
      </w:hyperlink>
      <w:r w:rsidRPr="00BA0C30">
        <w:rPr>
          <w:rFonts w:cstheme="minorHAnsi"/>
          <w:color w:val="0462C1"/>
          <w:sz w:val="18"/>
          <w:szCs w:val="18"/>
        </w:rPr>
        <w:t xml:space="preserve"> </w:t>
      </w:r>
    </w:p>
  </w:footnote>
  <w:footnote w:id="9">
    <w:p w14:paraId="4FED2584" w14:textId="639BAD65" w:rsidR="009360A5" w:rsidRPr="00BA0C30" w:rsidRDefault="009360A5" w:rsidP="009360A5">
      <w:pPr>
        <w:pStyle w:val="FootnoteText"/>
        <w:rPr>
          <w:rFonts w:cstheme="minorHAnsi"/>
          <w:sz w:val="18"/>
          <w:szCs w:val="18"/>
        </w:rPr>
      </w:pPr>
      <w:r w:rsidRPr="00BA0C30">
        <w:rPr>
          <w:rStyle w:val="FootnoteReference"/>
          <w:rFonts w:cstheme="minorHAnsi"/>
          <w:sz w:val="18"/>
          <w:szCs w:val="18"/>
        </w:rPr>
        <w:footnoteRef/>
      </w:r>
      <w:r w:rsidRPr="00BA0C30">
        <w:rPr>
          <w:rFonts w:cstheme="minorHAnsi"/>
          <w:sz w:val="18"/>
          <w:szCs w:val="18"/>
        </w:rPr>
        <w:t xml:space="preserve"> </w:t>
      </w:r>
      <w:r w:rsidR="00E95E4D" w:rsidRPr="00BA0C30">
        <w:rPr>
          <w:rFonts w:cstheme="minorHAnsi"/>
          <w:sz w:val="18"/>
          <w:szCs w:val="18"/>
        </w:rPr>
        <w:t xml:space="preserve">See </w:t>
      </w:r>
      <w:hyperlink r:id="rId5" w:history="1">
        <w:r w:rsidR="00E95E4D" w:rsidRPr="00BA0C30">
          <w:rPr>
            <w:rStyle w:val="Hyperlink"/>
            <w:rFonts w:cstheme="minorHAnsi"/>
            <w:sz w:val="18"/>
            <w:szCs w:val="18"/>
          </w:rPr>
          <w:t>https://www.justice.govt.nz/assets/Documents/Publications/sf79dq-Sexual-violence-victimisations-attrition-and-progression-report-v1.0.pdf</w:t>
        </w:r>
      </w:hyperlink>
      <w:r w:rsidRPr="00BA0C30">
        <w:rPr>
          <w:rFonts w:cstheme="minorHAnsi"/>
          <w:sz w:val="18"/>
          <w:szCs w:val="18"/>
        </w:rPr>
        <w:t xml:space="preserve"> </w:t>
      </w:r>
    </w:p>
  </w:footnote>
  <w:footnote w:id="10">
    <w:p w14:paraId="23F921DD" w14:textId="63F21E32" w:rsidR="004177D5" w:rsidRPr="00BA0C30" w:rsidRDefault="004177D5">
      <w:pPr>
        <w:pStyle w:val="FootnoteText"/>
        <w:rPr>
          <w:rFonts w:cstheme="minorHAnsi"/>
          <w:sz w:val="18"/>
          <w:szCs w:val="18"/>
        </w:rPr>
      </w:pPr>
      <w:r w:rsidRPr="00BA0C30">
        <w:rPr>
          <w:rStyle w:val="FootnoteReference"/>
          <w:rFonts w:cstheme="minorHAnsi"/>
          <w:sz w:val="18"/>
          <w:szCs w:val="18"/>
        </w:rPr>
        <w:footnoteRef/>
      </w:r>
      <w:r w:rsidRPr="00BA0C30">
        <w:rPr>
          <w:rFonts w:cstheme="minorHAnsi"/>
          <w:sz w:val="18"/>
          <w:szCs w:val="18"/>
        </w:rPr>
        <w:t xml:space="preserve"> </w:t>
      </w:r>
      <w:r w:rsidR="008411DA" w:rsidRPr="00BA0C30">
        <w:rPr>
          <w:rFonts w:cstheme="minorHAnsi"/>
          <w:sz w:val="18"/>
          <w:szCs w:val="18"/>
        </w:rPr>
        <w:t xml:space="preserve">See full submission here: </w:t>
      </w:r>
      <w:hyperlink r:id="rId6" w:history="1">
        <w:r w:rsidR="00B71D23" w:rsidRPr="00BA0C30">
          <w:rPr>
            <w:rStyle w:val="Hyperlink"/>
            <w:rFonts w:cstheme="minorHAnsi"/>
            <w:sz w:val="18"/>
            <w:szCs w:val="18"/>
          </w:rPr>
          <w:t>https://www.hrc.co.nz/files/5515/9468/2462/FINAL_HRC_Submission_to_the_Special_Rapporteur_on_womens_rights.pdf</w:t>
        </w:r>
      </w:hyperlink>
      <w:r w:rsidRPr="00BA0C30">
        <w:rPr>
          <w:rFonts w:cstheme="minorHAnsi"/>
          <w:sz w:val="18"/>
          <w:szCs w:val="18"/>
        </w:rPr>
        <w:t xml:space="preserve"> </w:t>
      </w:r>
    </w:p>
  </w:footnote>
  <w:footnote w:id="11">
    <w:p w14:paraId="7130CD62" w14:textId="2D5C9B89" w:rsidR="00875D03" w:rsidRPr="00BA0C30" w:rsidRDefault="00875D03">
      <w:pPr>
        <w:pStyle w:val="FootnoteText"/>
        <w:rPr>
          <w:rFonts w:cstheme="minorHAnsi"/>
          <w:sz w:val="18"/>
          <w:szCs w:val="18"/>
        </w:rPr>
      </w:pPr>
      <w:r w:rsidRPr="00BA0C30">
        <w:rPr>
          <w:rStyle w:val="FootnoteReference"/>
          <w:rFonts w:cstheme="minorHAnsi"/>
          <w:sz w:val="18"/>
          <w:szCs w:val="18"/>
        </w:rPr>
        <w:footnoteRef/>
      </w:r>
      <w:r w:rsidRPr="00BA0C30">
        <w:rPr>
          <w:rFonts w:cstheme="minorHAnsi"/>
          <w:sz w:val="18"/>
          <w:szCs w:val="18"/>
        </w:rPr>
        <w:t xml:space="preserve"> </w:t>
      </w:r>
      <w:r w:rsidR="000221AB" w:rsidRPr="00BA0C30">
        <w:rPr>
          <w:rFonts w:cstheme="minorHAnsi"/>
          <w:sz w:val="18"/>
          <w:szCs w:val="18"/>
        </w:rPr>
        <w:t>Para 150.</w:t>
      </w:r>
    </w:p>
  </w:footnote>
  <w:footnote w:id="12">
    <w:p w14:paraId="72293D1D" w14:textId="37F2EEF1" w:rsidR="000221AB" w:rsidRPr="00BA0C30" w:rsidRDefault="000221AB">
      <w:pPr>
        <w:pStyle w:val="FootnoteText"/>
        <w:rPr>
          <w:rFonts w:cstheme="minorHAnsi"/>
          <w:sz w:val="18"/>
          <w:szCs w:val="18"/>
        </w:rPr>
      </w:pPr>
      <w:r w:rsidRPr="00BA0C30">
        <w:rPr>
          <w:rStyle w:val="FootnoteReference"/>
          <w:rFonts w:cstheme="minorHAnsi"/>
          <w:sz w:val="18"/>
          <w:szCs w:val="18"/>
        </w:rPr>
        <w:footnoteRef/>
      </w:r>
      <w:r w:rsidRPr="00BA0C30">
        <w:rPr>
          <w:rFonts w:cstheme="minorHAnsi"/>
          <w:sz w:val="18"/>
          <w:szCs w:val="18"/>
        </w:rPr>
        <w:t xml:space="preserve"> 1M, broadly referring to ‘mental’ disability.</w:t>
      </w:r>
    </w:p>
  </w:footnote>
  <w:footnote w:id="13">
    <w:p w14:paraId="17401162" w14:textId="3AD6EB34" w:rsidR="00097475" w:rsidRPr="00BA0C30" w:rsidRDefault="00097475">
      <w:pPr>
        <w:pStyle w:val="FootnoteText"/>
        <w:rPr>
          <w:rFonts w:cstheme="minorHAnsi"/>
          <w:sz w:val="18"/>
          <w:szCs w:val="18"/>
        </w:rPr>
      </w:pPr>
      <w:r w:rsidRPr="00BA0C30">
        <w:rPr>
          <w:rStyle w:val="FootnoteReference"/>
          <w:rFonts w:cstheme="minorHAnsi"/>
          <w:sz w:val="18"/>
          <w:szCs w:val="18"/>
        </w:rPr>
        <w:footnoteRef/>
      </w:r>
      <w:r w:rsidR="008411DA" w:rsidRPr="00BA0C30">
        <w:rPr>
          <w:rFonts w:cstheme="minorHAnsi"/>
          <w:sz w:val="18"/>
          <w:szCs w:val="18"/>
        </w:rPr>
        <w:t xml:space="preserve"> See the Bill here:</w:t>
      </w:r>
      <w:r w:rsidRPr="00BA0C30">
        <w:rPr>
          <w:rFonts w:cstheme="minorHAnsi"/>
          <w:sz w:val="18"/>
          <w:szCs w:val="18"/>
        </w:rPr>
        <w:t xml:space="preserve"> </w:t>
      </w:r>
      <w:hyperlink r:id="rId7" w:history="1">
        <w:r w:rsidR="008411DA" w:rsidRPr="00BA0C30">
          <w:rPr>
            <w:rStyle w:val="Hyperlink"/>
            <w:rFonts w:cstheme="minorHAnsi"/>
            <w:sz w:val="18"/>
            <w:szCs w:val="18"/>
          </w:rPr>
          <w:t>https://www.parliament.nz/en/pb/bills-and-laws/bills-proposed-laws/document/BILL_99649/contraception-sterilisation-and-abortion-safe-areas</w:t>
        </w:r>
      </w:hyperlink>
      <w:r w:rsidR="008411DA" w:rsidRPr="00BA0C30">
        <w:rPr>
          <w:rFonts w:cstheme="minorHAnsi"/>
          <w:sz w:val="18"/>
          <w:szCs w:val="18"/>
        </w:rPr>
        <w:t xml:space="preserve"> </w:t>
      </w:r>
    </w:p>
  </w:footnote>
  <w:footnote w:id="14">
    <w:p w14:paraId="4CF8378E" w14:textId="3DD7BDB6" w:rsidR="00254041" w:rsidRPr="00BA0C30" w:rsidRDefault="00254041">
      <w:pPr>
        <w:pStyle w:val="FootnoteText"/>
        <w:rPr>
          <w:rFonts w:cstheme="minorHAnsi"/>
          <w:sz w:val="18"/>
          <w:szCs w:val="18"/>
        </w:rPr>
      </w:pPr>
      <w:r w:rsidRPr="00BA0C30">
        <w:rPr>
          <w:rStyle w:val="FootnoteReference"/>
          <w:rFonts w:cstheme="minorHAnsi"/>
          <w:sz w:val="18"/>
          <w:szCs w:val="18"/>
        </w:rPr>
        <w:footnoteRef/>
      </w:r>
      <w:r w:rsidRPr="00BA0C30">
        <w:rPr>
          <w:rFonts w:cstheme="minorHAnsi"/>
          <w:sz w:val="18"/>
          <w:szCs w:val="18"/>
        </w:rPr>
        <w:t xml:space="preserve"> </w:t>
      </w:r>
      <w:r w:rsidR="00830478" w:rsidRPr="00BA0C30">
        <w:rPr>
          <w:rFonts w:cstheme="minorHAnsi"/>
          <w:sz w:val="18"/>
          <w:szCs w:val="18"/>
        </w:rPr>
        <w:t>See summary of findings here:</w:t>
      </w:r>
      <w:r w:rsidRPr="00BA0C30">
        <w:rPr>
          <w:rFonts w:cstheme="minorHAnsi"/>
          <w:sz w:val="18"/>
          <w:szCs w:val="18"/>
        </w:rPr>
        <w:t xml:space="preserve"> </w:t>
      </w:r>
      <w:hyperlink r:id="rId8" w:history="1">
        <w:r w:rsidR="008411DA" w:rsidRPr="00BA0C30">
          <w:rPr>
            <w:rStyle w:val="Hyperlink"/>
            <w:rFonts w:cstheme="minorHAnsi"/>
            <w:sz w:val="18"/>
            <w:szCs w:val="18"/>
          </w:rPr>
          <w:t>https://www.health.govt.nz/system/files/documents/pages/abortion-services-summary-dhb-quarterly-survey-responses-dec20.pdf</w:t>
        </w:r>
      </w:hyperlink>
      <w:r w:rsidR="008411DA" w:rsidRPr="00BA0C30">
        <w:rPr>
          <w:rFonts w:cstheme="minorHAnsi"/>
          <w:sz w:val="18"/>
          <w:szCs w:val="18"/>
        </w:rPr>
        <w:t xml:space="preserve"> </w:t>
      </w:r>
    </w:p>
  </w:footnote>
  <w:footnote w:id="15">
    <w:p w14:paraId="51F75CD4" w14:textId="5913547D" w:rsidR="006B72FE" w:rsidRPr="00BA0C30" w:rsidRDefault="006B72FE">
      <w:pPr>
        <w:pStyle w:val="FootnoteText"/>
        <w:rPr>
          <w:rFonts w:cstheme="minorHAnsi"/>
          <w:sz w:val="18"/>
          <w:szCs w:val="18"/>
          <w:lang w:val="mi-NZ"/>
        </w:rPr>
      </w:pPr>
      <w:r w:rsidRPr="00BA0C30">
        <w:rPr>
          <w:rStyle w:val="FootnoteReference"/>
          <w:rFonts w:cstheme="minorHAnsi"/>
          <w:sz w:val="18"/>
          <w:szCs w:val="18"/>
        </w:rPr>
        <w:footnoteRef/>
      </w:r>
      <w:r w:rsidRPr="00BA0C30">
        <w:rPr>
          <w:rFonts w:cstheme="minorHAnsi"/>
          <w:sz w:val="18"/>
          <w:szCs w:val="18"/>
        </w:rPr>
        <w:t xml:space="preserve"> </w:t>
      </w:r>
      <w:hyperlink r:id="rId9" w:history="1">
        <w:r w:rsidR="00BA0C30" w:rsidRPr="00BA0C30">
          <w:rPr>
            <w:rStyle w:val="Hyperlink"/>
            <w:rFonts w:cstheme="minorHAnsi"/>
            <w:sz w:val="18"/>
            <w:szCs w:val="18"/>
          </w:rPr>
          <w:t>https://www.justice.govt.nz/assets/Documents/Publications/family-justice-reforms-final-report-independent-panel.pdf</w:t>
        </w:r>
      </w:hyperlink>
      <w:r w:rsidR="00BA0C30" w:rsidRPr="00BA0C30">
        <w:rPr>
          <w:rFonts w:cstheme="minorHAnsi"/>
          <w:sz w:val="18"/>
          <w:szCs w:val="18"/>
        </w:rPr>
        <w:t xml:space="preserve"> </w:t>
      </w:r>
    </w:p>
  </w:footnote>
  <w:footnote w:id="16">
    <w:p w14:paraId="30F39311" w14:textId="56DB4B30" w:rsidR="00460D5B" w:rsidRPr="00BA0C30" w:rsidRDefault="00460D5B">
      <w:pPr>
        <w:pStyle w:val="FootnoteText"/>
        <w:rPr>
          <w:rFonts w:cstheme="minorHAnsi"/>
          <w:sz w:val="18"/>
          <w:szCs w:val="18"/>
          <w:lang w:val="en-US"/>
        </w:rPr>
      </w:pPr>
      <w:r w:rsidRPr="00BA0C30">
        <w:rPr>
          <w:rStyle w:val="FootnoteReference"/>
          <w:rFonts w:cstheme="minorHAnsi"/>
          <w:sz w:val="18"/>
          <w:szCs w:val="18"/>
        </w:rPr>
        <w:footnoteRef/>
      </w:r>
      <w:r w:rsidRPr="00BA0C30">
        <w:rPr>
          <w:rFonts w:cstheme="minorHAnsi"/>
          <w:sz w:val="18"/>
          <w:szCs w:val="18"/>
        </w:rPr>
        <w:t xml:space="preserve"> </w:t>
      </w:r>
      <w:r w:rsidRPr="00BA0C30">
        <w:rPr>
          <w:rFonts w:eastAsiaTheme="minorEastAsia" w:cstheme="minorHAnsi"/>
          <w:sz w:val="18"/>
          <w:szCs w:val="18"/>
        </w:rPr>
        <w:t>As described in more detail in the Backbone Collective’s shadow mid-term report, July 2020 and at pages 6-7 of the Coalition for the Safety of Women and Children CEDAW shadow mid-term report, August 2019.</w:t>
      </w:r>
      <w:r w:rsidR="00655C71" w:rsidRPr="00BA0C30">
        <w:rPr>
          <w:rFonts w:eastAsiaTheme="minorEastAsia" w:cstheme="minorHAnsi"/>
          <w:sz w:val="18"/>
          <w:szCs w:val="18"/>
        </w:rPr>
        <w:t xml:space="preserve"> The Commission highlights the reports conducted by the Backbone Collective into the persistent issues of discrimination and gender-based abuse by the New Zealand Family Court, as set out in its submission to the Committee in June 2018. </w:t>
      </w:r>
    </w:p>
  </w:footnote>
  <w:footnote w:id="17">
    <w:p w14:paraId="7007E67D" w14:textId="77777777" w:rsidR="00460D5B" w:rsidRPr="00BA0C30" w:rsidRDefault="00460D5B">
      <w:pPr>
        <w:pStyle w:val="FootnoteText"/>
        <w:rPr>
          <w:rFonts w:cstheme="minorHAnsi"/>
          <w:sz w:val="18"/>
          <w:szCs w:val="18"/>
        </w:rPr>
      </w:pPr>
      <w:r w:rsidRPr="00BA0C30">
        <w:rPr>
          <w:rStyle w:val="FootnoteReference"/>
          <w:rFonts w:cstheme="minorHAnsi"/>
          <w:sz w:val="18"/>
          <w:szCs w:val="18"/>
        </w:rPr>
        <w:footnoteRef/>
      </w:r>
      <w:r w:rsidR="007D1728" w:rsidRPr="00BA0C30">
        <w:rPr>
          <w:rFonts w:cstheme="minorHAnsi"/>
          <w:sz w:val="18"/>
          <w:szCs w:val="18"/>
        </w:rPr>
        <w:t xml:space="preserve"> See Auckland Coalition for the Safety of Women and Children, Shadow Report to CEDAW, May 2018, page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9231" w14:textId="77777777" w:rsidR="004852B9" w:rsidRDefault="004852B9" w:rsidP="00B30175">
    <w:pPr>
      <w:pStyle w:val="Header"/>
      <w:tabs>
        <w:tab w:val="clear" w:pos="9026"/>
        <w:tab w:val="right" w:pos="9609"/>
      </w:tabs>
      <w:jc w:val="center"/>
      <w:rPr>
        <w:sz w:val="16"/>
        <w:lang w:val="mi-NZ"/>
      </w:rPr>
    </w:pPr>
    <w:r>
      <w:rPr>
        <w:sz w:val="16"/>
        <w:lang w:val="mi-NZ"/>
      </w:rPr>
      <w:tab/>
    </w:r>
  </w:p>
  <w:p w14:paraId="70E55EEE" w14:textId="77777777" w:rsidR="004852B9" w:rsidRPr="00A40DAC" w:rsidRDefault="004852B9" w:rsidP="00B30175">
    <w:pPr>
      <w:pStyle w:val="Header"/>
      <w:tabs>
        <w:tab w:val="clear" w:pos="9026"/>
        <w:tab w:val="right" w:pos="9609"/>
      </w:tabs>
      <w:jc w:val="center"/>
      <w:rPr>
        <w:sz w:val="16"/>
        <w:lang w:val="mi-NZ"/>
      </w:rP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92599"/>
    <w:multiLevelType w:val="hybridMultilevel"/>
    <w:tmpl w:val="485EA80E"/>
    <w:lvl w:ilvl="0" w:tplc="60064276">
      <w:start w:val="1"/>
      <w:numFmt w:val="lowerLetter"/>
      <w:lvlText w:val="%1."/>
      <w:lvlJc w:val="left"/>
      <w:pPr>
        <w:ind w:left="1080" w:hanging="360"/>
      </w:pPr>
      <w:rPr>
        <w:b w:val="0"/>
        <w:bCs w:val="0"/>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70B3168"/>
    <w:multiLevelType w:val="hybridMultilevel"/>
    <w:tmpl w:val="33F0DD30"/>
    <w:lvl w:ilvl="0" w:tplc="FFFFFFFF">
      <w:start w:val="1"/>
      <w:numFmt w:val="decimal"/>
      <w:lvlText w:val="%1."/>
      <w:lvlJc w:val="left"/>
      <w:pPr>
        <w:ind w:left="360" w:hanging="360"/>
      </w:pPr>
      <w:rPr>
        <w:b w:val="0"/>
        <w:bCs w:val="0"/>
        <w:i w:val="0"/>
        <w:iCs w:val="0"/>
        <w:sz w:val="22"/>
        <w:szCs w:val="22"/>
      </w:rPr>
    </w:lvl>
    <w:lvl w:ilvl="1" w:tplc="14090001">
      <w:start w:val="1"/>
      <w:numFmt w:val="bullet"/>
      <w:lvlText w:val=""/>
      <w:lvlJc w:val="left"/>
      <w:pPr>
        <w:ind w:left="1080" w:hanging="360"/>
      </w:pPr>
      <w:rPr>
        <w:rFonts w:ascii="Symbol" w:hAnsi="Symbol" w:hint="default"/>
        <w:b w:val="0"/>
        <w:bCs w:val="0"/>
        <w:i w:val="0"/>
        <w:iCs w:val="0"/>
      </w:rPr>
    </w:lvl>
    <w:lvl w:ilvl="2" w:tplc="A87415C8">
      <w:start w:val="1"/>
      <w:numFmt w:val="lowerLetter"/>
      <w:lvlText w:val="(%3)"/>
      <w:lvlJc w:val="left"/>
      <w:pPr>
        <w:ind w:left="1980" w:hanging="360"/>
      </w:pPr>
      <w:rPr>
        <w:rFonts w:ascii="Times New Roman" w:hAnsi="Times New Roman" w:cs="Times New Roman" w:hint="default"/>
        <w:b w:val="0"/>
        <w:color w:val="000000"/>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55F15866"/>
    <w:multiLevelType w:val="hybridMultilevel"/>
    <w:tmpl w:val="7D02408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 w15:restartNumberingAfterBreak="0">
    <w:nsid w:val="5C5901C9"/>
    <w:multiLevelType w:val="multilevel"/>
    <w:tmpl w:val="FE802B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69F2342D"/>
    <w:multiLevelType w:val="hybridMultilevel"/>
    <w:tmpl w:val="C1FA48AE"/>
    <w:lvl w:ilvl="0" w:tplc="60064276">
      <w:start w:val="1"/>
      <w:numFmt w:val="lowerLetter"/>
      <w:lvlText w:val="%1."/>
      <w:lvlJc w:val="left"/>
      <w:pPr>
        <w:ind w:left="1080" w:hanging="360"/>
      </w:pPr>
      <w:rPr>
        <w:b w:val="0"/>
        <w:bCs w:val="0"/>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3695955"/>
    <w:multiLevelType w:val="hybridMultilevel"/>
    <w:tmpl w:val="A52C119E"/>
    <w:lvl w:ilvl="0" w:tplc="60064276">
      <w:start w:val="1"/>
      <w:numFmt w:val="lowerLetter"/>
      <w:lvlText w:val="%1."/>
      <w:lvlJc w:val="left"/>
      <w:pPr>
        <w:ind w:left="1080" w:hanging="360"/>
      </w:pPr>
      <w:rPr>
        <w:b w:val="0"/>
        <w:bCs w:val="0"/>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7B93736"/>
    <w:multiLevelType w:val="hybridMultilevel"/>
    <w:tmpl w:val="4F468BF8"/>
    <w:lvl w:ilvl="0" w:tplc="9660656C">
      <w:start w:val="40"/>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15"/>
    <w:rsid w:val="00001B05"/>
    <w:rsid w:val="00002C3E"/>
    <w:rsid w:val="00003DE1"/>
    <w:rsid w:val="000066EA"/>
    <w:rsid w:val="000110A5"/>
    <w:rsid w:val="0001166E"/>
    <w:rsid w:val="00012C37"/>
    <w:rsid w:val="00014D5A"/>
    <w:rsid w:val="00015215"/>
    <w:rsid w:val="000152AF"/>
    <w:rsid w:val="00016F5C"/>
    <w:rsid w:val="000221AB"/>
    <w:rsid w:val="00022E95"/>
    <w:rsid w:val="0002317A"/>
    <w:rsid w:val="00024025"/>
    <w:rsid w:val="00024657"/>
    <w:rsid w:val="00024E76"/>
    <w:rsid w:val="00032171"/>
    <w:rsid w:val="00032257"/>
    <w:rsid w:val="00035C57"/>
    <w:rsid w:val="00040613"/>
    <w:rsid w:val="00041AE8"/>
    <w:rsid w:val="00044264"/>
    <w:rsid w:val="000458F7"/>
    <w:rsid w:val="000461E3"/>
    <w:rsid w:val="00047690"/>
    <w:rsid w:val="000548A6"/>
    <w:rsid w:val="00055566"/>
    <w:rsid w:val="00061C6F"/>
    <w:rsid w:val="00062539"/>
    <w:rsid w:val="0006455D"/>
    <w:rsid w:val="00064CC8"/>
    <w:rsid w:val="000660EB"/>
    <w:rsid w:val="000678ED"/>
    <w:rsid w:val="00067C08"/>
    <w:rsid w:val="00073137"/>
    <w:rsid w:val="00074F45"/>
    <w:rsid w:val="000754C3"/>
    <w:rsid w:val="000760EF"/>
    <w:rsid w:val="00077827"/>
    <w:rsid w:val="00083B97"/>
    <w:rsid w:val="0008789E"/>
    <w:rsid w:val="00090C27"/>
    <w:rsid w:val="000943F5"/>
    <w:rsid w:val="00094D81"/>
    <w:rsid w:val="000952F4"/>
    <w:rsid w:val="00095ECB"/>
    <w:rsid w:val="00096275"/>
    <w:rsid w:val="0009702C"/>
    <w:rsid w:val="000972D1"/>
    <w:rsid w:val="00097475"/>
    <w:rsid w:val="0009792A"/>
    <w:rsid w:val="000A63AE"/>
    <w:rsid w:val="000A7CDC"/>
    <w:rsid w:val="000B1FE1"/>
    <w:rsid w:val="000B3586"/>
    <w:rsid w:val="000B55DB"/>
    <w:rsid w:val="000B79BC"/>
    <w:rsid w:val="000C07ED"/>
    <w:rsid w:val="000C1359"/>
    <w:rsid w:val="000C1982"/>
    <w:rsid w:val="000C51C1"/>
    <w:rsid w:val="000C5E3F"/>
    <w:rsid w:val="000C68F2"/>
    <w:rsid w:val="000C720B"/>
    <w:rsid w:val="000C7877"/>
    <w:rsid w:val="000D109A"/>
    <w:rsid w:val="000D4475"/>
    <w:rsid w:val="000D5188"/>
    <w:rsid w:val="000E01D8"/>
    <w:rsid w:val="000E3708"/>
    <w:rsid w:val="000E4F42"/>
    <w:rsid w:val="000E559E"/>
    <w:rsid w:val="000E66AF"/>
    <w:rsid w:val="000F1A62"/>
    <w:rsid w:val="000F2E17"/>
    <w:rsid w:val="000F3495"/>
    <w:rsid w:val="000F60DA"/>
    <w:rsid w:val="000F6A52"/>
    <w:rsid w:val="00100C29"/>
    <w:rsid w:val="00100DD2"/>
    <w:rsid w:val="00105C7C"/>
    <w:rsid w:val="00105FFC"/>
    <w:rsid w:val="00106568"/>
    <w:rsid w:val="00107465"/>
    <w:rsid w:val="00110802"/>
    <w:rsid w:val="00114091"/>
    <w:rsid w:val="00114F99"/>
    <w:rsid w:val="00115B7A"/>
    <w:rsid w:val="00117646"/>
    <w:rsid w:val="001209B8"/>
    <w:rsid w:val="00122EA7"/>
    <w:rsid w:val="0012472C"/>
    <w:rsid w:val="00126877"/>
    <w:rsid w:val="0012711A"/>
    <w:rsid w:val="00133E15"/>
    <w:rsid w:val="00133F80"/>
    <w:rsid w:val="00134342"/>
    <w:rsid w:val="00135B11"/>
    <w:rsid w:val="001362A0"/>
    <w:rsid w:val="00140028"/>
    <w:rsid w:val="00140D5F"/>
    <w:rsid w:val="00141581"/>
    <w:rsid w:val="00152AF6"/>
    <w:rsid w:val="00152F30"/>
    <w:rsid w:val="00153262"/>
    <w:rsid w:val="0015456D"/>
    <w:rsid w:val="00154D4D"/>
    <w:rsid w:val="0015524F"/>
    <w:rsid w:val="0015622C"/>
    <w:rsid w:val="00156950"/>
    <w:rsid w:val="00156C0C"/>
    <w:rsid w:val="001621A5"/>
    <w:rsid w:val="00163806"/>
    <w:rsid w:val="0016755D"/>
    <w:rsid w:val="00170177"/>
    <w:rsid w:val="00171252"/>
    <w:rsid w:val="00171A61"/>
    <w:rsid w:val="00172D8C"/>
    <w:rsid w:val="00174176"/>
    <w:rsid w:val="0017584C"/>
    <w:rsid w:val="00175E25"/>
    <w:rsid w:val="00177E9C"/>
    <w:rsid w:val="001816E0"/>
    <w:rsid w:val="00184525"/>
    <w:rsid w:val="00191599"/>
    <w:rsid w:val="001929C3"/>
    <w:rsid w:val="00193BA1"/>
    <w:rsid w:val="001A170F"/>
    <w:rsid w:val="001A30BD"/>
    <w:rsid w:val="001A5D3D"/>
    <w:rsid w:val="001A7E25"/>
    <w:rsid w:val="001B02A0"/>
    <w:rsid w:val="001B292C"/>
    <w:rsid w:val="001B42C1"/>
    <w:rsid w:val="001B4DED"/>
    <w:rsid w:val="001C07A5"/>
    <w:rsid w:val="001C1CF0"/>
    <w:rsid w:val="001C2034"/>
    <w:rsid w:val="001C4F11"/>
    <w:rsid w:val="001C5ADB"/>
    <w:rsid w:val="001C5DE0"/>
    <w:rsid w:val="001C78B8"/>
    <w:rsid w:val="001D2B6C"/>
    <w:rsid w:val="001D6914"/>
    <w:rsid w:val="001E196C"/>
    <w:rsid w:val="001E3549"/>
    <w:rsid w:val="001E42B3"/>
    <w:rsid w:val="001E58BD"/>
    <w:rsid w:val="001F0ED7"/>
    <w:rsid w:val="001F544B"/>
    <w:rsid w:val="001F6E5C"/>
    <w:rsid w:val="002001FB"/>
    <w:rsid w:val="00201DF2"/>
    <w:rsid w:val="002036C7"/>
    <w:rsid w:val="00206865"/>
    <w:rsid w:val="00207554"/>
    <w:rsid w:val="00207E37"/>
    <w:rsid w:val="0021139A"/>
    <w:rsid w:val="00213136"/>
    <w:rsid w:val="002137DD"/>
    <w:rsid w:val="0021471F"/>
    <w:rsid w:val="00215552"/>
    <w:rsid w:val="00217888"/>
    <w:rsid w:val="00221DD9"/>
    <w:rsid w:val="00223617"/>
    <w:rsid w:val="00224E94"/>
    <w:rsid w:val="002252D1"/>
    <w:rsid w:val="00231FC9"/>
    <w:rsid w:val="00236286"/>
    <w:rsid w:val="00237F52"/>
    <w:rsid w:val="00242040"/>
    <w:rsid w:val="002425FF"/>
    <w:rsid w:val="00244C6A"/>
    <w:rsid w:val="00245096"/>
    <w:rsid w:val="00247B6A"/>
    <w:rsid w:val="00250277"/>
    <w:rsid w:val="002514EE"/>
    <w:rsid w:val="002533C6"/>
    <w:rsid w:val="00254041"/>
    <w:rsid w:val="0025465D"/>
    <w:rsid w:val="00260058"/>
    <w:rsid w:val="002606ED"/>
    <w:rsid w:val="00262407"/>
    <w:rsid w:val="00262C27"/>
    <w:rsid w:val="00264D5E"/>
    <w:rsid w:val="00266815"/>
    <w:rsid w:val="00275CC6"/>
    <w:rsid w:val="00279F7C"/>
    <w:rsid w:val="0028231D"/>
    <w:rsid w:val="002848FB"/>
    <w:rsid w:val="0029053F"/>
    <w:rsid w:val="002912C3"/>
    <w:rsid w:val="0029293F"/>
    <w:rsid w:val="002935CE"/>
    <w:rsid w:val="00297BC2"/>
    <w:rsid w:val="002A09FA"/>
    <w:rsid w:val="002A5384"/>
    <w:rsid w:val="002A5AB9"/>
    <w:rsid w:val="002B0C30"/>
    <w:rsid w:val="002B165C"/>
    <w:rsid w:val="002B1982"/>
    <w:rsid w:val="002B36F8"/>
    <w:rsid w:val="002B5B0B"/>
    <w:rsid w:val="002B5CBC"/>
    <w:rsid w:val="002B7C95"/>
    <w:rsid w:val="002C42AC"/>
    <w:rsid w:val="002C56A6"/>
    <w:rsid w:val="002C69C8"/>
    <w:rsid w:val="002D3743"/>
    <w:rsid w:val="002D50EB"/>
    <w:rsid w:val="002D7256"/>
    <w:rsid w:val="002E100A"/>
    <w:rsid w:val="002E2E4E"/>
    <w:rsid w:val="002E4667"/>
    <w:rsid w:val="002F0D30"/>
    <w:rsid w:val="002F24F1"/>
    <w:rsid w:val="00301641"/>
    <w:rsid w:val="0030191D"/>
    <w:rsid w:val="00303CF1"/>
    <w:rsid w:val="00304651"/>
    <w:rsid w:val="00304F7E"/>
    <w:rsid w:val="003100B9"/>
    <w:rsid w:val="003108A1"/>
    <w:rsid w:val="00311A40"/>
    <w:rsid w:val="003126B8"/>
    <w:rsid w:val="00313F8C"/>
    <w:rsid w:val="00314063"/>
    <w:rsid w:val="003140A9"/>
    <w:rsid w:val="0031432A"/>
    <w:rsid w:val="00314334"/>
    <w:rsid w:val="0032242A"/>
    <w:rsid w:val="00322F85"/>
    <w:rsid w:val="00325552"/>
    <w:rsid w:val="00326EB8"/>
    <w:rsid w:val="0033117D"/>
    <w:rsid w:val="00332080"/>
    <w:rsid w:val="0033373C"/>
    <w:rsid w:val="003343A2"/>
    <w:rsid w:val="00336BD2"/>
    <w:rsid w:val="00337AC5"/>
    <w:rsid w:val="00341392"/>
    <w:rsid w:val="00341FC8"/>
    <w:rsid w:val="0034389D"/>
    <w:rsid w:val="00343D0E"/>
    <w:rsid w:val="0034430E"/>
    <w:rsid w:val="00344D42"/>
    <w:rsid w:val="003461CD"/>
    <w:rsid w:val="00346F6D"/>
    <w:rsid w:val="0035084C"/>
    <w:rsid w:val="0035342C"/>
    <w:rsid w:val="00360F46"/>
    <w:rsid w:val="0036222F"/>
    <w:rsid w:val="0036513A"/>
    <w:rsid w:val="00370C61"/>
    <w:rsid w:val="00371492"/>
    <w:rsid w:val="00371E90"/>
    <w:rsid w:val="003755B3"/>
    <w:rsid w:val="003768A3"/>
    <w:rsid w:val="00377403"/>
    <w:rsid w:val="00380F10"/>
    <w:rsid w:val="0038154D"/>
    <w:rsid w:val="003873DF"/>
    <w:rsid w:val="003957D6"/>
    <w:rsid w:val="00395AAB"/>
    <w:rsid w:val="003A0497"/>
    <w:rsid w:val="003A174B"/>
    <w:rsid w:val="003A5706"/>
    <w:rsid w:val="003A5C1D"/>
    <w:rsid w:val="003A5D78"/>
    <w:rsid w:val="003A689E"/>
    <w:rsid w:val="003B208F"/>
    <w:rsid w:val="003B6D24"/>
    <w:rsid w:val="003C0F5A"/>
    <w:rsid w:val="003C19F7"/>
    <w:rsid w:val="003C2207"/>
    <w:rsid w:val="003C33A2"/>
    <w:rsid w:val="003C5463"/>
    <w:rsid w:val="003C6B7F"/>
    <w:rsid w:val="003D1EBC"/>
    <w:rsid w:val="003D31C4"/>
    <w:rsid w:val="003D7641"/>
    <w:rsid w:val="003E0EEC"/>
    <w:rsid w:val="003E2AB6"/>
    <w:rsid w:val="003E7A4D"/>
    <w:rsid w:val="003F09DB"/>
    <w:rsid w:val="003F15E7"/>
    <w:rsid w:val="003F16D9"/>
    <w:rsid w:val="003F20B6"/>
    <w:rsid w:val="003F4289"/>
    <w:rsid w:val="003F457F"/>
    <w:rsid w:val="003F54BB"/>
    <w:rsid w:val="00401E4E"/>
    <w:rsid w:val="004040D4"/>
    <w:rsid w:val="00405504"/>
    <w:rsid w:val="00405E71"/>
    <w:rsid w:val="00406667"/>
    <w:rsid w:val="00410224"/>
    <w:rsid w:val="00410A25"/>
    <w:rsid w:val="00410BDC"/>
    <w:rsid w:val="00412FC5"/>
    <w:rsid w:val="0041306B"/>
    <w:rsid w:val="004130AE"/>
    <w:rsid w:val="00414B26"/>
    <w:rsid w:val="004177D5"/>
    <w:rsid w:val="004204E6"/>
    <w:rsid w:val="00423285"/>
    <w:rsid w:val="00426402"/>
    <w:rsid w:val="00426A2F"/>
    <w:rsid w:val="00426D98"/>
    <w:rsid w:val="004311B7"/>
    <w:rsid w:val="0043146F"/>
    <w:rsid w:val="004335D1"/>
    <w:rsid w:val="00433F46"/>
    <w:rsid w:val="00434AFB"/>
    <w:rsid w:val="00437C96"/>
    <w:rsid w:val="00444932"/>
    <w:rsid w:val="00446D08"/>
    <w:rsid w:val="00446DBF"/>
    <w:rsid w:val="004500E0"/>
    <w:rsid w:val="00452094"/>
    <w:rsid w:val="00452DDE"/>
    <w:rsid w:val="00453AC4"/>
    <w:rsid w:val="00455632"/>
    <w:rsid w:val="00456C30"/>
    <w:rsid w:val="00460D5B"/>
    <w:rsid w:val="00462838"/>
    <w:rsid w:val="0046550B"/>
    <w:rsid w:val="00465F74"/>
    <w:rsid w:val="0047254C"/>
    <w:rsid w:val="00472F91"/>
    <w:rsid w:val="00473135"/>
    <w:rsid w:val="00473813"/>
    <w:rsid w:val="00476093"/>
    <w:rsid w:val="004762C2"/>
    <w:rsid w:val="004768B3"/>
    <w:rsid w:val="004821F8"/>
    <w:rsid w:val="004829CA"/>
    <w:rsid w:val="004831FB"/>
    <w:rsid w:val="004847FF"/>
    <w:rsid w:val="004852B9"/>
    <w:rsid w:val="0048665B"/>
    <w:rsid w:val="00487FA0"/>
    <w:rsid w:val="004905D9"/>
    <w:rsid w:val="0049417E"/>
    <w:rsid w:val="004A339D"/>
    <w:rsid w:val="004A3BB3"/>
    <w:rsid w:val="004A4FFF"/>
    <w:rsid w:val="004A668E"/>
    <w:rsid w:val="004A7E6C"/>
    <w:rsid w:val="004B0C3F"/>
    <w:rsid w:val="004B4E63"/>
    <w:rsid w:val="004B6718"/>
    <w:rsid w:val="004C00CB"/>
    <w:rsid w:val="004C2041"/>
    <w:rsid w:val="004C2368"/>
    <w:rsid w:val="004C327D"/>
    <w:rsid w:val="004C3506"/>
    <w:rsid w:val="004C3997"/>
    <w:rsid w:val="004C39B2"/>
    <w:rsid w:val="004C4E96"/>
    <w:rsid w:val="004C5657"/>
    <w:rsid w:val="004D0779"/>
    <w:rsid w:val="004D0B8F"/>
    <w:rsid w:val="004D2A77"/>
    <w:rsid w:val="004E0D20"/>
    <w:rsid w:val="004E39E4"/>
    <w:rsid w:val="004E4D50"/>
    <w:rsid w:val="004E53A6"/>
    <w:rsid w:val="004F0235"/>
    <w:rsid w:val="004F0DBF"/>
    <w:rsid w:val="004F5CCB"/>
    <w:rsid w:val="004F6916"/>
    <w:rsid w:val="004F7742"/>
    <w:rsid w:val="0050047B"/>
    <w:rsid w:val="005025E6"/>
    <w:rsid w:val="00502D8A"/>
    <w:rsid w:val="00510F4B"/>
    <w:rsid w:val="0051397F"/>
    <w:rsid w:val="005145AE"/>
    <w:rsid w:val="0051532F"/>
    <w:rsid w:val="00515A6E"/>
    <w:rsid w:val="00520DC7"/>
    <w:rsid w:val="005213BA"/>
    <w:rsid w:val="005245BB"/>
    <w:rsid w:val="00524A1F"/>
    <w:rsid w:val="00527721"/>
    <w:rsid w:val="00532E5E"/>
    <w:rsid w:val="00536902"/>
    <w:rsid w:val="00537DCF"/>
    <w:rsid w:val="00542043"/>
    <w:rsid w:val="00545A31"/>
    <w:rsid w:val="005470CA"/>
    <w:rsid w:val="005568FC"/>
    <w:rsid w:val="00556D52"/>
    <w:rsid w:val="005616FB"/>
    <w:rsid w:val="005676E5"/>
    <w:rsid w:val="00567D8A"/>
    <w:rsid w:val="00570F8B"/>
    <w:rsid w:val="00571B7F"/>
    <w:rsid w:val="00572A28"/>
    <w:rsid w:val="00573EC0"/>
    <w:rsid w:val="00574948"/>
    <w:rsid w:val="005821EE"/>
    <w:rsid w:val="00582842"/>
    <w:rsid w:val="00584996"/>
    <w:rsid w:val="00584CC0"/>
    <w:rsid w:val="00584D3D"/>
    <w:rsid w:val="00592E15"/>
    <w:rsid w:val="00593445"/>
    <w:rsid w:val="00593A2E"/>
    <w:rsid w:val="0059489A"/>
    <w:rsid w:val="005952BD"/>
    <w:rsid w:val="00595BFD"/>
    <w:rsid w:val="005A1023"/>
    <w:rsid w:val="005A13FE"/>
    <w:rsid w:val="005A18C1"/>
    <w:rsid w:val="005A598C"/>
    <w:rsid w:val="005A654C"/>
    <w:rsid w:val="005A7BBA"/>
    <w:rsid w:val="005B5260"/>
    <w:rsid w:val="005B58AA"/>
    <w:rsid w:val="005B6E72"/>
    <w:rsid w:val="005C1DF9"/>
    <w:rsid w:val="005C1EE9"/>
    <w:rsid w:val="005C7B80"/>
    <w:rsid w:val="005C7B87"/>
    <w:rsid w:val="005D1709"/>
    <w:rsid w:val="005D1DE7"/>
    <w:rsid w:val="005D4CE5"/>
    <w:rsid w:val="005D5D70"/>
    <w:rsid w:val="005E05DF"/>
    <w:rsid w:val="005E4E4E"/>
    <w:rsid w:val="005E7EF0"/>
    <w:rsid w:val="005F0EE6"/>
    <w:rsid w:val="005F1794"/>
    <w:rsid w:val="005F180B"/>
    <w:rsid w:val="005F2B4F"/>
    <w:rsid w:val="005F74F2"/>
    <w:rsid w:val="005F79F2"/>
    <w:rsid w:val="006017A8"/>
    <w:rsid w:val="0060348F"/>
    <w:rsid w:val="00604995"/>
    <w:rsid w:val="00604DDA"/>
    <w:rsid w:val="00605DBD"/>
    <w:rsid w:val="00607654"/>
    <w:rsid w:val="00607C5F"/>
    <w:rsid w:val="00607C71"/>
    <w:rsid w:val="0061081E"/>
    <w:rsid w:val="006128F3"/>
    <w:rsid w:val="00613D33"/>
    <w:rsid w:val="00614102"/>
    <w:rsid w:val="0061533F"/>
    <w:rsid w:val="00615FA4"/>
    <w:rsid w:val="006201F9"/>
    <w:rsid w:val="006207B3"/>
    <w:rsid w:val="0062130F"/>
    <w:rsid w:val="0062774C"/>
    <w:rsid w:val="00630BC3"/>
    <w:rsid w:val="006330D3"/>
    <w:rsid w:val="00637D49"/>
    <w:rsid w:val="00641285"/>
    <w:rsid w:val="00641A7F"/>
    <w:rsid w:val="00641F8E"/>
    <w:rsid w:val="006439D0"/>
    <w:rsid w:val="00644001"/>
    <w:rsid w:val="0064463B"/>
    <w:rsid w:val="00644995"/>
    <w:rsid w:val="00644AD9"/>
    <w:rsid w:val="006452D5"/>
    <w:rsid w:val="00651627"/>
    <w:rsid w:val="00652A63"/>
    <w:rsid w:val="00653FAA"/>
    <w:rsid w:val="0065473D"/>
    <w:rsid w:val="0065542E"/>
    <w:rsid w:val="00655C71"/>
    <w:rsid w:val="006574C7"/>
    <w:rsid w:val="00660C89"/>
    <w:rsid w:val="00663077"/>
    <w:rsid w:val="006640F4"/>
    <w:rsid w:val="00671246"/>
    <w:rsid w:val="0067327A"/>
    <w:rsid w:val="00680458"/>
    <w:rsid w:val="00682C17"/>
    <w:rsid w:val="00683512"/>
    <w:rsid w:val="00683BF5"/>
    <w:rsid w:val="00687105"/>
    <w:rsid w:val="00690202"/>
    <w:rsid w:val="0069278A"/>
    <w:rsid w:val="006A1FA0"/>
    <w:rsid w:val="006A45AA"/>
    <w:rsid w:val="006B1613"/>
    <w:rsid w:val="006B2435"/>
    <w:rsid w:val="006B3605"/>
    <w:rsid w:val="006B46C2"/>
    <w:rsid w:val="006B526C"/>
    <w:rsid w:val="006B5DD8"/>
    <w:rsid w:val="006B6CA2"/>
    <w:rsid w:val="006B72FE"/>
    <w:rsid w:val="006B75FC"/>
    <w:rsid w:val="006B7EE5"/>
    <w:rsid w:val="006C3ADE"/>
    <w:rsid w:val="006C6CF8"/>
    <w:rsid w:val="006D076A"/>
    <w:rsid w:val="006D2210"/>
    <w:rsid w:val="006D3CDA"/>
    <w:rsid w:val="006D6226"/>
    <w:rsid w:val="006D6C32"/>
    <w:rsid w:val="006E2096"/>
    <w:rsid w:val="006E29DE"/>
    <w:rsid w:val="006E2BE8"/>
    <w:rsid w:val="006E656E"/>
    <w:rsid w:val="006F1B38"/>
    <w:rsid w:val="006F280C"/>
    <w:rsid w:val="006F45C7"/>
    <w:rsid w:val="006F6C2C"/>
    <w:rsid w:val="006F753D"/>
    <w:rsid w:val="0070211F"/>
    <w:rsid w:val="00702255"/>
    <w:rsid w:val="00702FC0"/>
    <w:rsid w:val="007045D8"/>
    <w:rsid w:val="00705B9C"/>
    <w:rsid w:val="00705C27"/>
    <w:rsid w:val="00706588"/>
    <w:rsid w:val="00710D2F"/>
    <w:rsid w:val="00712622"/>
    <w:rsid w:val="00712789"/>
    <w:rsid w:val="00713905"/>
    <w:rsid w:val="00714E1D"/>
    <w:rsid w:val="00724628"/>
    <w:rsid w:val="007246F3"/>
    <w:rsid w:val="00730D08"/>
    <w:rsid w:val="00730E4B"/>
    <w:rsid w:val="00731513"/>
    <w:rsid w:val="00731E1E"/>
    <w:rsid w:val="00735A85"/>
    <w:rsid w:val="00735B52"/>
    <w:rsid w:val="00735F99"/>
    <w:rsid w:val="00737DB0"/>
    <w:rsid w:val="00743876"/>
    <w:rsid w:val="00743924"/>
    <w:rsid w:val="0074647D"/>
    <w:rsid w:val="00747CF9"/>
    <w:rsid w:val="007515A2"/>
    <w:rsid w:val="00753502"/>
    <w:rsid w:val="00753C49"/>
    <w:rsid w:val="00755CAD"/>
    <w:rsid w:val="00757641"/>
    <w:rsid w:val="007606D6"/>
    <w:rsid w:val="00760C17"/>
    <w:rsid w:val="00760D22"/>
    <w:rsid w:val="0076191C"/>
    <w:rsid w:val="0076329E"/>
    <w:rsid w:val="00763A99"/>
    <w:rsid w:val="007640C5"/>
    <w:rsid w:val="007641D1"/>
    <w:rsid w:val="007647BE"/>
    <w:rsid w:val="007648E6"/>
    <w:rsid w:val="00766283"/>
    <w:rsid w:val="007672AD"/>
    <w:rsid w:val="007706DB"/>
    <w:rsid w:val="007708B3"/>
    <w:rsid w:val="007711CC"/>
    <w:rsid w:val="007752B4"/>
    <w:rsid w:val="0078067F"/>
    <w:rsid w:val="0078078D"/>
    <w:rsid w:val="00781B7B"/>
    <w:rsid w:val="0078305F"/>
    <w:rsid w:val="00790F40"/>
    <w:rsid w:val="0079274A"/>
    <w:rsid w:val="0079E267"/>
    <w:rsid w:val="007A0000"/>
    <w:rsid w:val="007A0332"/>
    <w:rsid w:val="007A0902"/>
    <w:rsid w:val="007A09A5"/>
    <w:rsid w:val="007A124C"/>
    <w:rsid w:val="007A184F"/>
    <w:rsid w:val="007A2063"/>
    <w:rsid w:val="007A402C"/>
    <w:rsid w:val="007A663C"/>
    <w:rsid w:val="007A78C8"/>
    <w:rsid w:val="007B06AD"/>
    <w:rsid w:val="007B06BC"/>
    <w:rsid w:val="007B2E35"/>
    <w:rsid w:val="007B3CA4"/>
    <w:rsid w:val="007B4856"/>
    <w:rsid w:val="007B5438"/>
    <w:rsid w:val="007B6C3F"/>
    <w:rsid w:val="007B7D45"/>
    <w:rsid w:val="007C04BE"/>
    <w:rsid w:val="007C3ED6"/>
    <w:rsid w:val="007C5BD4"/>
    <w:rsid w:val="007C7DAA"/>
    <w:rsid w:val="007D0758"/>
    <w:rsid w:val="007D09C2"/>
    <w:rsid w:val="007D0C9C"/>
    <w:rsid w:val="007D1728"/>
    <w:rsid w:val="007D2F9B"/>
    <w:rsid w:val="007D3F9F"/>
    <w:rsid w:val="007D489D"/>
    <w:rsid w:val="007D6758"/>
    <w:rsid w:val="007D718D"/>
    <w:rsid w:val="007D73AA"/>
    <w:rsid w:val="007E0ACD"/>
    <w:rsid w:val="007E42F2"/>
    <w:rsid w:val="007E73C6"/>
    <w:rsid w:val="007E74FD"/>
    <w:rsid w:val="007E7601"/>
    <w:rsid w:val="007F48CB"/>
    <w:rsid w:val="007F656F"/>
    <w:rsid w:val="007F6EC0"/>
    <w:rsid w:val="008021E6"/>
    <w:rsid w:val="00803673"/>
    <w:rsid w:val="008040F0"/>
    <w:rsid w:val="00806EA7"/>
    <w:rsid w:val="00807B6E"/>
    <w:rsid w:val="0081401F"/>
    <w:rsid w:val="00820B86"/>
    <w:rsid w:val="008217EE"/>
    <w:rsid w:val="008260D0"/>
    <w:rsid w:val="00830478"/>
    <w:rsid w:val="00831151"/>
    <w:rsid w:val="008317AA"/>
    <w:rsid w:val="00834271"/>
    <w:rsid w:val="0083442E"/>
    <w:rsid w:val="008411DA"/>
    <w:rsid w:val="0084192A"/>
    <w:rsid w:val="0084282E"/>
    <w:rsid w:val="0084374A"/>
    <w:rsid w:val="00843BDD"/>
    <w:rsid w:val="00846BA4"/>
    <w:rsid w:val="0084702B"/>
    <w:rsid w:val="00850214"/>
    <w:rsid w:val="00850D8D"/>
    <w:rsid w:val="0085401B"/>
    <w:rsid w:val="0086032D"/>
    <w:rsid w:val="008606B6"/>
    <w:rsid w:val="00860C8F"/>
    <w:rsid w:val="00860F1B"/>
    <w:rsid w:val="00862833"/>
    <w:rsid w:val="00862D2F"/>
    <w:rsid w:val="008630AD"/>
    <w:rsid w:val="00865EB9"/>
    <w:rsid w:val="00872705"/>
    <w:rsid w:val="00872D55"/>
    <w:rsid w:val="00873035"/>
    <w:rsid w:val="008750C7"/>
    <w:rsid w:val="00875CFA"/>
    <w:rsid w:val="00875D03"/>
    <w:rsid w:val="00876B3C"/>
    <w:rsid w:val="00881264"/>
    <w:rsid w:val="0088507E"/>
    <w:rsid w:val="00887051"/>
    <w:rsid w:val="008905E1"/>
    <w:rsid w:val="00890F7C"/>
    <w:rsid w:val="00892C06"/>
    <w:rsid w:val="0089411D"/>
    <w:rsid w:val="00896016"/>
    <w:rsid w:val="008A10B6"/>
    <w:rsid w:val="008A56B1"/>
    <w:rsid w:val="008A7F09"/>
    <w:rsid w:val="008B0F04"/>
    <w:rsid w:val="008B1B1F"/>
    <w:rsid w:val="008B1C62"/>
    <w:rsid w:val="008B2A9F"/>
    <w:rsid w:val="008B3F6A"/>
    <w:rsid w:val="008B44D7"/>
    <w:rsid w:val="008B51CD"/>
    <w:rsid w:val="008B7216"/>
    <w:rsid w:val="008D0241"/>
    <w:rsid w:val="008D4806"/>
    <w:rsid w:val="008E2528"/>
    <w:rsid w:val="008F01CD"/>
    <w:rsid w:val="008F02DE"/>
    <w:rsid w:val="008F199A"/>
    <w:rsid w:val="008F3F1C"/>
    <w:rsid w:val="008F5215"/>
    <w:rsid w:val="009000DB"/>
    <w:rsid w:val="00901EA8"/>
    <w:rsid w:val="00902466"/>
    <w:rsid w:val="00904F49"/>
    <w:rsid w:val="00905E4F"/>
    <w:rsid w:val="0090635F"/>
    <w:rsid w:val="009122D9"/>
    <w:rsid w:val="009126D6"/>
    <w:rsid w:val="00914C1D"/>
    <w:rsid w:val="00916D2F"/>
    <w:rsid w:val="00921E74"/>
    <w:rsid w:val="00923E16"/>
    <w:rsid w:val="0092511E"/>
    <w:rsid w:val="00926E4C"/>
    <w:rsid w:val="009325F9"/>
    <w:rsid w:val="00933D3A"/>
    <w:rsid w:val="00933D4C"/>
    <w:rsid w:val="00934646"/>
    <w:rsid w:val="009351B9"/>
    <w:rsid w:val="00935809"/>
    <w:rsid w:val="009360A5"/>
    <w:rsid w:val="009431BA"/>
    <w:rsid w:val="00945C31"/>
    <w:rsid w:val="0094750A"/>
    <w:rsid w:val="00947D9D"/>
    <w:rsid w:val="00950C6A"/>
    <w:rsid w:val="009540BA"/>
    <w:rsid w:val="00955D8F"/>
    <w:rsid w:val="009564ED"/>
    <w:rsid w:val="00957C00"/>
    <w:rsid w:val="00957EA3"/>
    <w:rsid w:val="00960696"/>
    <w:rsid w:val="00963FF1"/>
    <w:rsid w:val="0097271D"/>
    <w:rsid w:val="00972ACE"/>
    <w:rsid w:val="00973C20"/>
    <w:rsid w:val="0097405A"/>
    <w:rsid w:val="00974F52"/>
    <w:rsid w:val="009754C4"/>
    <w:rsid w:val="00975782"/>
    <w:rsid w:val="00976AEE"/>
    <w:rsid w:val="00977990"/>
    <w:rsid w:val="00977B87"/>
    <w:rsid w:val="009817D4"/>
    <w:rsid w:val="009865AB"/>
    <w:rsid w:val="00987A85"/>
    <w:rsid w:val="0099150D"/>
    <w:rsid w:val="00993C26"/>
    <w:rsid w:val="0099551A"/>
    <w:rsid w:val="009962C1"/>
    <w:rsid w:val="009968D4"/>
    <w:rsid w:val="009A3F58"/>
    <w:rsid w:val="009B2A8C"/>
    <w:rsid w:val="009B330F"/>
    <w:rsid w:val="009B3325"/>
    <w:rsid w:val="009B42D9"/>
    <w:rsid w:val="009B4774"/>
    <w:rsid w:val="009B4CFE"/>
    <w:rsid w:val="009B5BC0"/>
    <w:rsid w:val="009C295B"/>
    <w:rsid w:val="009C4648"/>
    <w:rsid w:val="009C50A6"/>
    <w:rsid w:val="009C5644"/>
    <w:rsid w:val="009C5E61"/>
    <w:rsid w:val="009D2C95"/>
    <w:rsid w:val="009D38A6"/>
    <w:rsid w:val="009D536E"/>
    <w:rsid w:val="009D56B2"/>
    <w:rsid w:val="009D65A0"/>
    <w:rsid w:val="009D713C"/>
    <w:rsid w:val="009D770C"/>
    <w:rsid w:val="009E4EC4"/>
    <w:rsid w:val="009E6673"/>
    <w:rsid w:val="009F15B9"/>
    <w:rsid w:val="009F3EEE"/>
    <w:rsid w:val="009F5F3C"/>
    <w:rsid w:val="009F6A82"/>
    <w:rsid w:val="009F78CD"/>
    <w:rsid w:val="009F7BA5"/>
    <w:rsid w:val="00A00080"/>
    <w:rsid w:val="00A00131"/>
    <w:rsid w:val="00A00813"/>
    <w:rsid w:val="00A05C6B"/>
    <w:rsid w:val="00A05FAD"/>
    <w:rsid w:val="00A10303"/>
    <w:rsid w:val="00A1087C"/>
    <w:rsid w:val="00A16558"/>
    <w:rsid w:val="00A16B66"/>
    <w:rsid w:val="00A175C2"/>
    <w:rsid w:val="00A211F9"/>
    <w:rsid w:val="00A21464"/>
    <w:rsid w:val="00A24F9B"/>
    <w:rsid w:val="00A26499"/>
    <w:rsid w:val="00A31752"/>
    <w:rsid w:val="00A31BD5"/>
    <w:rsid w:val="00A36E0F"/>
    <w:rsid w:val="00A3765C"/>
    <w:rsid w:val="00A39E12"/>
    <w:rsid w:val="00A400E6"/>
    <w:rsid w:val="00A4498D"/>
    <w:rsid w:val="00A44D22"/>
    <w:rsid w:val="00A46514"/>
    <w:rsid w:val="00A51E74"/>
    <w:rsid w:val="00A5304C"/>
    <w:rsid w:val="00A5438B"/>
    <w:rsid w:val="00A554B1"/>
    <w:rsid w:val="00A55DCB"/>
    <w:rsid w:val="00A56BC2"/>
    <w:rsid w:val="00A612F4"/>
    <w:rsid w:val="00A67572"/>
    <w:rsid w:val="00A67CAF"/>
    <w:rsid w:val="00A739C1"/>
    <w:rsid w:val="00A73FAD"/>
    <w:rsid w:val="00A80859"/>
    <w:rsid w:val="00A80CC1"/>
    <w:rsid w:val="00A821D5"/>
    <w:rsid w:val="00A87679"/>
    <w:rsid w:val="00A9094B"/>
    <w:rsid w:val="00A91A44"/>
    <w:rsid w:val="00A92716"/>
    <w:rsid w:val="00A92987"/>
    <w:rsid w:val="00A932E1"/>
    <w:rsid w:val="00A95205"/>
    <w:rsid w:val="00A974B3"/>
    <w:rsid w:val="00A977F1"/>
    <w:rsid w:val="00AA3739"/>
    <w:rsid w:val="00AA3FD7"/>
    <w:rsid w:val="00AA55F7"/>
    <w:rsid w:val="00AB025A"/>
    <w:rsid w:val="00AB0AC8"/>
    <w:rsid w:val="00AB3277"/>
    <w:rsid w:val="00AB3455"/>
    <w:rsid w:val="00AB6A47"/>
    <w:rsid w:val="00AC00B0"/>
    <w:rsid w:val="00AC063E"/>
    <w:rsid w:val="00AC6C82"/>
    <w:rsid w:val="00AC7507"/>
    <w:rsid w:val="00AC75C8"/>
    <w:rsid w:val="00AD0B4D"/>
    <w:rsid w:val="00AD124B"/>
    <w:rsid w:val="00AD215C"/>
    <w:rsid w:val="00AD2D16"/>
    <w:rsid w:val="00AD59B8"/>
    <w:rsid w:val="00AE3204"/>
    <w:rsid w:val="00AE6A03"/>
    <w:rsid w:val="00AF114F"/>
    <w:rsid w:val="00AF5D70"/>
    <w:rsid w:val="00B00355"/>
    <w:rsid w:val="00B0224C"/>
    <w:rsid w:val="00B02724"/>
    <w:rsid w:val="00B05B3D"/>
    <w:rsid w:val="00B073A4"/>
    <w:rsid w:val="00B07B75"/>
    <w:rsid w:val="00B07FE6"/>
    <w:rsid w:val="00B10249"/>
    <w:rsid w:val="00B10264"/>
    <w:rsid w:val="00B10355"/>
    <w:rsid w:val="00B117DB"/>
    <w:rsid w:val="00B11C9D"/>
    <w:rsid w:val="00B1237E"/>
    <w:rsid w:val="00B15130"/>
    <w:rsid w:val="00B155AC"/>
    <w:rsid w:val="00B155C9"/>
    <w:rsid w:val="00B20512"/>
    <w:rsid w:val="00B21B17"/>
    <w:rsid w:val="00B21F71"/>
    <w:rsid w:val="00B27CAA"/>
    <w:rsid w:val="00B30175"/>
    <w:rsid w:val="00B305D3"/>
    <w:rsid w:val="00B3106B"/>
    <w:rsid w:val="00B3174D"/>
    <w:rsid w:val="00B332D6"/>
    <w:rsid w:val="00B33987"/>
    <w:rsid w:val="00B355E3"/>
    <w:rsid w:val="00B355E4"/>
    <w:rsid w:val="00B3576A"/>
    <w:rsid w:val="00B40339"/>
    <w:rsid w:val="00B40554"/>
    <w:rsid w:val="00B44C72"/>
    <w:rsid w:val="00B530E5"/>
    <w:rsid w:val="00B53DD8"/>
    <w:rsid w:val="00B551B6"/>
    <w:rsid w:val="00B55C6F"/>
    <w:rsid w:val="00B55F11"/>
    <w:rsid w:val="00B571FC"/>
    <w:rsid w:val="00B57968"/>
    <w:rsid w:val="00B622B4"/>
    <w:rsid w:val="00B667F5"/>
    <w:rsid w:val="00B674CC"/>
    <w:rsid w:val="00B71D23"/>
    <w:rsid w:val="00B721FD"/>
    <w:rsid w:val="00B75BE6"/>
    <w:rsid w:val="00B75CD1"/>
    <w:rsid w:val="00B7710C"/>
    <w:rsid w:val="00B80871"/>
    <w:rsid w:val="00B8131A"/>
    <w:rsid w:val="00B84032"/>
    <w:rsid w:val="00B840D5"/>
    <w:rsid w:val="00B84290"/>
    <w:rsid w:val="00B86DBA"/>
    <w:rsid w:val="00B91EA4"/>
    <w:rsid w:val="00B946D6"/>
    <w:rsid w:val="00B949DE"/>
    <w:rsid w:val="00B95F76"/>
    <w:rsid w:val="00BA07BB"/>
    <w:rsid w:val="00BA092E"/>
    <w:rsid w:val="00BA0C30"/>
    <w:rsid w:val="00BA0E33"/>
    <w:rsid w:val="00BA1CD2"/>
    <w:rsid w:val="00BA348E"/>
    <w:rsid w:val="00BA36AC"/>
    <w:rsid w:val="00BA3E01"/>
    <w:rsid w:val="00BA58C8"/>
    <w:rsid w:val="00BA6020"/>
    <w:rsid w:val="00BB0F16"/>
    <w:rsid w:val="00BB24D0"/>
    <w:rsid w:val="00BB2BB1"/>
    <w:rsid w:val="00BB5626"/>
    <w:rsid w:val="00BB5768"/>
    <w:rsid w:val="00BB5811"/>
    <w:rsid w:val="00BC6C8E"/>
    <w:rsid w:val="00BD020B"/>
    <w:rsid w:val="00BD0682"/>
    <w:rsid w:val="00BD0F9E"/>
    <w:rsid w:val="00BD16FC"/>
    <w:rsid w:val="00BD3491"/>
    <w:rsid w:val="00BD52B5"/>
    <w:rsid w:val="00BD5D15"/>
    <w:rsid w:val="00BD6556"/>
    <w:rsid w:val="00BD7AB6"/>
    <w:rsid w:val="00BE065D"/>
    <w:rsid w:val="00BE14DD"/>
    <w:rsid w:val="00BE239A"/>
    <w:rsid w:val="00BE44E7"/>
    <w:rsid w:val="00BF3BCC"/>
    <w:rsid w:val="00BF5DFE"/>
    <w:rsid w:val="00C01F3C"/>
    <w:rsid w:val="00C03C07"/>
    <w:rsid w:val="00C041BA"/>
    <w:rsid w:val="00C053FA"/>
    <w:rsid w:val="00C060D6"/>
    <w:rsid w:val="00C06B60"/>
    <w:rsid w:val="00C07466"/>
    <w:rsid w:val="00C11472"/>
    <w:rsid w:val="00C120AF"/>
    <w:rsid w:val="00C128F9"/>
    <w:rsid w:val="00C13287"/>
    <w:rsid w:val="00C15E01"/>
    <w:rsid w:val="00C16B1E"/>
    <w:rsid w:val="00C21EFA"/>
    <w:rsid w:val="00C228C2"/>
    <w:rsid w:val="00C242D5"/>
    <w:rsid w:val="00C25F23"/>
    <w:rsid w:val="00C323E2"/>
    <w:rsid w:val="00C34320"/>
    <w:rsid w:val="00C35B41"/>
    <w:rsid w:val="00C3657B"/>
    <w:rsid w:val="00C37073"/>
    <w:rsid w:val="00C37F20"/>
    <w:rsid w:val="00C403B2"/>
    <w:rsid w:val="00C41AE6"/>
    <w:rsid w:val="00C424B1"/>
    <w:rsid w:val="00C43C28"/>
    <w:rsid w:val="00C43E67"/>
    <w:rsid w:val="00C446C2"/>
    <w:rsid w:val="00C447BF"/>
    <w:rsid w:val="00C44D05"/>
    <w:rsid w:val="00C44E10"/>
    <w:rsid w:val="00C45735"/>
    <w:rsid w:val="00C53F98"/>
    <w:rsid w:val="00C5413D"/>
    <w:rsid w:val="00C54937"/>
    <w:rsid w:val="00C55B96"/>
    <w:rsid w:val="00C572CF"/>
    <w:rsid w:val="00C62835"/>
    <w:rsid w:val="00C6304F"/>
    <w:rsid w:val="00C63DC6"/>
    <w:rsid w:val="00C644FD"/>
    <w:rsid w:val="00C67037"/>
    <w:rsid w:val="00C7003A"/>
    <w:rsid w:val="00C71381"/>
    <w:rsid w:val="00C72C46"/>
    <w:rsid w:val="00C81BBB"/>
    <w:rsid w:val="00C82C94"/>
    <w:rsid w:val="00C85FCB"/>
    <w:rsid w:val="00C90359"/>
    <w:rsid w:val="00C92477"/>
    <w:rsid w:val="00C945E5"/>
    <w:rsid w:val="00C9563C"/>
    <w:rsid w:val="00C9614E"/>
    <w:rsid w:val="00CA2CD9"/>
    <w:rsid w:val="00CA3CCD"/>
    <w:rsid w:val="00CA59D8"/>
    <w:rsid w:val="00CA6EEF"/>
    <w:rsid w:val="00CB3ABD"/>
    <w:rsid w:val="00CB4C24"/>
    <w:rsid w:val="00CB6CB8"/>
    <w:rsid w:val="00CC1323"/>
    <w:rsid w:val="00CC2036"/>
    <w:rsid w:val="00CC4874"/>
    <w:rsid w:val="00CC4CD0"/>
    <w:rsid w:val="00CC54A6"/>
    <w:rsid w:val="00CD0876"/>
    <w:rsid w:val="00CD2038"/>
    <w:rsid w:val="00CD2633"/>
    <w:rsid w:val="00CD4F1D"/>
    <w:rsid w:val="00CE093E"/>
    <w:rsid w:val="00CE1942"/>
    <w:rsid w:val="00CE239B"/>
    <w:rsid w:val="00CE2EC2"/>
    <w:rsid w:val="00CE306A"/>
    <w:rsid w:val="00CE3F89"/>
    <w:rsid w:val="00CE43EE"/>
    <w:rsid w:val="00CE7C8A"/>
    <w:rsid w:val="00CE7FD3"/>
    <w:rsid w:val="00CF1AA6"/>
    <w:rsid w:val="00CF21F2"/>
    <w:rsid w:val="00CF312B"/>
    <w:rsid w:val="00D00B96"/>
    <w:rsid w:val="00D00E53"/>
    <w:rsid w:val="00D032B5"/>
    <w:rsid w:val="00D052EC"/>
    <w:rsid w:val="00D0544F"/>
    <w:rsid w:val="00D05674"/>
    <w:rsid w:val="00D15405"/>
    <w:rsid w:val="00D15DA7"/>
    <w:rsid w:val="00D16C38"/>
    <w:rsid w:val="00D17A06"/>
    <w:rsid w:val="00D20118"/>
    <w:rsid w:val="00D20507"/>
    <w:rsid w:val="00D2087D"/>
    <w:rsid w:val="00D22776"/>
    <w:rsid w:val="00D235BC"/>
    <w:rsid w:val="00D2364D"/>
    <w:rsid w:val="00D23E3B"/>
    <w:rsid w:val="00D252D0"/>
    <w:rsid w:val="00D26C1A"/>
    <w:rsid w:val="00D31A28"/>
    <w:rsid w:val="00D320BE"/>
    <w:rsid w:val="00D3298C"/>
    <w:rsid w:val="00D34BA8"/>
    <w:rsid w:val="00D37E6C"/>
    <w:rsid w:val="00D41129"/>
    <w:rsid w:val="00D415A7"/>
    <w:rsid w:val="00D4323F"/>
    <w:rsid w:val="00D43D1A"/>
    <w:rsid w:val="00D44776"/>
    <w:rsid w:val="00D50149"/>
    <w:rsid w:val="00D51453"/>
    <w:rsid w:val="00D51A3A"/>
    <w:rsid w:val="00D55619"/>
    <w:rsid w:val="00D55F9B"/>
    <w:rsid w:val="00D5629D"/>
    <w:rsid w:val="00D5654D"/>
    <w:rsid w:val="00D56BA6"/>
    <w:rsid w:val="00D57246"/>
    <w:rsid w:val="00D572CB"/>
    <w:rsid w:val="00D57565"/>
    <w:rsid w:val="00D60083"/>
    <w:rsid w:val="00D6025A"/>
    <w:rsid w:val="00D629A7"/>
    <w:rsid w:val="00D64D55"/>
    <w:rsid w:val="00D64DD4"/>
    <w:rsid w:val="00D66182"/>
    <w:rsid w:val="00D663B7"/>
    <w:rsid w:val="00D6726F"/>
    <w:rsid w:val="00D67BB5"/>
    <w:rsid w:val="00D73A5E"/>
    <w:rsid w:val="00D73AD2"/>
    <w:rsid w:val="00D76B94"/>
    <w:rsid w:val="00D81DF4"/>
    <w:rsid w:val="00D82647"/>
    <w:rsid w:val="00D83C1C"/>
    <w:rsid w:val="00D90758"/>
    <w:rsid w:val="00D907D4"/>
    <w:rsid w:val="00D9335D"/>
    <w:rsid w:val="00D96191"/>
    <w:rsid w:val="00D96308"/>
    <w:rsid w:val="00D9682B"/>
    <w:rsid w:val="00D97BEE"/>
    <w:rsid w:val="00DA0EAB"/>
    <w:rsid w:val="00DA17A1"/>
    <w:rsid w:val="00DA47D7"/>
    <w:rsid w:val="00DA4A50"/>
    <w:rsid w:val="00DA6571"/>
    <w:rsid w:val="00DB01CE"/>
    <w:rsid w:val="00DB1F8C"/>
    <w:rsid w:val="00DB4213"/>
    <w:rsid w:val="00DB6DAE"/>
    <w:rsid w:val="00DC2CBF"/>
    <w:rsid w:val="00DC2E4C"/>
    <w:rsid w:val="00DC6430"/>
    <w:rsid w:val="00DC6A2F"/>
    <w:rsid w:val="00DC7560"/>
    <w:rsid w:val="00DD04D1"/>
    <w:rsid w:val="00DD27A1"/>
    <w:rsid w:val="00DD3A10"/>
    <w:rsid w:val="00DD3BB6"/>
    <w:rsid w:val="00DD61BA"/>
    <w:rsid w:val="00DD61E3"/>
    <w:rsid w:val="00DD6624"/>
    <w:rsid w:val="00DD778E"/>
    <w:rsid w:val="00DE1739"/>
    <w:rsid w:val="00DE4E72"/>
    <w:rsid w:val="00DE5869"/>
    <w:rsid w:val="00DE5E6F"/>
    <w:rsid w:val="00DE7A2A"/>
    <w:rsid w:val="00DF06D2"/>
    <w:rsid w:val="00DF2DC3"/>
    <w:rsid w:val="00DF469A"/>
    <w:rsid w:val="00DF7794"/>
    <w:rsid w:val="00DF7C0B"/>
    <w:rsid w:val="00E00075"/>
    <w:rsid w:val="00E02ADB"/>
    <w:rsid w:val="00E040EB"/>
    <w:rsid w:val="00E04FE5"/>
    <w:rsid w:val="00E05276"/>
    <w:rsid w:val="00E11728"/>
    <w:rsid w:val="00E13526"/>
    <w:rsid w:val="00E17DD9"/>
    <w:rsid w:val="00E216C1"/>
    <w:rsid w:val="00E226BA"/>
    <w:rsid w:val="00E22759"/>
    <w:rsid w:val="00E229DC"/>
    <w:rsid w:val="00E22CEA"/>
    <w:rsid w:val="00E27FB1"/>
    <w:rsid w:val="00E32ADF"/>
    <w:rsid w:val="00E32CA0"/>
    <w:rsid w:val="00E36A3F"/>
    <w:rsid w:val="00E371C4"/>
    <w:rsid w:val="00E40659"/>
    <w:rsid w:val="00E43D26"/>
    <w:rsid w:val="00E44AB5"/>
    <w:rsid w:val="00E44D67"/>
    <w:rsid w:val="00E45A8B"/>
    <w:rsid w:val="00E465B6"/>
    <w:rsid w:val="00E46D4D"/>
    <w:rsid w:val="00E50942"/>
    <w:rsid w:val="00E52C12"/>
    <w:rsid w:val="00E532CC"/>
    <w:rsid w:val="00E56EE5"/>
    <w:rsid w:val="00E57679"/>
    <w:rsid w:val="00E605E6"/>
    <w:rsid w:val="00E6377C"/>
    <w:rsid w:val="00E63CA6"/>
    <w:rsid w:val="00E64EB2"/>
    <w:rsid w:val="00E67068"/>
    <w:rsid w:val="00E71C00"/>
    <w:rsid w:val="00E72808"/>
    <w:rsid w:val="00E72ECA"/>
    <w:rsid w:val="00E74B94"/>
    <w:rsid w:val="00E7664B"/>
    <w:rsid w:val="00E77D28"/>
    <w:rsid w:val="00E77FC0"/>
    <w:rsid w:val="00E81450"/>
    <w:rsid w:val="00E81D38"/>
    <w:rsid w:val="00E82342"/>
    <w:rsid w:val="00E82E59"/>
    <w:rsid w:val="00E84841"/>
    <w:rsid w:val="00E953C4"/>
    <w:rsid w:val="00E959B8"/>
    <w:rsid w:val="00E95BB7"/>
    <w:rsid w:val="00E95E4D"/>
    <w:rsid w:val="00E96E6D"/>
    <w:rsid w:val="00EA165F"/>
    <w:rsid w:val="00EA32FD"/>
    <w:rsid w:val="00EA62C2"/>
    <w:rsid w:val="00EA6D91"/>
    <w:rsid w:val="00EA79D2"/>
    <w:rsid w:val="00EA79F2"/>
    <w:rsid w:val="00EA7B24"/>
    <w:rsid w:val="00EB00F2"/>
    <w:rsid w:val="00EB29EE"/>
    <w:rsid w:val="00EB53F9"/>
    <w:rsid w:val="00EB7411"/>
    <w:rsid w:val="00EB748A"/>
    <w:rsid w:val="00EB7B3B"/>
    <w:rsid w:val="00EC02C4"/>
    <w:rsid w:val="00EC0D60"/>
    <w:rsid w:val="00EC1D29"/>
    <w:rsid w:val="00EC34D6"/>
    <w:rsid w:val="00EC4043"/>
    <w:rsid w:val="00EC6B05"/>
    <w:rsid w:val="00ED01B3"/>
    <w:rsid w:val="00ED374B"/>
    <w:rsid w:val="00ED3FEE"/>
    <w:rsid w:val="00ED4B7D"/>
    <w:rsid w:val="00ED4BCF"/>
    <w:rsid w:val="00EE0DE1"/>
    <w:rsid w:val="00EE2FCF"/>
    <w:rsid w:val="00EE45A7"/>
    <w:rsid w:val="00EE6FFA"/>
    <w:rsid w:val="00EF08AF"/>
    <w:rsid w:val="00EF4B77"/>
    <w:rsid w:val="00EF5550"/>
    <w:rsid w:val="00EF56B1"/>
    <w:rsid w:val="00EF6454"/>
    <w:rsid w:val="00F00FEA"/>
    <w:rsid w:val="00F01E16"/>
    <w:rsid w:val="00F029D3"/>
    <w:rsid w:val="00F03014"/>
    <w:rsid w:val="00F0354C"/>
    <w:rsid w:val="00F03A7F"/>
    <w:rsid w:val="00F05CD1"/>
    <w:rsid w:val="00F07050"/>
    <w:rsid w:val="00F0753B"/>
    <w:rsid w:val="00F07540"/>
    <w:rsid w:val="00F0793E"/>
    <w:rsid w:val="00F1096E"/>
    <w:rsid w:val="00F11028"/>
    <w:rsid w:val="00F11890"/>
    <w:rsid w:val="00F11A51"/>
    <w:rsid w:val="00F11EE8"/>
    <w:rsid w:val="00F15CB2"/>
    <w:rsid w:val="00F20653"/>
    <w:rsid w:val="00F20E7F"/>
    <w:rsid w:val="00F21272"/>
    <w:rsid w:val="00F237FC"/>
    <w:rsid w:val="00F2384F"/>
    <w:rsid w:val="00F2434D"/>
    <w:rsid w:val="00F24BA0"/>
    <w:rsid w:val="00F26F14"/>
    <w:rsid w:val="00F3006A"/>
    <w:rsid w:val="00F30B2C"/>
    <w:rsid w:val="00F32C02"/>
    <w:rsid w:val="00F33BE7"/>
    <w:rsid w:val="00F34DC4"/>
    <w:rsid w:val="00F353AC"/>
    <w:rsid w:val="00F37C6C"/>
    <w:rsid w:val="00F410B1"/>
    <w:rsid w:val="00F41731"/>
    <w:rsid w:val="00F41D33"/>
    <w:rsid w:val="00F43C61"/>
    <w:rsid w:val="00F44965"/>
    <w:rsid w:val="00F4512F"/>
    <w:rsid w:val="00F45DAE"/>
    <w:rsid w:val="00F4670F"/>
    <w:rsid w:val="00F4676C"/>
    <w:rsid w:val="00F4725B"/>
    <w:rsid w:val="00F5116D"/>
    <w:rsid w:val="00F5146C"/>
    <w:rsid w:val="00F51693"/>
    <w:rsid w:val="00F53EAF"/>
    <w:rsid w:val="00F55913"/>
    <w:rsid w:val="00F56A0E"/>
    <w:rsid w:val="00F5748C"/>
    <w:rsid w:val="00F607CD"/>
    <w:rsid w:val="00F60914"/>
    <w:rsid w:val="00F61AAE"/>
    <w:rsid w:val="00F6786C"/>
    <w:rsid w:val="00F678A9"/>
    <w:rsid w:val="00F67CA9"/>
    <w:rsid w:val="00F70589"/>
    <w:rsid w:val="00F70658"/>
    <w:rsid w:val="00F7472D"/>
    <w:rsid w:val="00F7521E"/>
    <w:rsid w:val="00F763BA"/>
    <w:rsid w:val="00F7758F"/>
    <w:rsid w:val="00F77F96"/>
    <w:rsid w:val="00F822C8"/>
    <w:rsid w:val="00F83D53"/>
    <w:rsid w:val="00F841FF"/>
    <w:rsid w:val="00F86B70"/>
    <w:rsid w:val="00F875EB"/>
    <w:rsid w:val="00F9089D"/>
    <w:rsid w:val="00F91E81"/>
    <w:rsid w:val="00F934E6"/>
    <w:rsid w:val="00F93625"/>
    <w:rsid w:val="00F9419D"/>
    <w:rsid w:val="00F96927"/>
    <w:rsid w:val="00FA06E4"/>
    <w:rsid w:val="00FA2E38"/>
    <w:rsid w:val="00FA6281"/>
    <w:rsid w:val="00FB08E4"/>
    <w:rsid w:val="00FB1673"/>
    <w:rsid w:val="00FB2B90"/>
    <w:rsid w:val="00FB3B7E"/>
    <w:rsid w:val="00FB6106"/>
    <w:rsid w:val="00FB6596"/>
    <w:rsid w:val="00FC20BB"/>
    <w:rsid w:val="00FC2BDF"/>
    <w:rsid w:val="00FC535A"/>
    <w:rsid w:val="00FC63B3"/>
    <w:rsid w:val="00FC695E"/>
    <w:rsid w:val="00FC6F86"/>
    <w:rsid w:val="00FD005C"/>
    <w:rsid w:val="00FD0163"/>
    <w:rsid w:val="00FD138C"/>
    <w:rsid w:val="00FD33A1"/>
    <w:rsid w:val="00FD59AB"/>
    <w:rsid w:val="00FD6415"/>
    <w:rsid w:val="00FE09FA"/>
    <w:rsid w:val="00FE136A"/>
    <w:rsid w:val="00FE40EF"/>
    <w:rsid w:val="00FE48BB"/>
    <w:rsid w:val="00FE50EC"/>
    <w:rsid w:val="00FF0CF3"/>
    <w:rsid w:val="00FF183C"/>
    <w:rsid w:val="00FF1E7A"/>
    <w:rsid w:val="00FF38F1"/>
    <w:rsid w:val="00FF424D"/>
    <w:rsid w:val="00FF43FF"/>
    <w:rsid w:val="00FF51BD"/>
    <w:rsid w:val="00FF6A43"/>
    <w:rsid w:val="011B1C1B"/>
    <w:rsid w:val="019120B8"/>
    <w:rsid w:val="01DAF67D"/>
    <w:rsid w:val="023C0E12"/>
    <w:rsid w:val="028C320F"/>
    <w:rsid w:val="029DEF23"/>
    <w:rsid w:val="02C27CA6"/>
    <w:rsid w:val="0315C5F9"/>
    <w:rsid w:val="037BC3DA"/>
    <w:rsid w:val="0381C291"/>
    <w:rsid w:val="03955AC7"/>
    <w:rsid w:val="03B2F4FA"/>
    <w:rsid w:val="03E35C28"/>
    <w:rsid w:val="0425FCA0"/>
    <w:rsid w:val="042B0CE1"/>
    <w:rsid w:val="0447807E"/>
    <w:rsid w:val="04CFD609"/>
    <w:rsid w:val="052212D9"/>
    <w:rsid w:val="0533538B"/>
    <w:rsid w:val="054EC55B"/>
    <w:rsid w:val="05A1978C"/>
    <w:rsid w:val="05A8AB35"/>
    <w:rsid w:val="068FC151"/>
    <w:rsid w:val="071D3D84"/>
    <w:rsid w:val="072A7062"/>
    <w:rsid w:val="0795E9F6"/>
    <w:rsid w:val="07B185A8"/>
    <w:rsid w:val="07EAD983"/>
    <w:rsid w:val="08784350"/>
    <w:rsid w:val="087F9000"/>
    <w:rsid w:val="08B8BA15"/>
    <w:rsid w:val="08D5FAB2"/>
    <w:rsid w:val="092812C7"/>
    <w:rsid w:val="092BA7E4"/>
    <w:rsid w:val="09630378"/>
    <w:rsid w:val="096662BC"/>
    <w:rsid w:val="096C3F19"/>
    <w:rsid w:val="09D1CC22"/>
    <w:rsid w:val="09D8FC80"/>
    <w:rsid w:val="09DBD18A"/>
    <w:rsid w:val="09FE1899"/>
    <w:rsid w:val="0A23DC26"/>
    <w:rsid w:val="0A41647F"/>
    <w:rsid w:val="0A462D21"/>
    <w:rsid w:val="0A495C5C"/>
    <w:rsid w:val="0A83F5B0"/>
    <w:rsid w:val="0ABAE69E"/>
    <w:rsid w:val="0AE9E975"/>
    <w:rsid w:val="0B1E4BA1"/>
    <w:rsid w:val="0B328CDC"/>
    <w:rsid w:val="0B357916"/>
    <w:rsid w:val="0BAD6EC7"/>
    <w:rsid w:val="0BAE0774"/>
    <w:rsid w:val="0BAE8C0B"/>
    <w:rsid w:val="0BB38C8F"/>
    <w:rsid w:val="0BBE9BCF"/>
    <w:rsid w:val="0C332F2C"/>
    <w:rsid w:val="0C4633F3"/>
    <w:rsid w:val="0C4C36CE"/>
    <w:rsid w:val="0C50B641"/>
    <w:rsid w:val="0C571625"/>
    <w:rsid w:val="0CAB524A"/>
    <w:rsid w:val="0CE7E0B7"/>
    <w:rsid w:val="0CEC9D97"/>
    <w:rsid w:val="0D1E54E8"/>
    <w:rsid w:val="0D7B7492"/>
    <w:rsid w:val="0D853302"/>
    <w:rsid w:val="0E5315CC"/>
    <w:rsid w:val="0EFCA3D0"/>
    <w:rsid w:val="0F297243"/>
    <w:rsid w:val="0F3AD6A1"/>
    <w:rsid w:val="0FA32EBC"/>
    <w:rsid w:val="0FAC5207"/>
    <w:rsid w:val="0FEFCA6F"/>
    <w:rsid w:val="10501639"/>
    <w:rsid w:val="107B71DC"/>
    <w:rsid w:val="108D05E0"/>
    <w:rsid w:val="109C5ED1"/>
    <w:rsid w:val="10B221AA"/>
    <w:rsid w:val="110A2774"/>
    <w:rsid w:val="113BFCF5"/>
    <w:rsid w:val="11C34E36"/>
    <w:rsid w:val="12015498"/>
    <w:rsid w:val="1209B3A5"/>
    <w:rsid w:val="12478A24"/>
    <w:rsid w:val="12B8EB97"/>
    <w:rsid w:val="12F7BF58"/>
    <w:rsid w:val="1324B890"/>
    <w:rsid w:val="13624DF7"/>
    <w:rsid w:val="138982E3"/>
    <w:rsid w:val="1399BF4F"/>
    <w:rsid w:val="14662E56"/>
    <w:rsid w:val="1478D409"/>
    <w:rsid w:val="14D9B6E7"/>
    <w:rsid w:val="14FD8A4A"/>
    <w:rsid w:val="15057A9B"/>
    <w:rsid w:val="150BD685"/>
    <w:rsid w:val="15C638D1"/>
    <w:rsid w:val="15CEFA6F"/>
    <w:rsid w:val="165C5952"/>
    <w:rsid w:val="1694E3B9"/>
    <w:rsid w:val="16EF1171"/>
    <w:rsid w:val="1711D5B8"/>
    <w:rsid w:val="17D11AF6"/>
    <w:rsid w:val="17EC8CA7"/>
    <w:rsid w:val="18152D38"/>
    <w:rsid w:val="181BAA9E"/>
    <w:rsid w:val="1835BF1A"/>
    <w:rsid w:val="184F5478"/>
    <w:rsid w:val="185E2D3A"/>
    <w:rsid w:val="1868ADF2"/>
    <w:rsid w:val="18AAF079"/>
    <w:rsid w:val="18D3623B"/>
    <w:rsid w:val="1966484E"/>
    <w:rsid w:val="19C1A1A5"/>
    <w:rsid w:val="19DFE16F"/>
    <w:rsid w:val="19EF5812"/>
    <w:rsid w:val="1A08F4EE"/>
    <w:rsid w:val="1A672AFD"/>
    <w:rsid w:val="1AB0E614"/>
    <w:rsid w:val="1B1BB189"/>
    <w:rsid w:val="1B1F99B6"/>
    <w:rsid w:val="1B2C215B"/>
    <w:rsid w:val="1BA97BF9"/>
    <w:rsid w:val="1C2EC174"/>
    <w:rsid w:val="1C4E8CFE"/>
    <w:rsid w:val="1CA9F17A"/>
    <w:rsid w:val="1D28040B"/>
    <w:rsid w:val="1D2BA944"/>
    <w:rsid w:val="1DC728E7"/>
    <w:rsid w:val="1DDA1703"/>
    <w:rsid w:val="1E3085D6"/>
    <w:rsid w:val="1E4138E0"/>
    <w:rsid w:val="1E4824AE"/>
    <w:rsid w:val="1E7DAD37"/>
    <w:rsid w:val="1E9F32B2"/>
    <w:rsid w:val="1EA45B19"/>
    <w:rsid w:val="1EB28268"/>
    <w:rsid w:val="1F1614A3"/>
    <w:rsid w:val="1FC1FB08"/>
    <w:rsid w:val="204D0ABE"/>
    <w:rsid w:val="204D2B13"/>
    <w:rsid w:val="205710B2"/>
    <w:rsid w:val="2060318D"/>
    <w:rsid w:val="206B9087"/>
    <w:rsid w:val="20A1C283"/>
    <w:rsid w:val="20C3949C"/>
    <w:rsid w:val="2109D0EE"/>
    <w:rsid w:val="2131C634"/>
    <w:rsid w:val="2149A180"/>
    <w:rsid w:val="21C073EF"/>
    <w:rsid w:val="2206F0C7"/>
    <w:rsid w:val="222BC16E"/>
    <w:rsid w:val="22323156"/>
    <w:rsid w:val="223E3750"/>
    <w:rsid w:val="229AA0BF"/>
    <w:rsid w:val="22B874A1"/>
    <w:rsid w:val="22D5AC3B"/>
    <w:rsid w:val="22E22C4A"/>
    <w:rsid w:val="22F9236D"/>
    <w:rsid w:val="23394002"/>
    <w:rsid w:val="2344D26A"/>
    <w:rsid w:val="234A94AF"/>
    <w:rsid w:val="235B08ED"/>
    <w:rsid w:val="23D9C2D3"/>
    <w:rsid w:val="240B6819"/>
    <w:rsid w:val="24163F24"/>
    <w:rsid w:val="244D164B"/>
    <w:rsid w:val="248BD2D0"/>
    <w:rsid w:val="24F0734A"/>
    <w:rsid w:val="2507D461"/>
    <w:rsid w:val="25212769"/>
    <w:rsid w:val="25691C3E"/>
    <w:rsid w:val="258B457A"/>
    <w:rsid w:val="25A77D99"/>
    <w:rsid w:val="25FE8AE5"/>
    <w:rsid w:val="264091B6"/>
    <w:rsid w:val="265F604D"/>
    <w:rsid w:val="26C14B6B"/>
    <w:rsid w:val="26C9BFA7"/>
    <w:rsid w:val="26D38C1F"/>
    <w:rsid w:val="2707364A"/>
    <w:rsid w:val="270B1C21"/>
    <w:rsid w:val="270EAAC9"/>
    <w:rsid w:val="27220617"/>
    <w:rsid w:val="27DCB424"/>
    <w:rsid w:val="2814FE14"/>
    <w:rsid w:val="28714C12"/>
    <w:rsid w:val="287657CA"/>
    <w:rsid w:val="28C7472D"/>
    <w:rsid w:val="293FA5D7"/>
    <w:rsid w:val="29EC875F"/>
    <w:rsid w:val="2A033861"/>
    <w:rsid w:val="2A0CEF54"/>
    <w:rsid w:val="2A1E10C5"/>
    <w:rsid w:val="2A541F54"/>
    <w:rsid w:val="2AA2EC89"/>
    <w:rsid w:val="2AA49A4F"/>
    <w:rsid w:val="2B7DA690"/>
    <w:rsid w:val="2B9B3293"/>
    <w:rsid w:val="2B9ECA5F"/>
    <w:rsid w:val="2C1B906C"/>
    <w:rsid w:val="2C7E3C1A"/>
    <w:rsid w:val="2C8F0615"/>
    <w:rsid w:val="2D19A923"/>
    <w:rsid w:val="2D5170EE"/>
    <w:rsid w:val="2D60717C"/>
    <w:rsid w:val="2DA57C3F"/>
    <w:rsid w:val="2DC6E9FC"/>
    <w:rsid w:val="2DE1A710"/>
    <w:rsid w:val="2E6651E7"/>
    <w:rsid w:val="2ECD94A5"/>
    <w:rsid w:val="2ECF3C6A"/>
    <w:rsid w:val="2F333387"/>
    <w:rsid w:val="2FB6FAFF"/>
    <w:rsid w:val="2FB9779A"/>
    <w:rsid w:val="2FF4256E"/>
    <w:rsid w:val="3028296B"/>
    <w:rsid w:val="304DE710"/>
    <w:rsid w:val="305781E9"/>
    <w:rsid w:val="30617AC5"/>
    <w:rsid w:val="30CB30C4"/>
    <w:rsid w:val="30FC0DDA"/>
    <w:rsid w:val="3125573D"/>
    <w:rsid w:val="316331ED"/>
    <w:rsid w:val="317364DF"/>
    <w:rsid w:val="31A7B8B2"/>
    <w:rsid w:val="31C56469"/>
    <w:rsid w:val="3208F92A"/>
    <w:rsid w:val="326A82D0"/>
    <w:rsid w:val="3379C68C"/>
    <w:rsid w:val="33B5E39F"/>
    <w:rsid w:val="33DFC289"/>
    <w:rsid w:val="33EE83E9"/>
    <w:rsid w:val="33F126A0"/>
    <w:rsid w:val="33FDAE32"/>
    <w:rsid w:val="3405A2F2"/>
    <w:rsid w:val="3444C8B0"/>
    <w:rsid w:val="346F81D6"/>
    <w:rsid w:val="3485D705"/>
    <w:rsid w:val="3493B8AA"/>
    <w:rsid w:val="34BBA264"/>
    <w:rsid w:val="34C4042B"/>
    <w:rsid w:val="356AD53F"/>
    <w:rsid w:val="35E7D696"/>
    <w:rsid w:val="36053269"/>
    <w:rsid w:val="364047A8"/>
    <w:rsid w:val="36CF848D"/>
    <w:rsid w:val="37351E34"/>
    <w:rsid w:val="37918A9F"/>
    <w:rsid w:val="381A462C"/>
    <w:rsid w:val="382519D2"/>
    <w:rsid w:val="387A7647"/>
    <w:rsid w:val="388C4C30"/>
    <w:rsid w:val="38BA2081"/>
    <w:rsid w:val="38DB3AC8"/>
    <w:rsid w:val="392B7E8F"/>
    <w:rsid w:val="39A05608"/>
    <w:rsid w:val="39C4062A"/>
    <w:rsid w:val="39C5EDDB"/>
    <w:rsid w:val="39C9B719"/>
    <w:rsid w:val="3A0A72C1"/>
    <w:rsid w:val="3AB52639"/>
    <w:rsid w:val="3ABABC87"/>
    <w:rsid w:val="3AF6B19A"/>
    <w:rsid w:val="3B2D3AB3"/>
    <w:rsid w:val="3B4CE56B"/>
    <w:rsid w:val="3B83E2CD"/>
    <w:rsid w:val="3BB7CB8F"/>
    <w:rsid w:val="3BD9BEAE"/>
    <w:rsid w:val="3C7999AE"/>
    <w:rsid w:val="3C972CBE"/>
    <w:rsid w:val="3CB39F80"/>
    <w:rsid w:val="3CBBA70B"/>
    <w:rsid w:val="3D3F0A51"/>
    <w:rsid w:val="3DB9C819"/>
    <w:rsid w:val="3E025120"/>
    <w:rsid w:val="3E0E7778"/>
    <w:rsid w:val="3E36F866"/>
    <w:rsid w:val="3E8D6C66"/>
    <w:rsid w:val="3E938ABC"/>
    <w:rsid w:val="3E952C6F"/>
    <w:rsid w:val="3EC23692"/>
    <w:rsid w:val="3F392AFB"/>
    <w:rsid w:val="3F576D02"/>
    <w:rsid w:val="3F84D8B6"/>
    <w:rsid w:val="3F89651D"/>
    <w:rsid w:val="3FEE1210"/>
    <w:rsid w:val="4047B5D4"/>
    <w:rsid w:val="40C831B7"/>
    <w:rsid w:val="416B44D4"/>
    <w:rsid w:val="4181EB6F"/>
    <w:rsid w:val="4197C345"/>
    <w:rsid w:val="41A11499"/>
    <w:rsid w:val="41F65E59"/>
    <w:rsid w:val="4226A7C2"/>
    <w:rsid w:val="42284565"/>
    <w:rsid w:val="431FDD1A"/>
    <w:rsid w:val="43317871"/>
    <w:rsid w:val="433B025B"/>
    <w:rsid w:val="436B616C"/>
    <w:rsid w:val="436E335E"/>
    <w:rsid w:val="43AA2200"/>
    <w:rsid w:val="43CE3F4C"/>
    <w:rsid w:val="44088D83"/>
    <w:rsid w:val="4417B62B"/>
    <w:rsid w:val="44A3220E"/>
    <w:rsid w:val="44A3E933"/>
    <w:rsid w:val="44F9E6F8"/>
    <w:rsid w:val="45C6C375"/>
    <w:rsid w:val="45D9E86C"/>
    <w:rsid w:val="45F3C8EB"/>
    <w:rsid w:val="46015D47"/>
    <w:rsid w:val="463E6366"/>
    <w:rsid w:val="465187CA"/>
    <w:rsid w:val="46C2B077"/>
    <w:rsid w:val="46F5E2E5"/>
    <w:rsid w:val="4725F682"/>
    <w:rsid w:val="472DBE46"/>
    <w:rsid w:val="47AE7F8C"/>
    <w:rsid w:val="47F7D006"/>
    <w:rsid w:val="4813811C"/>
    <w:rsid w:val="4839754B"/>
    <w:rsid w:val="483C6E1E"/>
    <w:rsid w:val="48AC3E9D"/>
    <w:rsid w:val="48B5E1FA"/>
    <w:rsid w:val="48D0FD79"/>
    <w:rsid w:val="49044084"/>
    <w:rsid w:val="492F5F60"/>
    <w:rsid w:val="4953E682"/>
    <w:rsid w:val="4A772DD1"/>
    <w:rsid w:val="4AA1B0E9"/>
    <w:rsid w:val="4AC79602"/>
    <w:rsid w:val="4AD03C80"/>
    <w:rsid w:val="4AD5A56B"/>
    <w:rsid w:val="4AE73A7D"/>
    <w:rsid w:val="4B2B9A23"/>
    <w:rsid w:val="4B786E60"/>
    <w:rsid w:val="4BF088F4"/>
    <w:rsid w:val="4C177C2D"/>
    <w:rsid w:val="4CA8B228"/>
    <w:rsid w:val="4CAFC5B5"/>
    <w:rsid w:val="4D69E7F3"/>
    <w:rsid w:val="4DA2DF34"/>
    <w:rsid w:val="4DD7EDFE"/>
    <w:rsid w:val="4DF8A232"/>
    <w:rsid w:val="4E6A8B50"/>
    <w:rsid w:val="4EB01BBC"/>
    <w:rsid w:val="4ED81DA0"/>
    <w:rsid w:val="4F24E6A7"/>
    <w:rsid w:val="4F8C644A"/>
    <w:rsid w:val="50207C46"/>
    <w:rsid w:val="502534A7"/>
    <w:rsid w:val="50262426"/>
    <w:rsid w:val="5027D6BC"/>
    <w:rsid w:val="506E2AFC"/>
    <w:rsid w:val="5080F3B2"/>
    <w:rsid w:val="5112215D"/>
    <w:rsid w:val="51160AAB"/>
    <w:rsid w:val="5133E165"/>
    <w:rsid w:val="513D6BD4"/>
    <w:rsid w:val="513FF30D"/>
    <w:rsid w:val="51495A0C"/>
    <w:rsid w:val="515E7826"/>
    <w:rsid w:val="515ED4C0"/>
    <w:rsid w:val="51B193E8"/>
    <w:rsid w:val="51F2B81C"/>
    <w:rsid w:val="521A9DFD"/>
    <w:rsid w:val="524D7116"/>
    <w:rsid w:val="52809FDC"/>
    <w:rsid w:val="52974DCD"/>
    <w:rsid w:val="52B39757"/>
    <w:rsid w:val="5361D389"/>
    <w:rsid w:val="53C4B29D"/>
    <w:rsid w:val="5425AE7B"/>
    <w:rsid w:val="54AA70C1"/>
    <w:rsid w:val="54F2F531"/>
    <w:rsid w:val="55238935"/>
    <w:rsid w:val="556FC2F2"/>
    <w:rsid w:val="5577689C"/>
    <w:rsid w:val="559BB8DB"/>
    <w:rsid w:val="567F3621"/>
    <w:rsid w:val="56817782"/>
    <w:rsid w:val="56884452"/>
    <w:rsid w:val="576FC889"/>
    <w:rsid w:val="577631CF"/>
    <w:rsid w:val="57973909"/>
    <w:rsid w:val="57A81786"/>
    <w:rsid w:val="57B11029"/>
    <w:rsid w:val="57BC6CC5"/>
    <w:rsid w:val="57BF1E6D"/>
    <w:rsid w:val="57C03C6D"/>
    <w:rsid w:val="57C9B4C2"/>
    <w:rsid w:val="57CC2B83"/>
    <w:rsid w:val="58431E2F"/>
    <w:rsid w:val="5897AC96"/>
    <w:rsid w:val="58B5EC35"/>
    <w:rsid w:val="58FB9FA1"/>
    <w:rsid w:val="5926A94F"/>
    <w:rsid w:val="5926E701"/>
    <w:rsid w:val="594EFDA7"/>
    <w:rsid w:val="5976AC46"/>
    <w:rsid w:val="597CD08E"/>
    <w:rsid w:val="59A6589A"/>
    <w:rsid w:val="59C22EFA"/>
    <w:rsid w:val="59DA5E0F"/>
    <w:rsid w:val="59F6D1E5"/>
    <w:rsid w:val="5A0D47B6"/>
    <w:rsid w:val="5A15EF6F"/>
    <w:rsid w:val="5A270983"/>
    <w:rsid w:val="5A2B5EAC"/>
    <w:rsid w:val="5A2F2099"/>
    <w:rsid w:val="5A4721C3"/>
    <w:rsid w:val="5A48D92A"/>
    <w:rsid w:val="5A7C4188"/>
    <w:rsid w:val="5AADC99F"/>
    <w:rsid w:val="5AC2D6E6"/>
    <w:rsid w:val="5B1AFD59"/>
    <w:rsid w:val="5B301254"/>
    <w:rsid w:val="5B6ED98F"/>
    <w:rsid w:val="5BB945DC"/>
    <w:rsid w:val="5BF048DC"/>
    <w:rsid w:val="5C2363ED"/>
    <w:rsid w:val="5C514763"/>
    <w:rsid w:val="5C57A9DD"/>
    <w:rsid w:val="5C6B58E8"/>
    <w:rsid w:val="5C78DEDB"/>
    <w:rsid w:val="5CF59735"/>
    <w:rsid w:val="5D340762"/>
    <w:rsid w:val="5D6A9B2F"/>
    <w:rsid w:val="5D8311B6"/>
    <w:rsid w:val="5DC269D1"/>
    <w:rsid w:val="5E3809F4"/>
    <w:rsid w:val="5E8F2AE8"/>
    <w:rsid w:val="5E906552"/>
    <w:rsid w:val="5EA631DF"/>
    <w:rsid w:val="5EE14CB0"/>
    <w:rsid w:val="5F101C40"/>
    <w:rsid w:val="5F1E794B"/>
    <w:rsid w:val="5F597036"/>
    <w:rsid w:val="5F5EB5C0"/>
    <w:rsid w:val="5F8E6CC1"/>
    <w:rsid w:val="5FD5B980"/>
    <w:rsid w:val="604EBCDB"/>
    <w:rsid w:val="607EFF24"/>
    <w:rsid w:val="60821B42"/>
    <w:rsid w:val="60836962"/>
    <w:rsid w:val="60902AEC"/>
    <w:rsid w:val="6099DDF5"/>
    <w:rsid w:val="60C6965A"/>
    <w:rsid w:val="6167EB8A"/>
    <w:rsid w:val="61905D8F"/>
    <w:rsid w:val="61C4433C"/>
    <w:rsid w:val="61FD33CD"/>
    <w:rsid w:val="62180871"/>
    <w:rsid w:val="6295ABCC"/>
    <w:rsid w:val="62A1B2DF"/>
    <w:rsid w:val="62A3AB77"/>
    <w:rsid w:val="62A75479"/>
    <w:rsid w:val="62B71E24"/>
    <w:rsid w:val="62DAA1D0"/>
    <w:rsid w:val="62DE5380"/>
    <w:rsid w:val="62EEDAE6"/>
    <w:rsid w:val="63638F52"/>
    <w:rsid w:val="639AAA19"/>
    <w:rsid w:val="63C178CF"/>
    <w:rsid w:val="63C60C9A"/>
    <w:rsid w:val="63D4983A"/>
    <w:rsid w:val="64241D33"/>
    <w:rsid w:val="64D3185B"/>
    <w:rsid w:val="64DB57A5"/>
    <w:rsid w:val="65211FEA"/>
    <w:rsid w:val="6522691D"/>
    <w:rsid w:val="6558A216"/>
    <w:rsid w:val="658D75C0"/>
    <w:rsid w:val="6596D21C"/>
    <w:rsid w:val="65A3E963"/>
    <w:rsid w:val="65C96AC1"/>
    <w:rsid w:val="65EAF8AB"/>
    <w:rsid w:val="65F43859"/>
    <w:rsid w:val="65FD32DA"/>
    <w:rsid w:val="66660C4B"/>
    <w:rsid w:val="6698AB7E"/>
    <w:rsid w:val="66C07D85"/>
    <w:rsid w:val="66EA8ADB"/>
    <w:rsid w:val="6742141E"/>
    <w:rsid w:val="674A3E8A"/>
    <w:rsid w:val="677438F2"/>
    <w:rsid w:val="67FC2D6A"/>
    <w:rsid w:val="682F7EE6"/>
    <w:rsid w:val="683997A7"/>
    <w:rsid w:val="683B1A62"/>
    <w:rsid w:val="6843693C"/>
    <w:rsid w:val="68472AB1"/>
    <w:rsid w:val="68528A9F"/>
    <w:rsid w:val="685F7766"/>
    <w:rsid w:val="68F0EFDB"/>
    <w:rsid w:val="69521CE6"/>
    <w:rsid w:val="6953EC53"/>
    <w:rsid w:val="69754427"/>
    <w:rsid w:val="6981AB2B"/>
    <w:rsid w:val="69FE2567"/>
    <w:rsid w:val="6A8FBF71"/>
    <w:rsid w:val="6AA3299D"/>
    <w:rsid w:val="6AA6524D"/>
    <w:rsid w:val="6B17FBF5"/>
    <w:rsid w:val="6B6F949D"/>
    <w:rsid w:val="6B91F714"/>
    <w:rsid w:val="6BAE3AFF"/>
    <w:rsid w:val="6C5528A4"/>
    <w:rsid w:val="6C5A342F"/>
    <w:rsid w:val="6D1600F6"/>
    <w:rsid w:val="6DDFAA1E"/>
    <w:rsid w:val="6E112BA4"/>
    <w:rsid w:val="6E1F4CE6"/>
    <w:rsid w:val="6E396ACF"/>
    <w:rsid w:val="6E3E5A0B"/>
    <w:rsid w:val="6E3EF97A"/>
    <w:rsid w:val="6E408762"/>
    <w:rsid w:val="6E8BB9EC"/>
    <w:rsid w:val="6E8CF873"/>
    <w:rsid w:val="6EBA1DFB"/>
    <w:rsid w:val="6F7B2B8A"/>
    <w:rsid w:val="6F8B799F"/>
    <w:rsid w:val="70070977"/>
    <w:rsid w:val="702611C7"/>
    <w:rsid w:val="706180C0"/>
    <w:rsid w:val="708EA597"/>
    <w:rsid w:val="70916D3A"/>
    <w:rsid w:val="70B14E9D"/>
    <w:rsid w:val="70D8C3C8"/>
    <w:rsid w:val="70F0ACEA"/>
    <w:rsid w:val="7115BA46"/>
    <w:rsid w:val="71169777"/>
    <w:rsid w:val="715519D6"/>
    <w:rsid w:val="715663A8"/>
    <w:rsid w:val="71F5BF5F"/>
    <w:rsid w:val="71F95A45"/>
    <w:rsid w:val="72352F25"/>
    <w:rsid w:val="723DCD70"/>
    <w:rsid w:val="72443AD0"/>
    <w:rsid w:val="72D2A4DE"/>
    <w:rsid w:val="730270AB"/>
    <w:rsid w:val="730C9ECC"/>
    <w:rsid w:val="7353B9B4"/>
    <w:rsid w:val="736A39C6"/>
    <w:rsid w:val="746A2483"/>
    <w:rsid w:val="74957D15"/>
    <w:rsid w:val="7547BAEC"/>
    <w:rsid w:val="755143E9"/>
    <w:rsid w:val="755EA5AA"/>
    <w:rsid w:val="75E61CAE"/>
    <w:rsid w:val="760BFD6B"/>
    <w:rsid w:val="763A1F45"/>
    <w:rsid w:val="7645CD1E"/>
    <w:rsid w:val="76D6A6CB"/>
    <w:rsid w:val="771C22D4"/>
    <w:rsid w:val="773D7C61"/>
    <w:rsid w:val="77432308"/>
    <w:rsid w:val="778EED75"/>
    <w:rsid w:val="77D6903D"/>
    <w:rsid w:val="77E937F0"/>
    <w:rsid w:val="77FFB191"/>
    <w:rsid w:val="785F198C"/>
    <w:rsid w:val="7883D2FA"/>
    <w:rsid w:val="789C6B84"/>
    <w:rsid w:val="78DC75DA"/>
    <w:rsid w:val="793965A3"/>
    <w:rsid w:val="7978ED56"/>
    <w:rsid w:val="79810138"/>
    <w:rsid w:val="79E4CF3A"/>
    <w:rsid w:val="7A8EFF3C"/>
    <w:rsid w:val="7AC34C22"/>
    <w:rsid w:val="7B04E7FE"/>
    <w:rsid w:val="7B37B345"/>
    <w:rsid w:val="7BCCCC8D"/>
    <w:rsid w:val="7BEAB8A8"/>
    <w:rsid w:val="7C091822"/>
    <w:rsid w:val="7C19DCF3"/>
    <w:rsid w:val="7C283160"/>
    <w:rsid w:val="7CAD23F9"/>
    <w:rsid w:val="7CB8A1FA"/>
    <w:rsid w:val="7CC35E8F"/>
    <w:rsid w:val="7CE4905C"/>
    <w:rsid w:val="7CF876C3"/>
    <w:rsid w:val="7D349E01"/>
    <w:rsid w:val="7D5CDBD2"/>
    <w:rsid w:val="7DB5E25F"/>
    <w:rsid w:val="7DD1C7BD"/>
    <w:rsid w:val="7DE49311"/>
    <w:rsid w:val="7DF1140D"/>
    <w:rsid w:val="7E769141"/>
    <w:rsid w:val="7F4BB6CB"/>
    <w:rsid w:val="7F74DA2C"/>
    <w:rsid w:val="7F8F7ECA"/>
    <w:rsid w:val="7FA30A74"/>
    <w:rsid w:val="7FAFE4C0"/>
    <w:rsid w:val="7FB1E204"/>
    <w:rsid w:val="7FCD405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BD810"/>
  <w15:chartTrackingRefBased/>
  <w15:docId w15:val="{A6CA9249-A960-4D59-8156-9AFEAFAD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7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52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3F9F"/>
    <w:pPr>
      <w:keepNext/>
      <w:spacing w:before="240" w:after="60" w:line="240" w:lineRule="auto"/>
      <w:outlineLvl w:val="2"/>
    </w:pPr>
    <w:rPr>
      <w:rFonts w:ascii="Arial" w:eastAsia="Times New Roman" w:hAnsi="Arial" w:cs="Arial"/>
      <w:b/>
      <w:bCs/>
      <w:szCs w:val="26"/>
    </w:rPr>
  </w:style>
  <w:style w:type="paragraph" w:styleId="Heading4">
    <w:name w:val="heading 4"/>
    <w:basedOn w:val="Normal"/>
    <w:next w:val="Normal"/>
    <w:link w:val="Heading4Char"/>
    <w:uiPriority w:val="9"/>
    <w:unhideWhenUsed/>
    <w:qFormat/>
    <w:rsid w:val="004852B9"/>
    <w:pPr>
      <w:keepNext/>
      <w:keepLines/>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852B9"/>
    <w:pPr>
      <w:keepNext/>
      <w:keepLines/>
      <w:numPr>
        <w:ilvl w:val="4"/>
        <w:numId w:val="3"/>
      </w:numPr>
      <w:spacing w:before="40" w:after="0" w:line="24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852B9"/>
    <w:pPr>
      <w:keepNext/>
      <w:keepLines/>
      <w:numPr>
        <w:ilvl w:val="5"/>
        <w:numId w:val="3"/>
      </w:numPr>
      <w:spacing w:before="40" w:after="0" w:line="24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852B9"/>
    <w:pPr>
      <w:keepNext/>
      <w:keepLines/>
      <w:numPr>
        <w:ilvl w:val="6"/>
        <w:numId w:val="3"/>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852B9"/>
    <w:pPr>
      <w:keepNext/>
      <w:keepLines/>
      <w:numPr>
        <w:ilvl w:val="7"/>
        <w:numId w:val="3"/>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52B9"/>
    <w:pPr>
      <w:keepNext/>
      <w:keepLines/>
      <w:numPr>
        <w:ilvl w:val="8"/>
        <w:numId w:val="3"/>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F9F"/>
    <w:rPr>
      <w:color w:val="0563C1" w:themeColor="hyperlink"/>
      <w:u w:val="single"/>
    </w:rPr>
  </w:style>
  <w:style w:type="character" w:styleId="UnresolvedMention">
    <w:name w:val="Unresolved Mention"/>
    <w:basedOn w:val="DefaultParagraphFont"/>
    <w:uiPriority w:val="99"/>
    <w:unhideWhenUsed/>
    <w:rsid w:val="007D3F9F"/>
    <w:rPr>
      <w:color w:val="605E5C"/>
      <w:shd w:val="clear" w:color="auto" w:fill="E1DFDD"/>
    </w:rPr>
  </w:style>
  <w:style w:type="character" w:customStyle="1" w:styleId="Heading3Char">
    <w:name w:val="Heading 3 Char"/>
    <w:basedOn w:val="DefaultParagraphFont"/>
    <w:link w:val="Heading3"/>
    <w:uiPriority w:val="9"/>
    <w:rsid w:val="007D3F9F"/>
    <w:rPr>
      <w:rFonts w:ascii="Arial" w:eastAsia="Times New Roman" w:hAnsi="Arial" w:cs="Arial"/>
      <w:b/>
      <w:bCs/>
      <w:szCs w:val="26"/>
    </w:rPr>
  </w:style>
  <w:style w:type="paragraph" w:customStyle="1" w:styleId="gmail-msonospacing">
    <w:name w:val="gmail-msonospacing"/>
    <w:basedOn w:val="Normal"/>
    <w:rsid w:val="007D3F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aliases w:val="4_G,Footnote Refernece,Footnote number,Footnotes refss,16 Point,Superscript 6 Point"/>
    <w:basedOn w:val="DefaultParagraphFont"/>
    <w:uiPriority w:val="99"/>
    <w:unhideWhenUsed/>
    <w:qFormat/>
    <w:rPr>
      <w:vertAlign w:val="superscript"/>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uiPriority w:val="99"/>
    <w:rPr>
      <w:sz w:val="20"/>
      <w:szCs w:val="20"/>
    </w:r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5_"/>
    <w:basedOn w:val="Normal"/>
    <w:link w:val="FootnoteTextChar"/>
    <w:uiPriority w:val="99"/>
    <w:unhideWhenUsed/>
    <w:qFormat/>
    <w:pPr>
      <w:spacing w:after="0" w:line="240" w:lineRule="auto"/>
    </w:pPr>
    <w:rPr>
      <w:sz w:val="20"/>
      <w:szCs w:val="20"/>
    </w:rPr>
  </w:style>
  <w:style w:type="paragraph" w:styleId="BalloonText">
    <w:name w:val="Balloon Text"/>
    <w:basedOn w:val="Normal"/>
    <w:link w:val="BalloonTextChar"/>
    <w:uiPriority w:val="99"/>
    <w:semiHidden/>
    <w:unhideWhenUsed/>
    <w:rsid w:val="00E57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679"/>
    <w:rPr>
      <w:rFonts w:ascii="Segoe UI" w:hAnsi="Segoe UI" w:cs="Segoe UI"/>
      <w:sz w:val="18"/>
      <w:szCs w:val="18"/>
    </w:rPr>
  </w:style>
  <w:style w:type="character" w:styleId="FollowedHyperlink">
    <w:name w:val="FollowedHyperlink"/>
    <w:basedOn w:val="DefaultParagraphFont"/>
    <w:uiPriority w:val="99"/>
    <w:semiHidden/>
    <w:unhideWhenUsed/>
    <w:rsid w:val="007A78C8"/>
    <w:rPr>
      <w:color w:val="954F72" w:themeColor="followedHyperlink"/>
      <w:u w:val="single"/>
    </w:rPr>
  </w:style>
  <w:style w:type="character" w:customStyle="1" w:styleId="Heading1Char">
    <w:name w:val="Heading 1 Char"/>
    <w:basedOn w:val="DefaultParagraphFont"/>
    <w:link w:val="Heading1"/>
    <w:uiPriority w:val="9"/>
    <w:rsid w:val="00747CF9"/>
    <w:rPr>
      <w:rFonts w:asciiTheme="majorHAnsi" w:eastAsiaTheme="majorEastAsia" w:hAnsiTheme="majorHAnsi" w:cstheme="majorBidi"/>
      <w:color w:val="2F5496" w:themeColor="accent1" w:themeShade="BF"/>
      <w:sz w:val="32"/>
      <w:szCs w:val="32"/>
    </w:rPr>
  </w:style>
  <w:style w:type="paragraph" w:customStyle="1" w:styleId="Default">
    <w:name w:val="Default"/>
    <w:rsid w:val="00C21EF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133E1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133E15"/>
    <w:rPr>
      <w:i/>
      <w:iCs/>
    </w:rPr>
  </w:style>
  <w:style w:type="paragraph" w:styleId="PlainText">
    <w:name w:val="Plain Text"/>
    <w:basedOn w:val="Normal"/>
    <w:link w:val="PlainTextChar"/>
    <w:uiPriority w:val="99"/>
    <w:semiHidden/>
    <w:unhideWhenUsed/>
    <w:rsid w:val="00171A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1A61"/>
    <w:rPr>
      <w:rFonts w:ascii="Calibri" w:hAnsi="Calibri"/>
      <w:szCs w:val="21"/>
    </w:rPr>
  </w:style>
  <w:style w:type="paragraph" w:styleId="Revision">
    <w:name w:val="Revision"/>
    <w:hidden/>
    <w:uiPriority w:val="99"/>
    <w:semiHidden/>
    <w:rsid w:val="00175E25"/>
    <w:pPr>
      <w:spacing w:after="0" w:line="240" w:lineRule="auto"/>
    </w:pPr>
  </w:style>
  <w:style w:type="paragraph" w:customStyle="1" w:styleId="text">
    <w:name w:val="text"/>
    <w:basedOn w:val="Normal"/>
    <w:rsid w:val="00184525"/>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msonormal">
    <w:name w:val="x_msonormal"/>
    <w:basedOn w:val="Normal"/>
    <w:rsid w:val="00184525"/>
    <w:pPr>
      <w:spacing w:after="0" w:line="240" w:lineRule="auto"/>
    </w:pPr>
    <w:rPr>
      <w:rFonts w:ascii="Calibri" w:hAnsi="Calibri" w:cs="Times New Roman"/>
      <w:lang w:eastAsia="en-NZ"/>
    </w:rPr>
  </w:style>
  <w:style w:type="character" w:customStyle="1" w:styleId="xmarkzrnfr4an4">
    <w:name w:val="x_markzrnfr4an4"/>
    <w:basedOn w:val="DefaultParagraphFont"/>
    <w:rsid w:val="00184525"/>
  </w:style>
  <w:style w:type="character" w:customStyle="1" w:styleId="Heading2Char">
    <w:name w:val="Heading 2 Char"/>
    <w:basedOn w:val="DefaultParagraphFont"/>
    <w:link w:val="Heading2"/>
    <w:uiPriority w:val="9"/>
    <w:rsid w:val="004852B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4852B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852B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852B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852B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852B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52B9"/>
    <w:rPr>
      <w:rFonts w:asciiTheme="majorHAnsi" w:eastAsiaTheme="majorEastAsia" w:hAnsiTheme="majorHAnsi" w:cstheme="majorBidi"/>
      <w:i/>
      <w:iCs/>
      <w:color w:val="272727" w:themeColor="text1" w:themeTint="D8"/>
      <w:sz w:val="21"/>
      <w:szCs w:val="21"/>
    </w:rPr>
  </w:style>
  <w:style w:type="character" w:customStyle="1" w:styleId="ListParagraphChar">
    <w:name w:val="List Paragraph Char"/>
    <w:link w:val="ListParagraph"/>
    <w:uiPriority w:val="34"/>
    <w:locked/>
    <w:rsid w:val="004852B9"/>
  </w:style>
  <w:style w:type="paragraph" w:customStyle="1" w:styleId="paragraph">
    <w:name w:val="paragraph"/>
    <w:basedOn w:val="Normal"/>
    <w:rsid w:val="004852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852B9"/>
  </w:style>
  <w:style w:type="paragraph" w:styleId="Header">
    <w:name w:val="header"/>
    <w:basedOn w:val="Normal"/>
    <w:link w:val="HeaderChar"/>
    <w:uiPriority w:val="99"/>
    <w:unhideWhenUsed/>
    <w:rsid w:val="004852B9"/>
    <w:pPr>
      <w:tabs>
        <w:tab w:val="center" w:pos="4513"/>
        <w:tab w:val="right" w:pos="9026"/>
      </w:tabs>
      <w:spacing w:after="0" w:line="240" w:lineRule="auto"/>
    </w:pPr>
    <w:rPr>
      <w:rFonts w:ascii="Calibri" w:hAnsi="Calibri" w:cs="Calibri"/>
    </w:rPr>
  </w:style>
  <w:style w:type="character" w:customStyle="1" w:styleId="HeaderChar">
    <w:name w:val="Header Char"/>
    <w:basedOn w:val="DefaultParagraphFont"/>
    <w:link w:val="Header"/>
    <w:uiPriority w:val="99"/>
    <w:rsid w:val="004852B9"/>
    <w:rPr>
      <w:rFonts w:ascii="Calibri" w:hAnsi="Calibri" w:cs="Calibri"/>
    </w:rPr>
  </w:style>
  <w:style w:type="paragraph" w:styleId="Footer">
    <w:name w:val="footer"/>
    <w:basedOn w:val="Normal"/>
    <w:link w:val="FooterChar"/>
    <w:uiPriority w:val="99"/>
    <w:unhideWhenUsed/>
    <w:rsid w:val="004852B9"/>
    <w:pPr>
      <w:tabs>
        <w:tab w:val="center" w:pos="4513"/>
        <w:tab w:val="right" w:pos="9026"/>
      </w:tabs>
      <w:spacing w:after="0" w:line="240" w:lineRule="auto"/>
    </w:pPr>
    <w:rPr>
      <w:rFonts w:ascii="Calibri" w:hAnsi="Calibri" w:cs="Calibri"/>
    </w:rPr>
  </w:style>
  <w:style w:type="character" w:customStyle="1" w:styleId="FooterChar">
    <w:name w:val="Footer Char"/>
    <w:basedOn w:val="DefaultParagraphFont"/>
    <w:link w:val="Footer"/>
    <w:uiPriority w:val="99"/>
    <w:rsid w:val="004852B9"/>
    <w:rPr>
      <w:rFonts w:ascii="Calibri" w:hAnsi="Calibri" w:cs="Calibri"/>
    </w:rPr>
  </w:style>
  <w:style w:type="character" w:customStyle="1" w:styleId="CommentTextChar1">
    <w:name w:val="Comment Text Char1"/>
    <w:basedOn w:val="DefaultParagraphFont"/>
    <w:uiPriority w:val="99"/>
    <w:semiHidden/>
    <w:rsid w:val="004852B9"/>
    <w:rPr>
      <w:rFonts w:ascii="Calibri" w:hAnsi="Calibri" w:cs="Calibri"/>
      <w:sz w:val="20"/>
      <w:szCs w:val="20"/>
    </w:rPr>
  </w:style>
  <w:style w:type="paragraph" w:styleId="Title">
    <w:name w:val="Title"/>
    <w:basedOn w:val="Normal"/>
    <w:next w:val="Normal"/>
    <w:link w:val="TitleChar"/>
    <w:uiPriority w:val="10"/>
    <w:qFormat/>
    <w:rsid w:val="004852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52B9"/>
    <w:rPr>
      <w:rFonts w:asciiTheme="majorHAnsi" w:eastAsiaTheme="majorEastAsia" w:hAnsiTheme="majorHAnsi" w:cstheme="majorBidi"/>
      <w:spacing w:val="-10"/>
      <w:kern w:val="28"/>
      <w:sz w:val="56"/>
      <w:szCs w:val="56"/>
    </w:rPr>
  </w:style>
  <w:style w:type="character" w:customStyle="1" w:styleId="spellingerror">
    <w:name w:val="spellingerror"/>
    <w:basedOn w:val="DefaultParagraphFont"/>
    <w:rsid w:val="004852B9"/>
  </w:style>
  <w:style w:type="character" w:customStyle="1" w:styleId="eop">
    <w:name w:val="eop"/>
    <w:basedOn w:val="DefaultParagraphFont"/>
    <w:rsid w:val="004852B9"/>
  </w:style>
  <w:style w:type="character" w:customStyle="1" w:styleId="advancedproofingissue">
    <w:name w:val="advancedproofingissue"/>
    <w:basedOn w:val="DefaultParagraphFont"/>
    <w:rsid w:val="004852B9"/>
  </w:style>
  <w:style w:type="paragraph" w:styleId="TOCHeading">
    <w:name w:val="TOC Heading"/>
    <w:basedOn w:val="Heading1"/>
    <w:next w:val="Normal"/>
    <w:uiPriority w:val="39"/>
    <w:unhideWhenUsed/>
    <w:qFormat/>
    <w:rsid w:val="004852B9"/>
    <w:pPr>
      <w:spacing w:line="240" w:lineRule="auto"/>
      <w:outlineLvl w:val="9"/>
    </w:pPr>
    <w:rPr>
      <w:b/>
      <w:sz w:val="24"/>
      <w:szCs w:val="24"/>
      <w:shd w:val="clear" w:color="auto" w:fill="FFFFFF"/>
      <w:lang w:val="en-US" w:eastAsia="en-NZ"/>
    </w:rPr>
  </w:style>
  <w:style w:type="paragraph" w:styleId="TOC1">
    <w:name w:val="toc 1"/>
    <w:basedOn w:val="Normal"/>
    <w:next w:val="Normal"/>
    <w:autoRedefine/>
    <w:uiPriority w:val="39"/>
    <w:unhideWhenUsed/>
    <w:rsid w:val="004852B9"/>
    <w:pPr>
      <w:spacing w:after="100"/>
    </w:pPr>
  </w:style>
  <w:style w:type="paragraph" w:styleId="NoSpacing">
    <w:name w:val="No Spacing"/>
    <w:uiPriority w:val="1"/>
    <w:qFormat/>
    <w:rsid w:val="004852B9"/>
    <w:pPr>
      <w:spacing w:after="0" w:line="240" w:lineRule="auto"/>
    </w:pPr>
  </w:style>
  <w:style w:type="paragraph" w:styleId="TOC2">
    <w:name w:val="toc 2"/>
    <w:basedOn w:val="Normal"/>
    <w:next w:val="Normal"/>
    <w:autoRedefine/>
    <w:uiPriority w:val="39"/>
    <w:unhideWhenUsed/>
    <w:rsid w:val="004852B9"/>
    <w:pPr>
      <w:spacing w:after="100"/>
      <w:ind w:left="220"/>
    </w:pPr>
  </w:style>
  <w:style w:type="paragraph" w:styleId="TOC4">
    <w:name w:val="toc 4"/>
    <w:basedOn w:val="Normal"/>
    <w:next w:val="Normal"/>
    <w:autoRedefine/>
    <w:uiPriority w:val="39"/>
    <w:semiHidden/>
    <w:unhideWhenUsed/>
    <w:rsid w:val="004852B9"/>
    <w:pPr>
      <w:spacing w:after="100" w:line="240" w:lineRule="auto"/>
      <w:ind w:left="660"/>
    </w:pPr>
    <w:rPr>
      <w:rFonts w:ascii="Calibri" w:hAnsi="Calibri" w:cs="Calibri"/>
    </w:rPr>
  </w:style>
  <w:style w:type="paragraph" w:styleId="CommentSubject">
    <w:name w:val="annotation subject"/>
    <w:basedOn w:val="CommentText"/>
    <w:next w:val="CommentText"/>
    <w:link w:val="CommentSubjectChar"/>
    <w:uiPriority w:val="99"/>
    <w:semiHidden/>
    <w:unhideWhenUsed/>
    <w:rsid w:val="004852B9"/>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4852B9"/>
    <w:rPr>
      <w:rFonts w:ascii="Calibri" w:hAnsi="Calibri" w:cs="Calibri"/>
      <w:b/>
      <w:bCs/>
      <w:sz w:val="20"/>
      <w:szCs w:val="20"/>
    </w:rPr>
  </w:style>
  <w:style w:type="paragraph" w:styleId="TOC3">
    <w:name w:val="toc 3"/>
    <w:basedOn w:val="Normal"/>
    <w:next w:val="Normal"/>
    <w:autoRedefine/>
    <w:uiPriority w:val="39"/>
    <w:unhideWhenUsed/>
    <w:rsid w:val="004852B9"/>
    <w:pPr>
      <w:spacing w:after="100" w:line="240" w:lineRule="auto"/>
      <w:ind w:left="440"/>
    </w:pPr>
    <w:rPr>
      <w:rFonts w:ascii="Calibri" w:hAnsi="Calibri" w:cs="Calibri"/>
    </w:rPr>
  </w:style>
  <w:style w:type="character" w:styleId="Mention">
    <w:name w:val="Mention"/>
    <w:basedOn w:val="DefaultParagraphFont"/>
    <w:uiPriority w:val="99"/>
    <w:unhideWhenUsed/>
    <w:rsid w:val="00F03A7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7700">
      <w:bodyDiv w:val="1"/>
      <w:marLeft w:val="0"/>
      <w:marRight w:val="0"/>
      <w:marTop w:val="0"/>
      <w:marBottom w:val="0"/>
      <w:divBdr>
        <w:top w:val="none" w:sz="0" w:space="0" w:color="auto"/>
        <w:left w:val="none" w:sz="0" w:space="0" w:color="auto"/>
        <w:bottom w:val="none" w:sz="0" w:space="0" w:color="auto"/>
        <w:right w:val="none" w:sz="0" w:space="0" w:color="auto"/>
      </w:divBdr>
    </w:div>
    <w:div w:id="566841342">
      <w:bodyDiv w:val="1"/>
      <w:marLeft w:val="0"/>
      <w:marRight w:val="0"/>
      <w:marTop w:val="0"/>
      <w:marBottom w:val="0"/>
      <w:divBdr>
        <w:top w:val="none" w:sz="0" w:space="0" w:color="auto"/>
        <w:left w:val="none" w:sz="0" w:space="0" w:color="auto"/>
        <w:bottom w:val="none" w:sz="0" w:space="0" w:color="auto"/>
        <w:right w:val="none" w:sz="0" w:space="0" w:color="auto"/>
      </w:divBdr>
      <w:divsChild>
        <w:div w:id="488715619">
          <w:marLeft w:val="0"/>
          <w:marRight w:val="0"/>
          <w:marTop w:val="83"/>
          <w:marBottom w:val="0"/>
          <w:divBdr>
            <w:top w:val="none" w:sz="0" w:space="0" w:color="auto"/>
            <w:left w:val="none" w:sz="0" w:space="0" w:color="auto"/>
            <w:bottom w:val="none" w:sz="0" w:space="0" w:color="auto"/>
            <w:right w:val="none" w:sz="0" w:space="0" w:color="auto"/>
          </w:divBdr>
        </w:div>
        <w:div w:id="494883600">
          <w:marLeft w:val="0"/>
          <w:marRight w:val="0"/>
          <w:marTop w:val="83"/>
          <w:marBottom w:val="0"/>
          <w:divBdr>
            <w:top w:val="none" w:sz="0" w:space="0" w:color="auto"/>
            <w:left w:val="none" w:sz="0" w:space="0" w:color="auto"/>
            <w:bottom w:val="none" w:sz="0" w:space="0" w:color="auto"/>
            <w:right w:val="none" w:sz="0" w:space="0" w:color="auto"/>
          </w:divBdr>
        </w:div>
        <w:div w:id="840773056">
          <w:marLeft w:val="0"/>
          <w:marRight w:val="0"/>
          <w:marTop w:val="83"/>
          <w:marBottom w:val="0"/>
          <w:divBdr>
            <w:top w:val="none" w:sz="0" w:space="0" w:color="auto"/>
            <w:left w:val="none" w:sz="0" w:space="0" w:color="auto"/>
            <w:bottom w:val="none" w:sz="0" w:space="0" w:color="auto"/>
            <w:right w:val="none" w:sz="0" w:space="0" w:color="auto"/>
          </w:divBdr>
        </w:div>
      </w:divsChild>
    </w:div>
    <w:div w:id="781653502">
      <w:bodyDiv w:val="1"/>
      <w:marLeft w:val="0"/>
      <w:marRight w:val="0"/>
      <w:marTop w:val="0"/>
      <w:marBottom w:val="0"/>
      <w:divBdr>
        <w:top w:val="none" w:sz="0" w:space="0" w:color="auto"/>
        <w:left w:val="none" w:sz="0" w:space="0" w:color="auto"/>
        <w:bottom w:val="none" w:sz="0" w:space="0" w:color="auto"/>
        <w:right w:val="none" w:sz="0" w:space="0" w:color="auto"/>
      </w:divBdr>
    </w:div>
    <w:div w:id="835922307">
      <w:bodyDiv w:val="1"/>
      <w:marLeft w:val="0"/>
      <w:marRight w:val="0"/>
      <w:marTop w:val="0"/>
      <w:marBottom w:val="0"/>
      <w:divBdr>
        <w:top w:val="none" w:sz="0" w:space="0" w:color="auto"/>
        <w:left w:val="none" w:sz="0" w:space="0" w:color="auto"/>
        <w:bottom w:val="none" w:sz="0" w:space="0" w:color="auto"/>
        <w:right w:val="none" w:sz="0" w:space="0" w:color="auto"/>
      </w:divBdr>
      <w:divsChild>
        <w:div w:id="389765849">
          <w:marLeft w:val="0"/>
          <w:marRight w:val="0"/>
          <w:marTop w:val="83"/>
          <w:marBottom w:val="0"/>
          <w:divBdr>
            <w:top w:val="none" w:sz="0" w:space="0" w:color="auto"/>
            <w:left w:val="none" w:sz="0" w:space="0" w:color="auto"/>
            <w:bottom w:val="none" w:sz="0" w:space="0" w:color="auto"/>
            <w:right w:val="none" w:sz="0" w:space="0" w:color="auto"/>
          </w:divBdr>
        </w:div>
        <w:div w:id="1499886438">
          <w:marLeft w:val="0"/>
          <w:marRight w:val="0"/>
          <w:marTop w:val="83"/>
          <w:marBottom w:val="0"/>
          <w:divBdr>
            <w:top w:val="none" w:sz="0" w:space="0" w:color="auto"/>
            <w:left w:val="none" w:sz="0" w:space="0" w:color="auto"/>
            <w:bottom w:val="none" w:sz="0" w:space="0" w:color="auto"/>
            <w:right w:val="none" w:sz="0" w:space="0" w:color="auto"/>
          </w:divBdr>
        </w:div>
      </w:divsChild>
    </w:div>
    <w:div w:id="929583909">
      <w:bodyDiv w:val="1"/>
      <w:marLeft w:val="0"/>
      <w:marRight w:val="0"/>
      <w:marTop w:val="0"/>
      <w:marBottom w:val="0"/>
      <w:divBdr>
        <w:top w:val="none" w:sz="0" w:space="0" w:color="auto"/>
        <w:left w:val="none" w:sz="0" w:space="0" w:color="auto"/>
        <w:bottom w:val="none" w:sz="0" w:space="0" w:color="auto"/>
        <w:right w:val="none" w:sz="0" w:space="0" w:color="auto"/>
      </w:divBdr>
    </w:div>
    <w:div w:id="1190219512">
      <w:bodyDiv w:val="1"/>
      <w:marLeft w:val="0"/>
      <w:marRight w:val="0"/>
      <w:marTop w:val="0"/>
      <w:marBottom w:val="0"/>
      <w:divBdr>
        <w:top w:val="none" w:sz="0" w:space="0" w:color="auto"/>
        <w:left w:val="none" w:sz="0" w:space="0" w:color="auto"/>
        <w:bottom w:val="none" w:sz="0" w:space="0" w:color="auto"/>
        <w:right w:val="none" w:sz="0" w:space="0" w:color="auto"/>
      </w:divBdr>
    </w:div>
    <w:div w:id="1277710192">
      <w:bodyDiv w:val="1"/>
      <w:marLeft w:val="0"/>
      <w:marRight w:val="0"/>
      <w:marTop w:val="0"/>
      <w:marBottom w:val="0"/>
      <w:divBdr>
        <w:top w:val="none" w:sz="0" w:space="0" w:color="auto"/>
        <w:left w:val="none" w:sz="0" w:space="0" w:color="auto"/>
        <w:bottom w:val="none" w:sz="0" w:space="0" w:color="auto"/>
        <w:right w:val="none" w:sz="0" w:space="0" w:color="auto"/>
      </w:divBdr>
    </w:div>
    <w:div w:id="1460220716">
      <w:bodyDiv w:val="1"/>
      <w:marLeft w:val="0"/>
      <w:marRight w:val="0"/>
      <w:marTop w:val="0"/>
      <w:marBottom w:val="0"/>
      <w:divBdr>
        <w:top w:val="none" w:sz="0" w:space="0" w:color="auto"/>
        <w:left w:val="none" w:sz="0" w:space="0" w:color="auto"/>
        <w:bottom w:val="none" w:sz="0" w:space="0" w:color="auto"/>
        <w:right w:val="none" w:sz="0" w:space="0" w:color="auto"/>
      </w:divBdr>
    </w:div>
    <w:div w:id="1552421844">
      <w:bodyDiv w:val="1"/>
      <w:marLeft w:val="0"/>
      <w:marRight w:val="0"/>
      <w:marTop w:val="0"/>
      <w:marBottom w:val="0"/>
      <w:divBdr>
        <w:top w:val="none" w:sz="0" w:space="0" w:color="auto"/>
        <w:left w:val="none" w:sz="0" w:space="0" w:color="auto"/>
        <w:bottom w:val="none" w:sz="0" w:space="0" w:color="auto"/>
        <w:right w:val="none" w:sz="0" w:space="0" w:color="auto"/>
      </w:divBdr>
    </w:div>
    <w:div w:id="1619750082">
      <w:bodyDiv w:val="1"/>
      <w:marLeft w:val="0"/>
      <w:marRight w:val="0"/>
      <w:marTop w:val="0"/>
      <w:marBottom w:val="0"/>
      <w:divBdr>
        <w:top w:val="none" w:sz="0" w:space="0" w:color="auto"/>
        <w:left w:val="none" w:sz="0" w:space="0" w:color="auto"/>
        <w:bottom w:val="none" w:sz="0" w:space="0" w:color="auto"/>
        <w:right w:val="none" w:sz="0" w:space="0" w:color="auto"/>
      </w:divBdr>
    </w:div>
    <w:div w:id="167484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fe397a33cc4742f8"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health.govt.nz/system/files/documents/pages/abortion-services-summary-dhb-quarterly-survey-responses-dec20.pdf" TargetMode="External"/><Relationship Id="rId3" Type="http://schemas.openxmlformats.org/officeDocument/2006/relationships/hyperlink" Target="https://www.hrc.co.nz/our-work/indigenous-rights/our-work/review-new-zealands-constitutional-arrangements/" TargetMode="External"/><Relationship Id="rId7" Type="http://schemas.openxmlformats.org/officeDocument/2006/relationships/hyperlink" Target="https://www.parliament.nz/en/pb/bills-and-laws/bills-proposed-laws/document/BILL_99649/contraception-sterilisation-and-abortion-safe-areas" TargetMode="External"/><Relationship Id="rId2" Type="http://schemas.openxmlformats.org/officeDocument/2006/relationships/hyperlink" Target="https://www.newsroom.co.nz/pro/family-and-sexual-violence-strategy-on-the-way" TargetMode="External"/><Relationship Id="rId1" Type="http://schemas.openxmlformats.org/officeDocument/2006/relationships/hyperlink" Target="https://www.parliament.nz/resource/en-NZ/SCR_99876/68803d2bb3c2f80fcb2d9f6f4cc0c69dd3d9fe16" TargetMode="External"/><Relationship Id="rId6" Type="http://schemas.openxmlformats.org/officeDocument/2006/relationships/hyperlink" Target="https://www.hrc.co.nz/files/5515/9468/2462/FINAL_HRC_Submission_to_the_Special_Rapporteur_on_womens_rights.pdf" TargetMode="External"/><Relationship Id="rId5" Type="http://schemas.openxmlformats.org/officeDocument/2006/relationships/hyperlink" Target="https://www.justice.govt.nz/assets/Documents/Publications/sf79dq-Sexual-violence-victimisations-attrition-and-progression-report-v1.0.pdf" TargetMode="External"/><Relationship Id="rId4" Type="http://schemas.openxmlformats.org/officeDocument/2006/relationships/hyperlink" Target="https://www.orangatamariki.govt.nz/assets/Uploads/Research/Research-seminars/August-2019-seminar/NZ-Crime-and-Victims-Survey-Dr-Michael-Slyuzberg.pdf" TargetMode="External"/><Relationship Id="rId9" Type="http://schemas.openxmlformats.org/officeDocument/2006/relationships/hyperlink" Target="https://www.justice.govt.nz/assets/Documents/Publications/family-justice-reforms-final-report-independent-pan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4bf6e64-41b1-4008-8b31-81e768f35d2f">
      <Value>340</Value>
    </TaxCatchAll>
    <i0f84bba906045b4af568ee102a52dcb xmlns="14bf6e64-41b1-4008-8b31-81e768f35d2f">
      <Terms xmlns="http://schemas.microsoft.com/office/infopath/2007/PartnerControls">
        <TermInfo xmlns="http://schemas.microsoft.com/office/infopath/2007/PartnerControls">
          <TermName xmlns="http://schemas.microsoft.com/office/infopath/2007/PartnerControls">International Monitoring ＆ Submissions</TermName>
          <TermId xmlns="http://schemas.microsoft.com/office/infopath/2007/PartnerControls">2a22f43d-b086-4b03-9efa-1cfb9a62dde0</TermId>
        </TermInfo>
      </Terms>
    </i0f84bba906045b4af568ee102a52dcb>
    <FinancialYear xmlns="14bf6e64-41b1-4008-8b31-81e768f35d2f" xsi:nil="true"/>
    <_dlc_DocId xmlns="14bf6e64-41b1-4008-8b31-81e768f35d2f">WVJMT6KT2DMM-2137168152-11683</_dlc_DocId>
    <_dlc_DocIdUrl xmlns="14bf6e64-41b1-4008-8b31-81e768f35d2f">
      <Url>https://hrcnz.sharepoint.com/sites/t/PromotionAdvocacyMonitoring/_layouts/15/DocIdRedir.aspx?ID=WVJMT6KT2DMM-2137168152-11683</Url>
      <Description>WVJMT6KT2DMM-2137168152-11683</Description>
    </_dlc_DocIdUrl>
    <SharedWithUsers xmlns="0a28ad9b-b50f-45c7-9909-b90a4cda4617">
      <UserInfo>
        <DisplayName>Nid Satjipanon</DisplayName>
        <AccountId>10214</AccountId>
        <AccountType/>
      </UserInfo>
      <UserInfo>
        <DisplayName>Frances Everard</DisplayName>
        <AccountId>9833</AccountId>
        <AccountType/>
      </UserInfo>
      <UserInfo>
        <DisplayName>John Hancock</DisplayName>
        <AccountId>97</AccountId>
        <AccountType/>
      </UserInfo>
      <UserInfo>
        <DisplayName>Saunoamaali’i Karanina Sumeo</DisplayName>
        <AccountId>4707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6A6F5F0E5872D4FBC99FF82404852FC" ma:contentTypeVersion="40" ma:contentTypeDescription="Create a new document." ma:contentTypeScope="" ma:versionID="df2a7eb2e8f2faa03aea5767bab189cb">
  <xsd:schema xmlns:xsd="http://www.w3.org/2001/XMLSchema" xmlns:xs="http://www.w3.org/2001/XMLSchema" xmlns:p="http://schemas.microsoft.com/office/2006/metadata/properties" xmlns:ns2="14bf6e64-41b1-4008-8b31-81e768f35d2f" xmlns:ns3="0a28ad9b-b50f-45c7-9909-b90a4cda4617" xmlns:ns4="7fa524cd-5488-4231-a774-088743c0689c" targetNamespace="http://schemas.microsoft.com/office/2006/metadata/properties" ma:root="true" ma:fieldsID="efcebeb053ee7262202a05e83336fcd2" ns2:_="" ns3:_="" ns4:_="">
    <xsd:import namespace="14bf6e64-41b1-4008-8b31-81e768f35d2f"/>
    <xsd:import namespace="0a28ad9b-b50f-45c7-9909-b90a4cda4617"/>
    <xsd:import namespace="7fa524cd-5488-4231-a774-088743c0689c"/>
    <xsd:element name="properties">
      <xsd:complexType>
        <xsd:sequence>
          <xsd:element name="documentManagement">
            <xsd:complexType>
              <xsd:all>
                <xsd:element ref="ns2:_dlc_DocId" minOccurs="0"/>
                <xsd:element ref="ns2:_dlc_DocIdUrl" minOccurs="0"/>
                <xsd:element ref="ns2:_dlc_DocIdPersistId" minOccurs="0"/>
                <xsd:element ref="ns2:FinancialYear" minOccurs="0"/>
                <xsd:element ref="ns3:SharedWithUsers" minOccurs="0"/>
                <xsd:element ref="ns3:SharedWithDetails" minOccurs="0"/>
                <xsd:element ref="ns2:i0f84bba906045b4af568ee102a52dcb" minOccurs="0"/>
                <xsd:element ref="ns2:TaxCatchAll"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f6e64-41b1-4008-8b31-81e768f35d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Year" ma:index="11" nillable="true" ma:displayName="Financial Year" ma:description="Financial Year" ma:format="Dropdown" ma:internalName="FinancialYear">
      <xsd:simpleType>
        <xsd:restriction base="dms:Choice">
          <xsd:enumeration value="2000-01"/>
          <xsd:enumeration value="2001-02"/>
          <xsd:enumeration value="2002-03"/>
          <xsd:enumeration value="2003-04"/>
          <xsd:enumeration value="2004-05"/>
          <xsd:enumeration value="2005-06"/>
          <xsd:enumeration value="2006-07"/>
          <xsd:enumeration value="2007-08"/>
          <xsd:enumeration value="2008-09"/>
          <xsd:enumeration value="2009-10"/>
          <xsd:enumeration value="2010-11"/>
          <xsd:enumeration value="2011-12"/>
          <xsd:enumeration value="2012-13"/>
          <xsd:enumeration value="2013-14"/>
          <xsd:enumeration value="2014-15"/>
          <xsd:enumeration value="2015-16"/>
          <xsd:enumeration value="2016-17"/>
          <xsd:enumeration value="2017-18"/>
          <xsd:enumeration value="2018-19"/>
          <xsd:enumeration value="2019-20"/>
        </xsd:restriction>
      </xsd:simpleType>
    </xsd:element>
    <xsd:element name="i0f84bba906045b4af568ee102a52dcb" ma:index="15" nillable="true" ma:taxonomy="true" ma:internalName="i0f84bba906045b4af568ee102a52dcb" ma:taxonomyFieldName="RevIMBCS" ma:displayName="HRC Taxonomy" ma:indexed="true" ma:readOnly="false" ma:default="340;#International Monitoring ＆ Submissions|2a22f43d-b086-4b03-9efa-1cfb9a62dde0" ma:fieldId="{20f84bba-9060-45b4-af56-8ee102a52dcb}" ma:sspId="b81e6a3b-7119-479f-a0a1-d1ace2e3d91a" ma:termSetId="b5c58978-aacf-4d49-9597-114f1244351d" ma:anchorId="95e39927-8a8a-49bd-969d-d6280031797e" ma:open="false" ma:isKeyword="false">
      <xsd:complexType>
        <xsd:sequence>
          <xsd:element ref="pc:Terms" minOccurs="0" maxOccurs="1"/>
        </xsd:sequence>
      </xsd:complexType>
    </xsd:element>
    <xsd:element name="TaxCatchAll" ma:index="16" nillable="true" ma:displayName="Taxonomy Catch All Column" ma:description="" ma:hidden="true" ma:list="{e98d8594-ac13-4827-9ccc-f6e688be706a}" ma:internalName="TaxCatchAll" ma:showField="CatchAllData" ma:web="14bf6e64-41b1-4008-8b31-81e768f35d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28ad9b-b50f-45c7-9909-b90a4cda461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a524cd-5488-4231-a774-088743c0689c"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B6428-B3B5-4253-B174-EE61A7BA9947}">
  <ds:schemaRefs>
    <ds:schemaRef ds:uri="http://schemas.microsoft.com/office/2006/metadata/properties"/>
    <ds:schemaRef ds:uri="http://schemas.microsoft.com/office/infopath/2007/PartnerControls"/>
    <ds:schemaRef ds:uri="14bf6e64-41b1-4008-8b31-81e768f35d2f"/>
    <ds:schemaRef ds:uri="0a28ad9b-b50f-45c7-9909-b90a4cda4617"/>
  </ds:schemaRefs>
</ds:datastoreItem>
</file>

<file path=customXml/itemProps2.xml><?xml version="1.0" encoding="utf-8"?>
<ds:datastoreItem xmlns:ds="http://schemas.openxmlformats.org/officeDocument/2006/customXml" ds:itemID="{10229A66-5FBD-4BBD-927F-0B9A6D644A60}">
  <ds:schemaRefs>
    <ds:schemaRef ds:uri="http://schemas.openxmlformats.org/officeDocument/2006/bibliography"/>
  </ds:schemaRefs>
</ds:datastoreItem>
</file>

<file path=customXml/itemProps3.xml><?xml version="1.0" encoding="utf-8"?>
<ds:datastoreItem xmlns:ds="http://schemas.openxmlformats.org/officeDocument/2006/customXml" ds:itemID="{626A9487-3ADE-47A6-B000-7D3750FA10B9}">
  <ds:schemaRefs>
    <ds:schemaRef ds:uri="http://schemas.microsoft.com/sharepoint/events"/>
  </ds:schemaRefs>
</ds:datastoreItem>
</file>

<file path=customXml/itemProps4.xml><?xml version="1.0" encoding="utf-8"?>
<ds:datastoreItem xmlns:ds="http://schemas.openxmlformats.org/officeDocument/2006/customXml" ds:itemID="{8EC2C7BE-AE7D-4B44-A119-09CCCA1B1201}">
  <ds:schemaRefs>
    <ds:schemaRef ds:uri="http://schemas.microsoft.com/sharepoint/v3/contenttype/forms"/>
  </ds:schemaRefs>
</ds:datastoreItem>
</file>

<file path=customXml/itemProps5.xml><?xml version="1.0" encoding="utf-8"?>
<ds:datastoreItem xmlns:ds="http://schemas.openxmlformats.org/officeDocument/2006/customXml" ds:itemID="{23B63EFC-44A9-4009-A05F-6FEE0DA46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f6e64-41b1-4008-8b31-81e768f35d2f"/>
    <ds:schemaRef ds:uri="0a28ad9b-b50f-45c7-9909-b90a4cda4617"/>
    <ds:schemaRef ds:uri="7fa524cd-5488-4231-a774-088743c06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20657</CharactersWithSpaces>
  <SharedDoc>false</SharedDoc>
  <HLinks>
    <vt:vector size="54" baseType="variant">
      <vt:variant>
        <vt:i4>3211387</vt:i4>
      </vt:variant>
      <vt:variant>
        <vt:i4>24</vt:i4>
      </vt:variant>
      <vt:variant>
        <vt:i4>0</vt:i4>
      </vt:variant>
      <vt:variant>
        <vt:i4>5</vt:i4>
      </vt:variant>
      <vt:variant>
        <vt:lpwstr>https://www.justice.govt.nz/assets/Documents/Publications/family-justice-reforms-final-report-independent-panel.pdf</vt:lpwstr>
      </vt:variant>
      <vt:variant>
        <vt:lpwstr/>
      </vt:variant>
      <vt:variant>
        <vt:i4>2687088</vt:i4>
      </vt:variant>
      <vt:variant>
        <vt:i4>21</vt:i4>
      </vt:variant>
      <vt:variant>
        <vt:i4>0</vt:i4>
      </vt:variant>
      <vt:variant>
        <vt:i4>5</vt:i4>
      </vt:variant>
      <vt:variant>
        <vt:lpwstr>https://www.health.govt.nz/system/files/documents/pages/abortion-services-summary-dhb-quarterly-survey-responses-dec20.pdf</vt:lpwstr>
      </vt:variant>
      <vt:variant>
        <vt:lpwstr/>
      </vt:variant>
      <vt:variant>
        <vt:i4>2490384</vt:i4>
      </vt:variant>
      <vt:variant>
        <vt:i4>18</vt:i4>
      </vt:variant>
      <vt:variant>
        <vt:i4>0</vt:i4>
      </vt:variant>
      <vt:variant>
        <vt:i4>5</vt:i4>
      </vt:variant>
      <vt:variant>
        <vt:lpwstr>https://www.parliament.nz/en/pb/bills-and-laws/bills-proposed-laws/document/BILL_99649/contraception-sterilisation-and-abortion-safe-areas</vt:lpwstr>
      </vt:variant>
      <vt:variant>
        <vt:lpwstr/>
      </vt:variant>
      <vt:variant>
        <vt:i4>1310776</vt:i4>
      </vt:variant>
      <vt:variant>
        <vt:i4>15</vt:i4>
      </vt:variant>
      <vt:variant>
        <vt:i4>0</vt:i4>
      </vt:variant>
      <vt:variant>
        <vt:i4>5</vt:i4>
      </vt:variant>
      <vt:variant>
        <vt:lpwstr>https://www.hrc.co.nz/files/5515/9468/2462/FINAL_HRC_Submission_to_the_Special_Rapporteur_on_womens_rights.pdf</vt:lpwstr>
      </vt:variant>
      <vt:variant>
        <vt:lpwstr/>
      </vt:variant>
      <vt:variant>
        <vt:i4>1638412</vt:i4>
      </vt:variant>
      <vt:variant>
        <vt:i4>12</vt:i4>
      </vt:variant>
      <vt:variant>
        <vt:i4>0</vt:i4>
      </vt:variant>
      <vt:variant>
        <vt:i4>5</vt:i4>
      </vt:variant>
      <vt:variant>
        <vt:lpwstr>https://www.justice.govt.nz/assets/Documents/Publications/sf79dq-Sexual-violence-victimisations-attrition-and-progression-report-v1.0.pdf</vt:lpwstr>
      </vt:variant>
      <vt:variant>
        <vt:lpwstr/>
      </vt:variant>
      <vt:variant>
        <vt:i4>4325397</vt:i4>
      </vt:variant>
      <vt:variant>
        <vt:i4>9</vt:i4>
      </vt:variant>
      <vt:variant>
        <vt:i4>0</vt:i4>
      </vt:variant>
      <vt:variant>
        <vt:i4>5</vt:i4>
      </vt:variant>
      <vt:variant>
        <vt:lpwstr>https://www.orangatamariki.govt.nz/assets/Uploads/Research/Research-seminars/August-2019-seminar/NZ-Crime-and-Victims-Survey-Dr-Michael-Slyuzberg.pdf</vt:lpwstr>
      </vt:variant>
      <vt:variant>
        <vt:lpwstr/>
      </vt:variant>
      <vt:variant>
        <vt:i4>6488169</vt:i4>
      </vt:variant>
      <vt:variant>
        <vt:i4>6</vt:i4>
      </vt:variant>
      <vt:variant>
        <vt:i4>0</vt:i4>
      </vt:variant>
      <vt:variant>
        <vt:i4>5</vt:i4>
      </vt:variant>
      <vt:variant>
        <vt:lpwstr>https://www.hrc.co.nz/our-work/indigenous-rights/our-work/review-new-zealands-constitutional-arrangements/</vt:lpwstr>
      </vt:variant>
      <vt:variant>
        <vt:lpwstr/>
      </vt:variant>
      <vt:variant>
        <vt:i4>6029331</vt:i4>
      </vt:variant>
      <vt:variant>
        <vt:i4>3</vt:i4>
      </vt:variant>
      <vt:variant>
        <vt:i4>0</vt:i4>
      </vt:variant>
      <vt:variant>
        <vt:i4>5</vt:i4>
      </vt:variant>
      <vt:variant>
        <vt:lpwstr>https://www.newsroom.co.nz/pro/family-and-sexual-violence-strategy-on-the-way</vt:lpwstr>
      </vt:variant>
      <vt:variant>
        <vt:lpwstr/>
      </vt:variant>
      <vt:variant>
        <vt:i4>3211343</vt:i4>
      </vt:variant>
      <vt:variant>
        <vt:i4>0</vt:i4>
      </vt:variant>
      <vt:variant>
        <vt:i4>0</vt:i4>
      </vt:variant>
      <vt:variant>
        <vt:i4>5</vt:i4>
      </vt:variant>
      <vt:variant>
        <vt:lpwstr>https://www.parliament.nz/resource/en-NZ/SCR_99876/68803d2bb3c2f80fcb2d9f6f4cc0c69dd3d9fe16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dc:description/>
  <cp:lastModifiedBy>Eleanor Vermunt</cp:lastModifiedBy>
  <cp:revision>2</cp:revision>
  <dcterms:created xsi:type="dcterms:W3CDTF">2021-02-16T21:33:00Z</dcterms:created>
  <dcterms:modified xsi:type="dcterms:W3CDTF">2021-02-16T21:33:00Z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0x01010096A6F5F0E5872D4FBC99FF82404852FC</vt:lpwstr>
  </property>
  <property fmtid="{D5CDD505-2E9C-101B-9397-08002B2CF9AE}" pid="3" name="RevIMBCS">
    <vt:lpwstr>340;#International Monitoring ＆ Submissions|2a22f43d-b086-4b03-9efa-1cfb9a62dde0</vt:lpwstr>
  </property>
  <property fmtid="{D5CDD505-2E9C-101B-9397-08002B2CF9AE}" pid="4" name="_dlc_DocIdItemGuid">
    <vt:lpwstr>f8c7eb9e-610a-4f73-a6b0-f3e533d95d09</vt:lpwstr>
  </property>
</Properties>
</file>