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C257" w14:textId="3C1AF09B" w:rsidR="00F4193D" w:rsidRPr="00F4193D" w:rsidRDefault="00F4193D" w:rsidP="00F4193D">
      <w:pPr>
        <w:pStyle w:val="Heading1"/>
        <w:spacing w:after="0"/>
        <w:jc w:val="center"/>
        <w:rPr>
          <w:sz w:val="24"/>
          <w:szCs w:val="24"/>
        </w:rPr>
      </w:pPr>
      <w:r>
        <w:rPr>
          <w:sz w:val="24"/>
          <w:szCs w:val="24"/>
        </w:rPr>
        <w:t>UPR 2018 Factsheet: Violence Against Women</w:t>
      </w:r>
      <w:r>
        <w:rPr>
          <w:sz w:val="24"/>
          <w:szCs w:val="24"/>
        </w:rPr>
        <w:br/>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D40753" w:rsidRPr="00DA2540" w14:paraId="2BC31F87" w14:textId="77777777" w:rsidTr="00972C91">
        <w:trPr>
          <w:trHeight w:val="429"/>
        </w:trPr>
        <w:tc>
          <w:tcPr>
            <w:tcW w:w="11058" w:type="dxa"/>
            <w:shd w:val="clear" w:color="auto" w:fill="D3D0E7"/>
          </w:tcPr>
          <w:p w14:paraId="1D42EE77" w14:textId="77777777" w:rsidR="00D40753" w:rsidRPr="00DA2540" w:rsidRDefault="00D40753" w:rsidP="004602CB">
            <w:pPr>
              <w:spacing w:after="0" w:line="240" w:lineRule="auto"/>
              <w:jc w:val="center"/>
              <w:rPr>
                <w:rFonts w:cs="Calibri"/>
                <w:b/>
                <w:lang w:val="en-GB"/>
              </w:rPr>
            </w:pPr>
            <w:r w:rsidRPr="007C1275">
              <w:rPr>
                <w:rFonts w:cs="Calibri"/>
                <w:b/>
                <w:lang w:val="en-GB"/>
              </w:rPr>
              <w:t>SUMMARY OF KEY ISSUES FROM PREVIOUS UPR CYCLES</w:t>
            </w:r>
          </w:p>
        </w:tc>
      </w:tr>
      <w:tr w:rsidR="00CE21AE" w:rsidRPr="00DA2540" w14:paraId="17B9D606" w14:textId="77777777" w:rsidTr="00972C91">
        <w:trPr>
          <w:trHeight w:val="836"/>
        </w:trPr>
        <w:tc>
          <w:tcPr>
            <w:tcW w:w="11058" w:type="dxa"/>
          </w:tcPr>
          <w:p w14:paraId="779D3EC7" w14:textId="49393F6C" w:rsidR="006972C0" w:rsidRPr="007C1275" w:rsidRDefault="00DA0D34" w:rsidP="00DA0D34">
            <w:pPr>
              <w:tabs>
                <w:tab w:val="left" w:pos="1483"/>
              </w:tabs>
              <w:spacing w:after="0" w:line="240" w:lineRule="auto"/>
              <w:jc w:val="both"/>
              <w:rPr>
                <w:rFonts w:cs="Calibri"/>
                <w:lang w:val="en-GB"/>
              </w:rPr>
            </w:pPr>
            <w:r>
              <w:rPr>
                <w:rFonts w:cs="Calibri"/>
                <w:lang w:val="en-GB"/>
              </w:rPr>
              <w:t>The first and sec</w:t>
            </w:r>
            <w:bookmarkStart w:id="0" w:name="_GoBack"/>
            <w:bookmarkEnd w:id="0"/>
            <w:r>
              <w:rPr>
                <w:rFonts w:cs="Calibri"/>
                <w:lang w:val="en-GB"/>
              </w:rPr>
              <w:t xml:space="preserve">ond </w:t>
            </w:r>
            <w:r w:rsidR="00972C91">
              <w:rPr>
                <w:rFonts w:cs="Calibri"/>
                <w:lang w:val="en-GB"/>
              </w:rPr>
              <w:t xml:space="preserve">UPR </w:t>
            </w:r>
            <w:r>
              <w:rPr>
                <w:rFonts w:cs="Calibri"/>
                <w:lang w:val="en-GB"/>
              </w:rPr>
              <w:t xml:space="preserve">cycles identified gender-based violence including child sexual abuse, domestic violence, trafficking for sexual purposes, commercial sexual exploitation through trafficking, forced marriage, and sexual violence. </w:t>
            </w:r>
            <w:r w:rsidR="009020E3">
              <w:rPr>
                <w:rFonts w:cs="Calibri"/>
                <w:lang w:val="en-GB"/>
              </w:rPr>
              <w:t>While some progress through inter-agency work and strengthening of legislation (including workplace protection and specific o</w:t>
            </w:r>
            <w:r w:rsidR="0058208C">
              <w:rPr>
                <w:rFonts w:cs="Calibri"/>
                <w:lang w:val="en-GB"/>
              </w:rPr>
              <w:t xml:space="preserve">ffences) has been made, </w:t>
            </w:r>
            <w:r w:rsidR="009020E3">
              <w:rPr>
                <w:rFonts w:cs="Calibri"/>
                <w:lang w:val="en-GB"/>
              </w:rPr>
              <w:t xml:space="preserve">there is </w:t>
            </w:r>
            <w:r w:rsidR="0058208C">
              <w:rPr>
                <w:rFonts w:cs="Calibri"/>
                <w:lang w:val="en-GB"/>
              </w:rPr>
              <w:t xml:space="preserve">overall </w:t>
            </w:r>
            <w:r w:rsidR="009020E3">
              <w:rPr>
                <w:rFonts w:cs="Calibri"/>
                <w:lang w:val="en-GB"/>
              </w:rPr>
              <w:t xml:space="preserve">still minimal opportunity for women and girls to seek safety and justice through the criminal and family courts, and inadequate methods of prevention. </w:t>
            </w:r>
            <w:r w:rsidR="00CA0118">
              <w:rPr>
                <w:rFonts w:cs="Calibri"/>
                <w:lang w:val="en-GB"/>
              </w:rPr>
              <w:t xml:space="preserve"> </w:t>
            </w:r>
          </w:p>
          <w:p w14:paraId="667E5618" w14:textId="77777777" w:rsidR="00DC0179" w:rsidRPr="00DA2540" w:rsidRDefault="00DC0179" w:rsidP="00DA0D34">
            <w:pPr>
              <w:tabs>
                <w:tab w:val="left" w:pos="1483"/>
              </w:tabs>
              <w:spacing w:after="0" w:line="240" w:lineRule="auto"/>
              <w:jc w:val="both"/>
              <w:rPr>
                <w:rFonts w:cs="Calibri"/>
                <w:highlight w:val="yellow"/>
                <w:lang w:val="en-GB"/>
              </w:rPr>
            </w:pPr>
          </w:p>
        </w:tc>
      </w:tr>
    </w:tbl>
    <w:p w14:paraId="4F546EF5" w14:textId="77777777" w:rsidR="0069692A" w:rsidRPr="0069692A" w:rsidRDefault="0069692A" w:rsidP="0069692A">
      <w:pPr>
        <w:spacing w:after="0" w:line="240" w:lineRule="auto"/>
        <w:rPr>
          <w:rFonts w:cs="Calibri"/>
          <w:sz w:val="40"/>
          <w:szCs w:val="40"/>
          <w:lang w:val="en-GB"/>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90"/>
        <w:gridCol w:w="6930"/>
      </w:tblGrid>
      <w:tr w:rsidR="00D40753" w:rsidRPr="00DA2540" w14:paraId="687BA0F1" w14:textId="77777777" w:rsidTr="00972C91">
        <w:trPr>
          <w:trHeight w:val="369"/>
        </w:trPr>
        <w:tc>
          <w:tcPr>
            <w:tcW w:w="4128" w:type="dxa"/>
            <w:gridSpan w:val="2"/>
            <w:tcBorders>
              <w:bottom w:val="single" w:sz="4" w:space="0" w:color="auto"/>
              <w:right w:val="nil"/>
            </w:tcBorders>
            <w:shd w:val="clear" w:color="auto" w:fill="D3D0E7"/>
          </w:tcPr>
          <w:p w14:paraId="7531917B" w14:textId="77777777" w:rsidR="00D40753" w:rsidRPr="00A93565" w:rsidRDefault="00D40753" w:rsidP="004602CB">
            <w:pPr>
              <w:spacing w:after="0" w:line="240" w:lineRule="auto"/>
              <w:jc w:val="center"/>
              <w:rPr>
                <w:rFonts w:cs="Calibri"/>
                <w:b/>
                <w:lang w:val="en-GB"/>
              </w:rPr>
            </w:pPr>
            <w:r w:rsidRPr="00A93565">
              <w:rPr>
                <w:rFonts w:cs="Calibri"/>
                <w:b/>
                <w:lang w:val="en-GB"/>
              </w:rPr>
              <w:t>CHALLENGES</w:t>
            </w:r>
          </w:p>
        </w:tc>
        <w:tc>
          <w:tcPr>
            <w:tcW w:w="6930" w:type="dxa"/>
            <w:tcBorders>
              <w:left w:val="nil"/>
              <w:bottom w:val="single" w:sz="4" w:space="0" w:color="auto"/>
            </w:tcBorders>
            <w:shd w:val="clear" w:color="auto" w:fill="D3D0E7"/>
          </w:tcPr>
          <w:p w14:paraId="09A70BC8" w14:textId="77777777" w:rsidR="00D40753" w:rsidRPr="00A93565" w:rsidRDefault="00D40753" w:rsidP="004602CB">
            <w:pPr>
              <w:spacing w:after="0" w:line="240" w:lineRule="auto"/>
              <w:jc w:val="center"/>
              <w:rPr>
                <w:rFonts w:cs="Calibri"/>
                <w:b/>
                <w:lang w:val="en-GB"/>
              </w:rPr>
            </w:pPr>
            <w:r w:rsidRPr="00A93565">
              <w:rPr>
                <w:rFonts w:cs="Calibri"/>
                <w:b/>
                <w:lang w:val="en-GB"/>
              </w:rPr>
              <w:t>IMPACT</w:t>
            </w:r>
          </w:p>
        </w:tc>
      </w:tr>
      <w:tr w:rsidR="00CE21AE" w:rsidRPr="00DA2540" w14:paraId="7581BF37" w14:textId="77777777" w:rsidTr="00972C91">
        <w:trPr>
          <w:trHeight w:val="558"/>
        </w:trPr>
        <w:tc>
          <w:tcPr>
            <w:tcW w:w="3538" w:type="dxa"/>
            <w:tcBorders>
              <w:right w:val="nil"/>
            </w:tcBorders>
          </w:tcPr>
          <w:p w14:paraId="69DA1A9C" w14:textId="77777777" w:rsidR="00A93565" w:rsidRPr="00972C91" w:rsidRDefault="00024B48" w:rsidP="00972C91">
            <w:pPr>
              <w:tabs>
                <w:tab w:val="left" w:pos="3857"/>
              </w:tabs>
              <w:spacing w:after="0" w:line="240" w:lineRule="auto"/>
              <w:rPr>
                <w:rFonts w:cs="Calibri"/>
                <w:i/>
                <w:lang w:val="en-GB"/>
              </w:rPr>
            </w:pPr>
            <w:r w:rsidRPr="00972C91">
              <w:rPr>
                <w:rFonts w:cs="Calibri"/>
                <w:i/>
                <w:lang w:val="en-GB"/>
              </w:rPr>
              <w:t>Prevalence of gender-based violence</w:t>
            </w:r>
          </w:p>
          <w:p w14:paraId="664ED034" w14:textId="4D1D3F0C" w:rsidR="00A93565" w:rsidRPr="00972C91" w:rsidRDefault="00A93565" w:rsidP="00972C91">
            <w:pPr>
              <w:tabs>
                <w:tab w:val="left" w:pos="3857"/>
              </w:tabs>
              <w:spacing w:after="0" w:line="240" w:lineRule="auto"/>
              <w:rPr>
                <w:rFonts w:cs="Calibri"/>
                <w:i/>
                <w:lang w:val="en-GB"/>
              </w:rPr>
            </w:pPr>
          </w:p>
          <w:p w14:paraId="10D3B541" w14:textId="77777777" w:rsidR="00972C91" w:rsidRPr="00972C91" w:rsidRDefault="00972C91" w:rsidP="00972C91">
            <w:pPr>
              <w:tabs>
                <w:tab w:val="left" w:pos="3857"/>
              </w:tabs>
              <w:spacing w:after="0" w:line="240" w:lineRule="auto"/>
              <w:rPr>
                <w:rFonts w:cs="Calibri"/>
                <w:i/>
                <w:lang w:val="en-GB"/>
              </w:rPr>
            </w:pPr>
          </w:p>
          <w:p w14:paraId="7896498E" w14:textId="081CD0D4" w:rsidR="000E118A" w:rsidRPr="00972C91" w:rsidRDefault="000E118A" w:rsidP="00972C91">
            <w:pPr>
              <w:tabs>
                <w:tab w:val="left" w:pos="3857"/>
              </w:tabs>
              <w:spacing w:after="0" w:line="240" w:lineRule="auto"/>
              <w:rPr>
                <w:rFonts w:cs="Calibri"/>
                <w:i/>
                <w:lang w:val="en-GB"/>
              </w:rPr>
            </w:pPr>
            <w:r w:rsidRPr="00972C91">
              <w:rPr>
                <w:rFonts w:cs="Calibri"/>
                <w:i/>
                <w:lang w:val="en-GB"/>
              </w:rPr>
              <w:t xml:space="preserve">Use of problematic concepts (e.g. Parental Alienation Syndrome, </w:t>
            </w:r>
            <w:r w:rsidR="0067557A" w:rsidRPr="00972C91">
              <w:rPr>
                <w:rFonts w:cs="Calibri"/>
                <w:i/>
                <w:lang w:val="en-GB"/>
              </w:rPr>
              <w:t>Situational Violence) in the Family Court in care of children decisions</w:t>
            </w:r>
          </w:p>
          <w:p w14:paraId="3890D7A7" w14:textId="77777777" w:rsidR="000E118A" w:rsidRPr="00972C91" w:rsidRDefault="000E118A" w:rsidP="00972C91">
            <w:pPr>
              <w:tabs>
                <w:tab w:val="left" w:pos="3857"/>
              </w:tabs>
              <w:spacing w:after="0" w:line="240" w:lineRule="auto"/>
              <w:rPr>
                <w:rFonts w:cs="Calibri"/>
                <w:i/>
                <w:lang w:val="en-GB"/>
              </w:rPr>
            </w:pPr>
          </w:p>
          <w:p w14:paraId="27AE004E" w14:textId="77777777" w:rsidR="00C31185" w:rsidRPr="00972C91" w:rsidRDefault="00A93565" w:rsidP="00972C91">
            <w:pPr>
              <w:tabs>
                <w:tab w:val="left" w:pos="3857"/>
              </w:tabs>
              <w:spacing w:after="0" w:line="240" w:lineRule="auto"/>
              <w:rPr>
                <w:rFonts w:cs="Calibri"/>
                <w:i/>
                <w:lang w:val="en-GB"/>
              </w:rPr>
            </w:pPr>
            <w:r w:rsidRPr="00972C91">
              <w:rPr>
                <w:rFonts w:cs="Calibri"/>
                <w:i/>
                <w:lang w:val="en-GB"/>
              </w:rPr>
              <w:t>Marriage of minors</w:t>
            </w:r>
            <w:r w:rsidR="00823F00" w:rsidRPr="00972C91">
              <w:rPr>
                <w:rFonts w:cs="Calibri"/>
                <w:i/>
                <w:lang w:val="en-GB"/>
              </w:rPr>
              <w:t>, despite CEDAW’s recommendation</w:t>
            </w:r>
            <w:r w:rsidR="00823F00" w:rsidRPr="00972C91">
              <w:rPr>
                <w:rStyle w:val="EndnoteReference"/>
                <w:rFonts w:cs="Calibri"/>
                <w:i/>
                <w:lang w:val="en-GB"/>
              </w:rPr>
              <w:endnoteReference w:id="1"/>
            </w:r>
          </w:p>
          <w:p w14:paraId="31B678F3" w14:textId="65B17930" w:rsidR="009651CE" w:rsidRPr="00972C91" w:rsidRDefault="009651CE" w:rsidP="00972C91">
            <w:pPr>
              <w:tabs>
                <w:tab w:val="left" w:pos="3857"/>
              </w:tabs>
              <w:spacing w:after="0" w:line="240" w:lineRule="auto"/>
              <w:rPr>
                <w:rFonts w:cs="Calibri"/>
                <w:i/>
                <w:lang w:val="en-GB"/>
              </w:rPr>
            </w:pPr>
          </w:p>
          <w:p w14:paraId="404AC21E" w14:textId="77777777" w:rsidR="00A93565" w:rsidRPr="00972C91" w:rsidRDefault="00C31185" w:rsidP="00972C91">
            <w:pPr>
              <w:tabs>
                <w:tab w:val="left" w:pos="3857"/>
              </w:tabs>
              <w:spacing w:after="0" w:line="240" w:lineRule="auto"/>
              <w:rPr>
                <w:rFonts w:cs="Calibri"/>
                <w:i/>
                <w:lang w:val="en-GB"/>
              </w:rPr>
            </w:pPr>
            <w:r w:rsidRPr="00972C91">
              <w:rPr>
                <w:rFonts w:cs="Calibri"/>
                <w:i/>
                <w:lang w:val="en-GB"/>
              </w:rPr>
              <w:t xml:space="preserve">Social </w:t>
            </w:r>
            <w:r w:rsidR="00823F00" w:rsidRPr="00972C91">
              <w:rPr>
                <w:rFonts w:cs="Calibri"/>
                <w:i/>
                <w:lang w:val="en-GB"/>
              </w:rPr>
              <w:t>security sanctions/penalties applied to</w:t>
            </w:r>
            <w:r w:rsidRPr="00972C91">
              <w:rPr>
                <w:rFonts w:cs="Calibri"/>
                <w:i/>
                <w:lang w:val="en-GB"/>
              </w:rPr>
              <w:t xml:space="preserve"> women failing to disclose relationship status or children’s fathers’ details</w:t>
            </w:r>
            <w:r w:rsidR="00823F00" w:rsidRPr="00972C91">
              <w:rPr>
                <w:rFonts w:cs="Calibri"/>
                <w:i/>
                <w:lang w:val="en-GB"/>
              </w:rPr>
              <w:t>, despite victims’ fears for safety</w:t>
            </w:r>
            <w:r w:rsidR="00823F00" w:rsidRPr="00972C91">
              <w:rPr>
                <w:rStyle w:val="EndnoteReference"/>
                <w:rFonts w:cs="Calibri"/>
                <w:i/>
                <w:lang w:val="en-GB"/>
              </w:rPr>
              <w:endnoteReference w:id="2"/>
            </w:r>
          </w:p>
          <w:p w14:paraId="0F05C973" w14:textId="77777777" w:rsidR="00CA0118" w:rsidRPr="00972C91" w:rsidRDefault="00CA0118" w:rsidP="00972C91">
            <w:pPr>
              <w:tabs>
                <w:tab w:val="left" w:pos="3857"/>
              </w:tabs>
              <w:spacing w:after="0" w:line="240" w:lineRule="auto"/>
              <w:rPr>
                <w:rFonts w:cs="Calibri"/>
                <w:i/>
                <w:lang w:val="en-GB"/>
              </w:rPr>
            </w:pPr>
          </w:p>
          <w:p w14:paraId="6C0DFE5E" w14:textId="77777777" w:rsidR="009651CE" w:rsidRPr="00972C91" w:rsidRDefault="009651CE" w:rsidP="00972C91">
            <w:pPr>
              <w:tabs>
                <w:tab w:val="left" w:pos="3857"/>
              </w:tabs>
              <w:spacing w:after="0" w:line="240" w:lineRule="auto"/>
              <w:rPr>
                <w:rFonts w:cs="Calibri"/>
                <w:i/>
                <w:lang w:val="en-GB"/>
              </w:rPr>
            </w:pPr>
          </w:p>
          <w:p w14:paraId="554855AC" w14:textId="77777777" w:rsidR="00705F27" w:rsidRPr="00972C91" w:rsidRDefault="00705F27" w:rsidP="00972C91">
            <w:pPr>
              <w:tabs>
                <w:tab w:val="left" w:pos="3857"/>
              </w:tabs>
              <w:spacing w:after="0" w:line="240" w:lineRule="auto"/>
              <w:rPr>
                <w:rFonts w:cs="Calibri"/>
                <w:i/>
                <w:lang w:val="en-GB"/>
              </w:rPr>
            </w:pPr>
            <w:r w:rsidRPr="00972C91">
              <w:rPr>
                <w:rFonts w:cs="Calibri"/>
                <w:i/>
                <w:lang w:val="en-GB"/>
              </w:rPr>
              <w:t>Sexual exploitation of women and girls through forced prostitution, without any recognition or support mechanism provided by Government</w:t>
            </w:r>
          </w:p>
          <w:p w14:paraId="69C870B2" w14:textId="77777777" w:rsidR="00705F27" w:rsidRPr="00972C91" w:rsidRDefault="00705F27" w:rsidP="00972C91">
            <w:pPr>
              <w:tabs>
                <w:tab w:val="left" w:pos="3857"/>
              </w:tabs>
              <w:spacing w:after="0" w:line="240" w:lineRule="auto"/>
              <w:rPr>
                <w:rFonts w:cs="Calibri"/>
                <w:i/>
                <w:lang w:val="en-GB"/>
              </w:rPr>
            </w:pPr>
          </w:p>
          <w:p w14:paraId="6FE441D3" w14:textId="14ADC76E" w:rsidR="00CA0118" w:rsidRPr="00972C91" w:rsidRDefault="00CA0118" w:rsidP="00972C91">
            <w:pPr>
              <w:tabs>
                <w:tab w:val="left" w:pos="3857"/>
              </w:tabs>
              <w:spacing w:after="0" w:line="240" w:lineRule="auto"/>
              <w:rPr>
                <w:rFonts w:cs="Calibri"/>
                <w:i/>
                <w:lang w:val="en-GB"/>
              </w:rPr>
            </w:pPr>
            <w:r w:rsidRPr="00972C91">
              <w:rPr>
                <w:rFonts w:cs="Calibri"/>
                <w:i/>
                <w:lang w:val="en-GB"/>
              </w:rPr>
              <w:t>Limited access to data disaggregated by gender</w:t>
            </w:r>
            <w:r w:rsidR="009E0004" w:rsidRPr="00972C91">
              <w:rPr>
                <w:rFonts w:cs="Calibri"/>
                <w:i/>
                <w:lang w:val="en-GB"/>
              </w:rPr>
              <w:t>, with Police no longer capturing relationship between abuser and victim</w:t>
            </w:r>
          </w:p>
          <w:p w14:paraId="22BE283A" w14:textId="77777777" w:rsidR="004A395B" w:rsidRPr="00972C91" w:rsidRDefault="004A395B" w:rsidP="00972C91">
            <w:pPr>
              <w:tabs>
                <w:tab w:val="left" w:pos="3857"/>
              </w:tabs>
              <w:spacing w:after="0" w:line="240" w:lineRule="auto"/>
              <w:rPr>
                <w:rFonts w:cs="Calibri"/>
                <w:i/>
                <w:lang w:val="en-GB"/>
              </w:rPr>
            </w:pPr>
          </w:p>
          <w:p w14:paraId="2134E465" w14:textId="4EEB3560" w:rsidR="00972C91" w:rsidRPr="00972C91" w:rsidRDefault="0057284E" w:rsidP="00972C91">
            <w:pPr>
              <w:tabs>
                <w:tab w:val="left" w:pos="3857"/>
              </w:tabs>
              <w:spacing w:after="0" w:line="240" w:lineRule="auto"/>
              <w:rPr>
                <w:rFonts w:cs="Calibri"/>
                <w:i/>
                <w:lang w:val="en-GB"/>
              </w:rPr>
            </w:pPr>
            <w:r w:rsidRPr="00972C91">
              <w:rPr>
                <w:rFonts w:cs="Calibri"/>
                <w:i/>
                <w:lang w:val="en-GB"/>
              </w:rPr>
              <w:t>Online abuse has a subjective and high threshold for prosecution</w:t>
            </w:r>
          </w:p>
          <w:p w14:paraId="052ACCB7" w14:textId="77777777" w:rsidR="00972C91" w:rsidRPr="00972C91" w:rsidRDefault="00972C91" w:rsidP="00972C91">
            <w:pPr>
              <w:tabs>
                <w:tab w:val="left" w:pos="3857"/>
              </w:tabs>
              <w:spacing w:after="0" w:line="240" w:lineRule="auto"/>
              <w:rPr>
                <w:rFonts w:cs="Calibri"/>
                <w:i/>
                <w:lang w:val="en-GB"/>
              </w:rPr>
            </w:pPr>
          </w:p>
          <w:p w14:paraId="7419F430" w14:textId="088BA85A" w:rsidR="00972C91" w:rsidRPr="00972C91" w:rsidRDefault="00972C91" w:rsidP="00972C91">
            <w:pPr>
              <w:tabs>
                <w:tab w:val="left" w:pos="3857"/>
              </w:tabs>
              <w:spacing w:after="0" w:line="240" w:lineRule="auto"/>
              <w:rPr>
                <w:rFonts w:cs="Calibri"/>
                <w:lang w:val="en-GB"/>
              </w:rPr>
            </w:pPr>
            <w:r w:rsidRPr="00972C91">
              <w:rPr>
                <w:rFonts w:cs="Calibri"/>
                <w:i/>
                <w:lang w:val="en-GB"/>
              </w:rPr>
              <w:t xml:space="preserve">Short-term </w:t>
            </w:r>
            <w:r>
              <w:rPr>
                <w:rFonts w:cs="Calibri"/>
                <w:i/>
                <w:lang w:val="en-GB"/>
              </w:rPr>
              <w:t xml:space="preserve">and </w:t>
            </w:r>
            <w:r w:rsidRPr="00972C91">
              <w:rPr>
                <w:rFonts w:cs="Calibri"/>
                <w:i/>
                <w:lang w:val="en-GB"/>
              </w:rPr>
              <w:t>precarious funding for specialist agencies</w:t>
            </w:r>
          </w:p>
        </w:tc>
        <w:tc>
          <w:tcPr>
            <w:tcW w:w="7520" w:type="dxa"/>
            <w:gridSpan w:val="2"/>
            <w:tcBorders>
              <w:left w:val="nil"/>
            </w:tcBorders>
          </w:tcPr>
          <w:p w14:paraId="22B9BB58" w14:textId="0166857B" w:rsidR="00CE21AE" w:rsidRPr="00972C91" w:rsidRDefault="00024B48" w:rsidP="00972C91">
            <w:pPr>
              <w:tabs>
                <w:tab w:val="left" w:pos="3857"/>
              </w:tabs>
              <w:spacing w:after="0" w:line="240" w:lineRule="auto"/>
              <w:rPr>
                <w:rFonts w:cs="Calibri"/>
                <w:lang w:val="en-GB"/>
              </w:rPr>
            </w:pPr>
            <w:r w:rsidRPr="00972C91">
              <w:rPr>
                <w:rFonts w:cs="Calibri"/>
                <w:lang w:val="en-GB"/>
              </w:rPr>
              <w:t>1 in</w:t>
            </w:r>
            <w:r w:rsidR="003573F4" w:rsidRPr="00972C91">
              <w:rPr>
                <w:rFonts w:cs="Calibri"/>
                <w:lang w:val="en-GB"/>
              </w:rPr>
              <w:t xml:space="preserve"> </w:t>
            </w:r>
            <w:r w:rsidRPr="00972C91">
              <w:rPr>
                <w:rFonts w:cs="Calibri"/>
                <w:lang w:val="en-GB"/>
              </w:rPr>
              <w:t xml:space="preserve">3 women </w:t>
            </w:r>
            <w:r w:rsidR="00972C91" w:rsidRPr="00972C91">
              <w:rPr>
                <w:rFonts w:cs="Calibri"/>
                <w:lang w:val="en-GB"/>
              </w:rPr>
              <w:t xml:space="preserve">are </w:t>
            </w:r>
            <w:r w:rsidRPr="00972C91">
              <w:rPr>
                <w:rFonts w:cs="Calibri"/>
                <w:lang w:val="en-GB"/>
              </w:rPr>
              <w:t xml:space="preserve">abused by an intimate partner, 1 in 4 girls </w:t>
            </w:r>
            <w:r w:rsidR="00972C91" w:rsidRPr="00972C91">
              <w:rPr>
                <w:rFonts w:cs="Calibri"/>
                <w:lang w:val="en-GB"/>
              </w:rPr>
              <w:t xml:space="preserve">are </w:t>
            </w:r>
            <w:r w:rsidRPr="00972C91">
              <w:rPr>
                <w:rFonts w:cs="Calibri"/>
                <w:lang w:val="en-GB"/>
              </w:rPr>
              <w:t xml:space="preserve">sexually assaulted under the age of 16, </w:t>
            </w:r>
            <w:r w:rsidR="00972C91" w:rsidRPr="00972C91">
              <w:rPr>
                <w:rFonts w:cs="Calibri"/>
                <w:lang w:val="en-GB"/>
              </w:rPr>
              <w:t xml:space="preserve">and </w:t>
            </w:r>
            <w:r w:rsidRPr="00972C91">
              <w:rPr>
                <w:rFonts w:cs="Calibri"/>
                <w:lang w:val="en-GB"/>
              </w:rPr>
              <w:t xml:space="preserve">1 in 5 </w:t>
            </w:r>
            <w:r w:rsidR="0057284E" w:rsidRPr="00972C91">
              <w:rPr>
                <w:rFonts w:cs="Calibri"/>
                <w:lang w:val="en-GB"/>
              </w:rPr>
              <w:t xml:space="preserve">adult women </w:t>
            </w:r>
            <w:r w:rsidR="00972C91" w:rsidRPr="00972C91">
              <w:rPr>
                <w:rFonts w:cs="Calibri"/>
                <w:lang w:val="en-GB"/>
              </w:rPr>
              <w:t xml:space="preserve">are </w:t>
            </w:r>
            <w:r w:rsidR="0057284E" w:rsidRPr="00972C91">
              <w:rPr>
                <w:rFonts w:cs="Calibri"/>
                <w:lang w:val="en-GB"/>
              </w:rPr>
              <w:t>sexually assaulted.</w:t>
            </w:r>
            <w:r w:rsidR="006C41CD">
              <w:rPr>
                <w:rStyle w:val="EndnoteReference"/>
                <w:rFonts w:cs="Calibri"/>
                <w:lang w:val="en-GB"/>
              </w:rPr>
              <w:endnoteReference w:id="3"/>
            </w:r>
          </w:p>
          <w:p w14:paraId="0EF96B13" w14:textId="51280A37" w:rsidR="00F033F2" w:rsidRPr="00972C91" w:rsidRDefault="00F033F2" w:rsidP="00972C91">
            <w:pPr>
              <w:autoSpaceDE w:val="0"/>
              <w:autoSpaceDN w:val="0"/>
              <w:adjustRightInd w:val="0"/>
              <w:spacing w:after="0" w:line="240" w:lineRule="auto"/>
              <w:rPr>
                <w:rFonts w:cs="Calibri"/>
                <w:lang w:val="en-GB"/>
              </w:rPr>
            </w:pPr>
          </w:p>
          <w:p w14:paraId="4BD16D9A" w14:textId="2181BD81" w:rsidR="00F033F2" w:rsidRPr="00972C91" w:rsidRDefault="00971511" w:rsidP="00972C91">
            <w:pPr>
              <w:autoSpaceDE w:val="0"/>
              <w:autoSpaceDN w:val="0"/>
              <w:adjustRightInd w:val="0"/>
              <w:spacing w:after="0" w:line="240" w:lineRule="auto"/>
              <w:rPr>
                <w:rFonts w:cs="Calibri"/>
                <w:lang w:val="en-GB"/>
              </w:rPr>
            </w:pPr>
            <w:r w:rsidRPr="00972C91">
              <w:rPr>
                <w:rFonts w:cs="Calibri"/>
                <w:lang w:val="en-GB"/>
              </w:rPr>
              <w:t>Protection orders</w:t>
            </w:r>
            <w:r w:rsidR="009359E1" w:rsidRPr="00972C91">
              <w:rPr>
                <w:rFonts w:cs="Calibri"/>
                <w:lang w:val="en-GB"/>
              </w:rPr>
              <w:t xml:space="preserve"> </w:t>
            </w:r>
            <w:r w:rsidR="004A5785" w:rsidRPr="00972C91">
              <w:rPr>
                <w:rFonts w:cs="Calibri"/>
                <w:lang w:val="en-GB"/>
              </w:rPr>
              <w:t xml:space="preserve">are </w:t>
            </w:r>
            <w:r w:rsidR="009359E1" w:rsidRPr="00972C91">
              <w:rPr>
                <w:rFonts w:cs="Calibri"/>
                <w:lang w:val="en-GB"/>
              </w:rPr>
              <w:t>declined on tenuous bases,</w:t>
            </w:r>
            <w:r w:rsidRPr="00972C91">
              <w:rPr>
                <w:rFonts w:cs="Calibri"/>
                <w:lang w:val="en-GB"/>
              </w:rPr>
              <w:t xml:space="preserve"> </w:t>
            </w:r>
            <w:r w:rsidR="009359E1" w:rsidRPr="00972C91">
              <w:rPr>
                <w:rFonts w:cs="Calibri"/>
                <w:lang w:val="en-GB"/>
              </w:rPr>
              <w:t xml:space="preserve">and </w:t>
            </w:r>
            <w:r w:rsidR="004A5785" w:rsidRPr="00972C91">
              <w:rPr>
                <w:rFonts w:cs="Calibri"/>
                <w:lang w:val="en-GB"/>
              </w:rPr>
              <w:t xml:space="preserve">some </w:t>
            </w:r>
            <w:r w:rsidR="009359E1" w:rsidRPr="00972C91">
              <w:rPr>
                <w:rFonts w:cs="Calibri"/>
                <w:lang w:val="en-GB"/>
              </w:rPr>
              <w:t>children are</w:t>
            </w:r>
            <w:r w:rsidRPr="00972C91">
              <w:rPr>
                <w:rFonts w:cs="Calibri"/>
                <w:lang w:val="en-GB"/>
              </w:rPr>
              <w:t xml:space="preserve"> forced to spend time with an abusing parent as fathers’ access is prioritised above women’s and children’s safety</w:t>
            </w:r>
            <w:r w:rsidR="009359E1" w:rsidRPr="00972C91">
              <w:rPr>
                <w:rFonts w:cs="Calibri"/>
                <w:lang w:val="en-GB"/>
              </w:rPr>
              <w:t>. This acts</w:t>
            </w:r>
            <w:r w:rsidRPr="00972C91">
              <w:rPr>
                <w:rFonts w:cs="Calibri"/>
                <w:lang w:val="en-GB"/>
              </w:rPr>
              <w:t xml:space="preserve"> as a deterrent for women considering leaving an abuser. </w:t>
            </w:r>
          </w:p>
          <w:p w14:paraId="44E5F7D6" w14:textId="5483F742" w:rsidR="009651CE" w:rsidRPr="00972C91" w:rsidRDefault="009651CE" w:rsidP="00972C91">
            <w:pPr>
              <w:autoSpaceDE w:val="0"/>
              <w:autoSpaceDN w:val="0"/>
              <w:adjustRightInd w:val="0"/>
              <w:spacing w:after="0" w:line="240" w:lineRule="auto"/>
              <w:rPr>
                <w:rFonts w:cs="Calibri"/>
                <w:lang w:val="en-GB"/>
              </w:rPr>
            </w:pPr>
          </w:p>
          <w:p w14:paraId="4561B1E5" w14:textId="77777777" w:rsidR="00C31185" w:rsidRPr="00972C91" w:rsidRDefault="00971511" w:rsidP="00972C91">
            <w:pPr>
              <w:autoSpaceDE w:val="0"/>
              <w:autoSpaceDN w:val="0"/>
              <w:adjustRightInd w:val="0"/>
              <w:spacing w:after="0" w:line="240" w:lineRule="auto"/>
              <w:rPr>
                <w:rFonts w:cs="Calibri"/>
                <w:lang w:val="en-GB"/>
              </w:rPr>
            </w:pPr>
            <w:r w:rsidRPr="00972C91">
              <w:rPr>
                <w:rFonts w:cs="Calibri"/>
                <w:lang w:val="en-GB"/>
              </w:rPr>
              <w:t xml:space="preserve">16 and 17 year olds </w:t>
            </w:r>
            <w:r w:rsidR="004A5785" w:rsidRPr="00972C91">
              <w:rPr>
                <w:rFonts w:cs="Calibri"/>
                <w:lang w:val="en-GB"/>
              </w:rPr>
              <w:t xml:space="preserve">can be </w:t>
            </w:r>
            <w:r w:rsidRPr="00972C91">
              <w:rPr>
                <w:rFonts w:cs="Calibri"/>
                <w:lang w:val="en-GB"/>
              </w:rPr>
              <w:t xml:space="preserve">forced by older or proximal prospective partners to marry, </w:t>
            </w:r>
            <w:r w:rsidR="009359E1" w:rsidRPr="00972C91">
              <w:rPr>
                <w:rFonts w:cs="Calibri"/>
                <w:lang w:val="en-GB"/>
              </w:rPr>
              <w:t xml:space="preserve">and in our </w:t>
            </w:r>
            <w:r w:rsidRPr="00972C91">
              <w:rPr>
                <w:rFonts w:cs="Calibri"/>
                <w:lang w:val="en-GB"/>
              </w:rPr>
              <w:t>experience they are extraordinarily vulnerable to abuse.</w:t>
            </w:r>
            <w:r w:rsidR="00823F00" w:rsidRPr="00972C91">
              <w:rPr>
                <w:rStyle w:val="EndnoteReference"/>
                <w:rFonts w:cs="Calibri"/>
                <w:lang w:val="en-GB"/>
              </w:rPr>
              <w:endnoteReference w:id="4"/>
            </w:r>
          </w:p>
          <w:p w14:paraId="252FCE5B" w14:textId="64831AF3" w:rsidR="009651CE" w:rsidRPr="00972C91" w:rsidRDefault="009651CE" w:rsidP="00972C91">
            <w:pPr>
              <w:tabs>
                <w:tab w:val="center" w:pos="2392"/>
              </w:tabs>
              <w:autoSpaceDE w:val="0"/>
              <w:autoSpaceDN w:val="0"/>
              <w:adjustRightInd w:val="0"/>
              <w:spacing w:after="0" w:line="240" w:lineRule="auto"/>
              <w:rPr>
                <w:rFonts w:cs="Calibri"/>
                <w:lang w:val="en-GB"/>
              </w:rPr>
            </w:pPr>
          </w:p>
          <w:p w14:paraId="360C3321" w14:textId="77777777" w:rsidR="00C31185" w:rsidRPr="00972C91" w:rsidRDefault="00C31185" w:rsidP="00972C91">
            <w:pPr>
              <w:tabs>
                <w:tab w:val="center" w:pos="2392"/>
              </w:tabs>
              <w:autoSpaceDE w:val="0"/>
              <w:autoSpaceDN w:val="0"/>
              <w:adjustRightInd w:val="0"/>
              <w:spacing w:after="0" w:line="240" w:lineRule="auto"/>
              <w:rPr>
                <w:rFonts w:cs="Calibri"/>
                <w:lang w:val="en-GB"/>
              </w:rPr>
            </w:pPr>
            <w:r w:rsidRPr="00972C91">
              <w:rPr>
                <w:rFonts w:cs="Calibri"/>
                <w:lang w:val="en-GB"/>
              </w:rPr>
              <w:t xml:space="preserve">Victims are </w:t>
            </w:r>
            <w:r w:rsidR="004A5785" w:rsidRPr="00972C91">
              <w:rPr>
                <w:rFonts w:cs="Calibri"/>
                <w:lang w:val="en-GB"/>
              </w:rPr>
              <w:t xml:space="preserve">often </w:t>
            </w:r>
            <w:r w:rsidRPr="00972C91">
              <w:rPr>
                <w:rFonts w:cs="Calibri"/>
                <w:lang w:val="en-GB"/>
              </w:rPr>
              <w:t xml:space="preserve">unable to maintain financial independence yet are often unsupported by abusers, leaving them unable to leave or to provide for their children. These policies assume that partnerships will be ‘relationships in the nature of marriage’, which </w:t>
            </w:r>
            <w:r w:rsidR="002A148E" w:rsidRPr="00972C91">
              <w:rPr>
                <w:rFonts w:cs="Calibri"/>
                <w:lang w:val="en-GB"/>
              </w:rPr>
              <w:t>is</w:t>
            </w:r>
            <w:r w:rsidRPr="00972C91">
              <w:rPr>
                <w:rFonts w:cs="Calibri"/>
                <w:lang w:val="en-GB"/>
              </w:rPr>
              <w:t xml:space="preserve"> unrealistic in </w:t>
            </w:r>
            <w:r w:rsidR="00D26D94" w:rsidRPr="00972C91">
              <w:rPr>
                <w:rFonts w:cs="Calibri"/>
                <w:lang w:val="en-GB"/>
              </w:rPr>
              <w:t xml:space="preserve">new or unstable partnerships. These policies provide an immediate means for economic abuse and for power and control to flourish. </w:t>
            </w:r>
          </w:p>
          <w:p w14:paraId="0D124A10" w14:textId="77777777" w:rsidR="009651CE" w:rsidRPr="00972C91" w:rsidRDefault="009651CE" w:rsidP="00972C91">
            <w:pPr>
              <w:tabs>
                <w:tab w:val="center" w:pos="2392"/>
              </w:tabs>
              <w:autoSpaceDE w:val="0"/>
              <w:autoSpaceDN w:val="0"/>
              <w:adjustRightInd w:val="0"/>
              <w:spacing w:after="0" w:line="240" w:lineRule="auto"/>
              <w:rPr>
                <w:rFonts w:cs="Calibri"/>
                <w:lang w:val="en-GB"/>
              </w:rPr>
            </w:pPr>
          </w:p>
          <w:p w14:paraId="7FC2DA20" w14:textId="77777777" w:rsidR="00705F27" w:rsidRPr="00972C91" w:rsidRDefault="00705F27" w:rsidP="00972C91">
            <w:pPr>
              <w:autoSpaceDE w:val="0"/>
              <w:autoSpaceDN w:val="0"/>
              <w:adjustRightInd w:val="0"/>
              <w:spacing w:after="0" w:line="240" w:lineRule="auto"/>
              <w:rPr>
                <w:rFonts w:cs="Calibri"/>
                <w:lang w:val="en-GB"/>
              </w:rPr>
            </w:pPr>
            <w:r w:rsidRPr="00972C91">
              <w:rPr>
                <w:rFonts w:cs="Calibri"/>
                <w:lang w:val="en-GB"/>
              </w:rPr>
              <w:t>There are girls and women are forced to prostitute by a partner, friend, or family member, and there are no specialist forms of support.</w:t>
            </w:r>
            <w:r w:rsidRPr="00972C91">
              <w:rPr>
                <w:rStyle w:val="EndnoteReference"/>
                <w:rFonts w:cs="Calibri"/>
                <w:lang w:val="en-GB"/>
              </w:rPr>
              <w:endnoteReference w:id="5"/>
            </w:r>
          </w:p>
          <w:p w14:paraId="706F9906" w14:textId="77777777" w:rsidR="00705F27" w:rsidRPr="00972C91" w:rsidRDefault="00705F27" w:rsidP="00972C91">
            <w:pPr>
              <w:tabs>
                <w:tab w:val="center" w:pos="2392"/>
              </w:tabs>
              <w:autoSpaceDE w:val="0"/>
              <w:autoSpaceDN w:val="0"/>
              <w:adjustRightInd w:val="0"/>
              <w:spacing w:after="0" w:line="240" w:lineRule="auto"/>
              <w:rPr>
                <w:rFonts w:cs="Calibri"/>
                <w:lang w:val="en-GB"/>
              </w:rPr>
            </w:pPr>
          </w:p>
          <w:p w14:paraId="1C153CE3" w14:textId="77777777" w:rsidR="00705F27" w:rsidRPr="00972C91" w:rsidRDefault="00705F27" w:rsidP="00972C91">
            <w:pPr>
              <w:tabs>
                <w:tab w:val="center" w:pos="2392"/>
              </w:tabs>
              <w:autoSpaceDE w:val="0"/>
              <w:autoSpaceDN w:val="0"/>
              <w:adjustRightInd w:val="0"/>
              <w:spacing w:after="0" w:line="240" w:lineRule="auto"/>
              <w:rPr>
                <w:rFonts w:cs="Calibri"/>
                <w:lang w:val="en-GB"/>
              </w:rPr>
            </w:pPr>
          </w:p>
          <w:p w14:paraId="5BF854ED" w14:textId="77777777" w:rsidR="00705F27" w:rsidRPr="00972C91" w:rsidRDefault="00705F27" w:rsidP="00972C91">
            <w:pPr>
              <w:tabs>
                <w:tab w:val="center" w:pos="2392"/>
              </w:tabs>
              <w:autoSpaceDE w:val="0"/>
              <w:autoSpaceDN w:val="0"/>
              <w:adjustRightInd w:val="0"/>
              <w:spacing w:after="0" w:line="240" w:lineRule="auto"/>
              <w:rPr>
                <w:rFonts w:cs="Calibri"/>
                <w:lang w:val="en-GB"/>
              </w:rPr>
            </w:pPr>
          </w:p>
          <w:p w14:paraId="11B00FD2" w14:textId="64E5B908" w:rsidR="0057284E" w:rsidRPr="00972C91" w:rsidRDefault="00CA0118" w:rsidP="00972C91">
            <w:pPr>
              <w:tabs>
                <w:tab w:val="center" w:pos="2392"/>
              </w:tabs>
              <w:autoSpaceDE w:val="0"/>
              <w:autoSpaceDN w:val="0"/>
              <w:adjustRightInd w:val="0"/>
              <w:spacing w:after="0" w:line="240" w:lineRule="auto"/>
              <w:rPr>
                <w:rFonts w:cs="Calibri"/>
                <w:lang w:val="en-GB"/>
              </w:rPr>
            </w:pPr>
            <w:r w:rsidRPr="00972C91">
              <w:rPr>
                <w:rFonts w:cs="Calibri"/>
                <w:lang w:val="en-GB"/>
              </w:rPr>
              <w:t>Data summaries of offences disaggregated by gender are downloaded 13,000 times per year, but these dat</w:t>
            </w:r>
            <w:r w:rsidR="009E0004" w:rsidRPr="00972C91">
              <w:rPr>
                <w:rFonts w:cs="Calibri"/>
                <w:lang w:val="en-GB"/>
              </w:rPr>
              <w:t>a summaries have been cancelled</w:t>
            </w:r>
            <w:r w:rsidR="00823F00" w:rsidRPr="00972C91">
              <w:rPr>
                <w:rStyle w:val="EndnoteReference"/>
                <w:rFonts w:cs="Calibri"/>
                <w:lang w:val="en-GB"/>
              </w:rPr>
              <w:endnoteReference w:id="6"/>
            </w:r>
            <w:r w:rsidR="009E0004" w:rsidRPr="00972C91">
              <w:rPr>
                <w:rFonts w:cs="Calibri"/>
                <w:lang w:val="en-GB"/>
              </w:rPr>
              <w:t xml:space="preserve">. With the absence of data capturing the relationship of victim and abuser, it is </w:t>
            </w:r>
            <w:r w:rsidRPr="00972C91">
              <w:rPr>
                <w:rFonts w:cs="Calibri"/>
                <w:lang w:val="en-GB"/>
              </w:rPr>
              <w:t>impossible to identify trends of gender-based violence.</w:t>
            </w:r>
          </w:p>
          <w:p w14:paraId="1973B3E9" w14:textId="77777777" w:rsidR="00F4193D" w:rsidRPr="00972C91" w:rsidRDefault="00F4193D" w:rsidP="00972C91">
            <w:pPr>
              <w:tabs>
                <w:tab w:val="center" w:pos="2392"/>
              </w:tabs>
              <w:autoSpaceDE w:val="0"/>
              <w:autoSpaceDN w:val="0"/>
              <w:adjustRightInd w:val="0"/>
              <w:spacing w:after="0" w:line="240" w:lineRule="auto"/>
              <w:rPr>
                <w:rFonts w:cs="Calibri"/>
                <w:lang w:val="en-GB"/>
              </w:rPr>
            </w:pPr>
          </w:p>
          <w:p w14:paraId="7D0180F6" w14:textId="1A0863D9" w:rsidR="00F90EFA" w:rsidRPr="00972C91" w:rsidRDefault="0057284E" w:rsidP="00972C91">
            <w:pPr>
              <w:tabs>
                <w:tab w:val="center" w:pos="2392"/>
              </w:tabs>
              <w:autoSpaceDE w:val="0"/>
              <w:autoSpaceDN w:val="0"/>
              <w:adjustRightInd w:val="0"/>
              <w:spacing w:after="0" w:line="240" w:lineRule="auto"/>
              <w:rPr>
                <w:rFonts w:cs="Calibri"/>
                <w:lang w:val="en-GB"/>
              </w:rPr>
            </w:pPr>
            <w:r w:rsidRPr="00972C91">
              <w:rPr>
                <w:rFonts w:cs="Calibri"/>
                <w:lang w:val="en-GB"/>
              </w:rPr>
              <w:t>Many victims’ experiences of abuse are not considered harmful enough to merit a prosecution or conviction under the Harmful Digital Communications Act</w:t>
            </w:r>
            <w:r w:rsidR="00972C91" w:rsidRPr="00972C91">
              <w:rPr>
                <w:rFonts w:cs="Calibri"/>
                <w:lang w:val="en-GB"/>
              </w:rPr>
              <w:t>.</w:t>
            </w:r>
            <w:r w:rsidRPr="00972C91">
              <w:rPr>
                <w:rStyle w:val="EndnoteReference"/>
                <w:rFonts w:cs="Calibri"/>
                <w:lang w:val="en-GB"/>
              </w:rPr>
              <w:endnoteReference w:id="7"/>
            </w:r>
          </w:p>
          <w:p w14:paraId="24DD4AE4" w14:textId="77777777" w:rsidR="00972C91" w:rsidRPr="00972C91" w:rsidRDefault="00972C91" w:rsidP="00972C91">
            <w:pPr>
              <w:tabs>
                <w:tab w:val="center" w:pos="2392"/>
              </w:tabs>
              <w:autoSpaceDE w:val="0"/>
              <w:autoSpaceDN w:val="0"/>
              <w:adjustRightInd w:val="0"/>
              <w:spacing w:after="0" w:line="240" w:lineRule="auto"/>
              <w:rPr>
                <w:rFonts w:cs="Calibri"/>
                <w:lang w:val="en-GB"/>
              </w:rPr>
            </w:pPr>
          </w:p>
          <w:p w14:paraId="306B90E6" w14:textId="77777777" w:rsidR="00972C91" w:rsidRPr="00972C91" w:rsidRDefault="00972C91" w:rsidP="00972C91">
            <w:pPr>
              <w:tabs>
                <w:tab w:val="center" w:pos="2392"/>
              </w:tabs>
              <w:autoSpaceDE w:val="0"/>
              <w:autoSpaceDN w:val="0"/>
              <w:adjustRightInd w:val="0"/>
              <w:spacing w:after="0" w:line="240" w:lineRule="auto"/>
              <w:rPr>
                <w:rFonts w:cs="Calibri"/>
                <w:lang w:val="en-GB"/>
              </w:rPr>
            </w:pPr>
            <w:r w:rsidRPr="00972C91">
              <w:rPr>
                <w:rFonts w:cs="Calibri"/>
                <w:lang w:val="en-GB"/>
              </w:rPr>
              <w:t>Agencies are unable to offer competitive remuneration and attract new social workers, and cannot develop their services without guaranteed funding.</w:t>
            </w:r>
          </w:p>
          <w:p w14:paraId="489ACB9A" w14:textId="63DFC152" w:rsidR="00972C91" w:rsidRPr="00972C91" w:rsidRDefault="00972C91" w:rsidP="00972C91">
            <w:pPr>
              <w:tabs>
                <w:tab w:val="center" w:pos="2392"/>
              </w:tabs>
              <w:autoSpaceDE w:val="0"/>
              <w:autoSpaceDN w:val="0"/>
              <w:adjustRightInd w:val="0"/>
              <w:spacing w:after="0" w:line="240" w:lineRule="auto"/>
              <w:rPr>
                <w:rFonts w:cs="Calibri"/>
                <w:lang w:val="en-GB"/>
              </w:rPr>
            </w:pPr>
          </w:p>
        </w:tc>
      </w:tr>
    </w:tbl>
    <w:tbl>
      <w:tblPr>
        <w:tblpPr w:leftFromText="180" w:rightFromText="180" w:vertAnchor="text" w:horzAnchor="margin" w:tblpXSpec="center" w:tblpY="5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F4193D" w:rsidRPr="00DA2540" w14:paraId="4D608C39" w14:textId="77777777" w:rsidTr="006C41CD">
        <w:trPr>
          <w:trHeight w:val="387"/>
        </w:trPr>
        <w:tc>
          <w:tcPr>
            <w:tcW w:w="11023" w:type="dxa"/>
            <w:shd w:val="clear" w:color="auto" w:fill="D3D0E7"/>
          </w:tcPr>
          <w:p w14:paraId="58AF0506" w14:textId="29A2860C" w:rsidR="00F4193D" w:rsidRPr="00B45DB3" w:rsidRDefault="00F4193D" w:rsidP="00F4193D">
            <w:pPr>
              <w:tabs>
                <w:tab w:val="left" w:pos="3857"/>
              </w:tabs>
              <w:spacing w:after="0" w:line="240" w:lineRule="auto"/>
              <w:jc w:val="center"/>
              <w:rPr>
                <w:rFonts w:cs="Calibri"/>
                <w:b/>
                <w:lang w:val="en-GB"/>
              </w:rPr>
            </w:pPr>
            <w:r w:rsidRPr="00C170EB">
              <w:rPr>
                <w:rFonts w:cs="Calibri"/>
                <w:b/>
                <w:lang w:val="en-GB"/>
              </w:rPr>
              <w:lastRenderedPageBreak/>
              <w:t>RECOMMENDATIONS</w:t>
            </w:r>
          </w:p>
        </w:tc>
      </w:tr>
      <w:tr w:rsidR="00F4193D" w:rsidRPr="00DA2540" w14:paraId="7163FDB0" w14:textId="77777777" w:rsidTr="006C41CD">
        <w:trPr>
          <w:trHeight w:val="705"/>
        </w:trPr>
        <w:tc>
          <w:tcPr>
            <w:tcW w:w="11023" w:type="dxa"/>
          </w:tcPr>
          <w:p w14:paraId="0BF046C5" w14:textId="77777777" w:rsidR="00F4193D" w:rsidRPr="009020E3" w:rsidRDefault="00F4193D" w:rsidP="00F4193D">
            <w:pPr>
              <w:numPr>
                <w:ilvl w:val="0"/>
                <w:numId w:val="3"/>
              </w:numPr>
              <w:spacing w:after="120" w:line="240" w:lineRule="auto"/>
              <w:jc w:val="both"/>
              <w:rPr>
                <w:lang w:val="en-NZ"/>
              </w:rPr>
            </w:pPr>
            <w:r>
              <w:t>Double the</w:t>
            </w:r>
            <w:r w:rsidRPr="009020E3">
              <w:t xml:space="preserve"> </w:t>
            </w:r>
            <w:proofErr w:type="spellStart"/>
            <w:r w:rsidRPr="009020E3">
              <w:t>funding</w:t>
            </w:r>
            <w:proofErr w:type="spellEnd"/>
            <w:r w:rsidRPr="009020E3">
              <w:t xml:space="preserve"> for </w:t>
            </w:r>
            <w:proofErr w:type="spellStart"/>
            <w:r w:rsidRPr="009020E3">
              <w:t>primary</w:t>
            </w:r>
            <w:proofErr w:type="spellEnd"/>
            <w:r w:rsidRPr="009020E3">
              <w:t xml:space="preserve"> </w:t>
            </w:r>
            <w:proofErr w:type="spellStart"/>
            <w:r w:rsidRPr="009020E3">
              <w:t>prevention</w:t>
            </w:r>
            <w:proofErr w:type="spellEnd"/>
            <w:r w:rsidRPr="009020E3">
              <w:t xml:space="preserve">, and </w:t>
            </w:r>
            <w:r>
              <w:t xml:space="preserve">prioritise </w:t>
            </w:r>
            <w:proofErr w:type="spellStart"/>
            <w:r w:rsidRPr="009020E3">
              <w:t>mandatory</w:t>
            </w:r>
            <w:proofErr w:type="spellEnd"/>
            <w:r w:rsidRPr="009020E3">
              <w:t xml:space="preserve"> </w:t>
            </w:r>
            <w:r>
              <w:t xml:space="preserve">respect and </w:t>
            </w:r>
            <w:r w:rsidRPr="009020E3">
              <w:t xml:space="preserve">consent </w:t>
            </w:r>
            <w:proofErr w:type="spellStart"/>
            <w:r w:rsidRPr="009020E3">
              <w:t>education</w:t>
            </w:r>
            <w:proofErr w:type="spellEnd"/>
            <w:r w:rsidRPr="009020E3">
              <w:t xml:space="preserve"> in </w:t>
            </w:r>
            <w:proofErr w:type="spellStart"/>
            <w:r w:rsidRPr="009020E3">
              <w:t>secondary</w:t>
            </w:r>
            <w:proofErr w:type="spellEnd"/>
            <w:r w:rsidRPr="009020E3">
              <w:t xml:space="preserve"> </w:t>
            </w:r>
            <w:proofErr w:type="spellStart"/>
            <w:r w:rsidRPr="009020E3">
              <w:t>schools</w:t>
            </w:r>
            <w:proofErr w:type="spellEnd"/>
            <w:r w:rsidRPr="009020E3">
              <w:t>;</w:t>
            </w:r>
          </w:p>
          <w:p w14:paraId="3A66EBB9" w14:textId="77777777" w:rsidR="00F4193D" w:rsidRPr="009020E3" w:rsidRDefault="00F4193D" w:rsidP="00F4193D">
            <w:pPr>
              <w:numPr>
                <w:ilvl w:val="0"/>
                <w:numId w:val="3"/>
              </w:numPr>
              <w:autoSpaceDE w:val="0"/>
              <w:autoSpaceDN w:val="0"/>
              <w:adjustRightInd w:val="0"/>
              <w:spacing w:after="120" w:line="240" w:lineRule="auto"/>
              <w:ind w:left="714" w:hanging="357"/>
              <w:jc w:val="both"/>
              <w:rPr>
                <w:rFonts w:cs="Arial"/>
              </w:rPr>
            </w:pPr>
            <w:proofErr w:type="spellStart"/>
            <w:r w:rsidRPr="009020E3">
              <w:rPr>
                <w:rFonts w:cs="Arial"/>
              </w:rPr>
              <w:t>Restrict</w:t>
            </w:r>
            <w:proofErr w:type="spellEnd"/>
            <w:r w:rsidRPr="009020E3">
              <w:rPr>
                <w:rFonts w:cs="Arial"/>
              </w:rPr>
              <w:t xml:space="preserve"> the use of </w:t>
            </w:r>
            <w:proofErr w:type="spellStart"/>
            <w:r>
              <w:rPr>
                <w:rFonts w:cs="Arial"/>
              </w:rPr>
              <w:t>terms</w:t>
            </w:r>
            <w:proofErr w:type="spellEnd"/>
            <w:r>
              <w:rPr>
                <w:rFonts w:cs="Arial"/>
              </w:rPr>
              <w:t xml:space="preserve"> </w:t>
            </w:r>
            <w:proofErr w:type="spellStart"/>
            <w:r>
              <w:rPr>
                <w:rFonts w:cs="Arial"/>
              </w:rPr>
              <w:t>such</w:t>
            </w:r>
            <w:proofErr w:type="spellEnd"/>
            <w:r>
              <w:rPr>
                <w:rFonts w:cs="Arial"/>
              </w:rPr>
              <w:t xml:space="preserve"> as ‘Parental </w:t>
            </w:r>
            <w:proofErr w:type="spellStart"/>
            <w:r>
              <w:rPr>
                <w:rFonts w:cs="Arial"/>
              </w:rPr>
              <w:t>Alienation</w:t>
            </w:r>
            <w:proofErr w:type="spellEnd"/>
            <w:r>
              <w:rPr>
                <w:rFonts w:cs="Arial"/>
              </w:rPr>
              <w:t>’</w:t>
            </w:r>
            <w:r w:rsidRPr="009020E3">
              <w:rPr>
                <w:rFonts w:cs="Arial"/>
              </w:rPr>
              <w:t xml:space="preserve"> in the Family Court and mandate the inclusion of all </w:t>
            </w:r>
            <w:proofErr w:type="spellStart"/>
            <w:r w:rsidRPr="009020E3">
              <w:rPr>
                <w:rFonts w:cs="Arial"/>
              </w:rPr>
              <w:t>family</w:t>
            </w:r>
            <w:proofErr w:type="spellEnd"/>
            <w:r w:rsidRPr="009020E3">
              <w:rPr>
                <w:rFonts w:cs="Arial"/>
              </w:rPr>
              <w:t xml:space="preserve"> violence information in care of </w:t>
            </w:r>
            <w:proofErr w:type="spellStart"/>
            <w:r w:rsidRPr="009020E3">
              <w:rPr>
                <w:rFonts w:cs="Arial"/>
              </w:rPr>
              <w:t>children</w:t>
            </w:r>
            <w:proofErr w:type="spellEnd"/>
            <w:r w:rsidRPr="009020E3">
              <w:rPr>
                <w:rFonts w:cs="Arial"/>
              </w:rPr>
              <w:t xml:space="preserve"> </w:t>
            </w:r>
            <w:r>
              <w:rPr>
                <w:rFonts w:cs="Arial"/>
              </w:rPr>
              <w:t xml:space="preserve">arrangement </w:t>
            </w:r>
            <w:proofErr w:type="spellStart"/>
            <w:r w:rsidRPr="009020E3">
              <w:rPr>
                <w:rFonts w:cs="Arial"/>
              </w:rPr>
              <w:t>decisions</w:t>
            </w:r>
            <w:proofErr w:type="spellEnd"/>
            <w:r w:rsidRPr="009020E3">
              <w:rPr>
                <w:rFonts w:cs="Arial"/>
              </w:rPr>
              <w:t>;</w:t>
            </w:r>
          </w:p>
          <w:p w14:paraId="196DDF2B" w14:textId="77777777" w:rsidR="00F4193D" w:rsidRPr="009020E3" w:rsidRDefault="00F4193D" w:rsidP="00F4193D">
            <w:pPr>
              <w:numPr>
                <w:ilvl w:val="0"/>
                <w:numId w:val="3"/>
              </w:numPr>
              <w:autoSpaceDE w:val="0"/>
              <w:autoSpaceDN w:val="0"/>
              <w:adjustRightInd w:val="0"/>
              <w:spacing w:after="120" w:line="240" w:lineRule="auto"/>
              <w:ind w:left="714" w:hanging="357"/>
              <w:jc w:val="both"/>
            </w:pPr>
            <w:proofErr w:type="spellStart"/>
            <w:r w:rsidRPr="009020E3">
              <w:t>Raise</w:t>
            </w:r>
            <w:proofErr w:type="spellEnd"/>
            <w:r w:rsidRPr="009020E3">
              <w:t xml:space="preserve"> the minimum </w:t>
            </w:r>
            <w:proofErr w:type="spellStart"/>
            <w:r w:rsidRPr="009020E3">
              <w:t>age</w:t>
            </w:r>
            <w:proofErr w:type="spellEnd"/>
            <w:r w:rsidRPr="009020E3">
              <w:t xml:space="preserve"> of </w:t>
            </w:r>
            <w:proofErr w:type="spellStart"/>
            <w:r w:rsidRPr="009020E3">
              <w:t>marriage</w:t>
            </w:r>
            <w:proofErr w:type="spellEnd"/>
            <w:r w:rsidRPr="009020E3">
              <w:t xml:space="preserve"> to 18, </w:t>
            </w:r>
            <w:proofErr w:type="spellStart"/>
            <w:r w:rsidRPr="009020E3">
              <w:t>without</w:t>
            </w:r>
            <w:proofErr w:type="spellEnd"/>
            <w:r w:rsidRPr="009020E3">
              <w:t xml:space="preserve"> </w:t>
            </w:r>
            <w:proofErr w:type="spellStart"/>
            <w:r>
              <w:t>any</w:t>
            </w:r>
            <w:proofErr w:type="spellEnd"/>
            <w:r>
              <w:t xml:space="preserve"> </w:t>
            </w:r>
            <w:r w:rsidRPr="009020E3">
              <w:t>provision for exceptions;</w:t>
            </w:r>
          </w:p>
          <w:p w14:paraId="271728A0" w14:textId="77777777" w:rsidR="00F4193D" w:rsidRPr="009020E3" w:rsidRDefault="00F4193D" w:rsidP="00F4193D">
            <w:pPr>
              <w:numPr>
                <w:ilvl w:val="0"/>
                <w:numId w:val="3"/>
              </w:numPr>
              <w:autoSpaceDE w:val="0"/>
              <w:autoSpaceDN w:val="0"/>
              <w:adjustRightInd w:val="0"/>
              <w:spacing w:after="120" w:line="240" w:lineRule="auto"/>
              <w:ind w:left="714" w:hanging="357"/>
              <w:jc w:val="both"/>
            </w:pPr>
            <w:proofErr w:type="spellStart"/>
            <w:r w:rsidRPr="009020E3">
              <w:t>Remove</w:t>
            </w:r>
            <w:proofErr w:type="spellEnd"/>
            <w:r w:rsidRPr="009020E3">
              <w:t xml:space="preserve"> </w:t>
            </w:r>
            <w:proofErr w:type="spellStart"/>
            <w:r w:rsidRPr="009020E3">
              <w:t>benefit</w:t>
            </w:r>
            <w:proofErr w:type="spellEnd"/>
            <w:r w:rsidRPr="009020E3">
              <w:t xml:space="preserve"> sanctions and </w:t>
            </w:r>
            <w:proofErr w:type="spellStart"/>
            <w:r w:rsidRPr="009020E3">
              <w:t>ensure</w:t>
            </w:r>
            <w:proofErr w:type="spellEnd"/>
            <w:r w:rsidRPr="009020E3">
              <w:t xml:space="preserve"> </w:t>
            </w:r>
            <w:proofErr w:type="spellStart"/>
            <w:r w:rsidRPr="009020E3">
              <w:t>access</w:t>
            </w:r>
            <w:proofErr w:type="spellEnd"/>
            <w:r w:rsidRPr="009020E3">
              <w:t xml:space="preserve"> to </w:t>
            </w:r>
            <w:proofErr w:type="spellStart"/>
            <w:r w:rsidRPr="009020E3">
              <w:t>benefits</w:t>
            </w:r>
            <w:proofErr w:type="spellEnd"/>
            <w:r w:rsidRPr="009020E3">
              <w:t xml:space="preserve"> for the first </w:t>
            </w:r>
            <w:proofErr w:type="spellStart"/>
            <w:r w:rsidRPr="009020E3">
              <w:t>two</w:t>
            </w:r>
            <w:proofErr w:type="spellEnd"/>
            <w:r w:rsidRPr="009020E3">
              <w:t xml:space="preserve"> </w:t>
            </w:r>
            <w:proofErr w:type="spellStart"/>
            <w:r w:rsidRPr="009020E3">
              <w:t>years</w:t>
            </w:r>
            <w:proofErr w:type="spellEnd"/>
            <w:r w:rsidRPr="009020E3">
              <w:t xml:space="preserve"> of new </w:t>
            </w:r>
            <w:proofErr w:type="spellStart"/>
            <w:r w:rsidRPr="009020E3">
              <w:t>relationships</w:t>
            </w:r>
            <w:proofErr w:type="spellEnd"/>
            <w:r w:rsidRPr="009020E3">
              <w:t xml:space="preserve"> for </w:t>
            </w:r>
            <w:proofErr w:type="spellStart"/>
            <w:r w:rsidRPr="009020E3">
              <w:t>mothers</w:t>
            </w:r>
            <w:proofErr w:type="spellEnd"/>
            <w:r w:rsidRPr="009020E3">
              <w:t xml:space="preserve"> </w:t>
            </w:r>
            <w:proofErr w:type="spellStart"/>
            <w:r w:rsidRPr="009020E3">
              <w:t>with</w:t>
            </w:r>
            <w:proofErr w:type="spellEnd"/>
            <w:r w:rsidRPr="009020E3">
              <w:t xml:space="preserve"> </w:t>
            </w:r>
            <w:proofErr w:type="spellStart"/>
            <w:r w:rsidRPr="009020E3">
              <w:t>children</w:t>
            </w:r>
            <w:proofErr w:type="spellEnd"/>
            <w:r w:rsidRPr="009020E3">
              <w:t xml:space="preserve"> in </w:t>
            </w:r>
            <w:proofErr w:type="spellStart"/>
            <w:r w:rsidRPr="009020E3">
              <w:t>their</w:t>
            </w:r>
            <w:proofErr w:type="spellEnd"/>
            <w:r w:rsidRPr="009020E3">
              <w:t xml:space="preserve"> care;</w:t>
            </w:r>
          </w:p>
          <w:p w14:paraId="28C2BAAE" w14:textId="77777777" w:rsidR="00705F27" w:rsidRPr="009020E3" w:rsidRDefault="00705F27" w:rsidP="00705F27">
            <w:pPr>
              <w:numPr>
                <w:ilvl w:val="0"/>
                <w:numId w:val="3"/>
              </w:numPr>
              <w:autoSpaceDE w:val="0"/>
              <w:autoSpaceDN w:val="0"/>
              <w:adjustRightInd w:val="0"/>
              <w:spacing w:after="120" w:line="240" w:lineRule="auto"/>
              <w:ind w:left="714" w:hanging="357"/>
              <w:jc w:val="both"/>
              <w:rPr>
                <w:rFonts w:cs="Arial"/>
              </w:rPr>
            </w:pPr>
            <w:proofErr w:type="spellStart"/>
            <w:r w:rsidRPr="009020E3">
              <w:t>Develop</w:t>
            </w:r>
            <w:proofErr w:type="spellEnd"/>
            <w:r w:rsidRPr="009020E3">
              <w:t xml:space="preserve"> </w:t>
            </w:r>
            <w:proofErr w:type="spellStart"/>
            <w:r w:rsidRPr="009020E3">
              <w:t>specialist</w:t>
            </w:r>
            <w:proofErr w:type="spellEnd"/>
            <w:r w:rsidRPr="009020E3">
              <w:t xml:space="preserve"> services for </w:t>
            </w:r>
            <w:proofErr w:type="spellStart"/>
            <w:r w:rsidRPr="009020E3">
              <w:t>victims</w:t>
            </w:r>
            <w:proofErr w:type="spellEnd"/>
            <w:r w:rsidRPr="009020E3">
              <w:t xml:space="preserve"> of </w:t>
            </w:r>
            <w:proofErr w:type="spellStart"/>
            <w:r>
              <w:t>domestic</w:t>
            </w:r>
            <w:proofErr w:type="spellEnd"/>
            <w:r>
              <w:t xml:space="preserve"> </w:t>
            </w:r>
            <w:proofErr w:type="spellStart"/>
            <w:r>
              <w:t>sex</w:t>
            </w:r>
            <w:proofErr w:type="spellEnd"/>
            <w:r>
              <w:t xml:space="preserve"> </w:t>
            </w:r>
            <w:proofErr w:type="spellStart"/>
            <w:r w:rsidRPr="009020E3">
              <w:t>trafficking</w:t>
            </w:r>
            <w:proofErr w:type="spellEnd"/>
            <w:r w:rsidRPr="009020E3">
              <w:t xml:space="preserve"> and </w:t>
            </w:r>
            <w:proofErr w:type="spellStart"/>
            <w:r w:rsidRPr="009020E3">
              <w:t>forced</w:t>
            </w:r>
            <w:proofErr w:type="spellEnd"/>
            <w:r w:rsidRPr="009020E3">
              <w:t xml:space="preserve"> prostitution of all </w:t>
            </w:r>
            <w:proofErr w:type="spellStart"/>
            <w:r w:rsidRPr="009020E3">
              <w:t>ages</w:t>
            </w:r>
            <w:proofErr w:type="spellEnd"/>
            <w:r w:rsidRPr="009020E3">
              <w:t xml:space="preserve">; update the National Plan of Action for </w:t>
            </w:r>
            <w:proofErr w:type="spellStart"/>
            <w:r w:rsidRPr="009020E3">
              <w:t>trafficking</w:t>
            </w:r>
            <w:proofErr w:type="spellEnd"/>
            <w:r w:rsidRPr="009020E3">
              <w:t xml:space="preserve"> and </w:t>
            </w:r>
            <w:proofErr w:type="spellStart"/>
            <w:r w:rsidRPr="009020E3">
              <w:t>ensure</w:t>
            </w:r>
            <w:proofErr w:type="spellEnd"/>
            <w:r w:rsidRPr="009020E3">
              <w:t xml:space="preserve"> </w:t>
            </w:r>
            <w:proofErr w:type="spellStart"/>
            <w:r w:rsidRPr="009020E3">
              <w:t>that</w:t>
            </w:r>
            <w:proofErr w:type="spellEnd"/>
            <w:r w:rsidRPr="009020E3">
              <w:t xml:space="preserve"> </w:t>
            </w:r>
            <w:proofErr w:type="spellStart"/>
            <w:r w:rsidRPr="009020E3">
              <w:t>domestic</w:t>
            </w:r>
            <w:proofErr w:type="spellEnd"/>
            <w:r w:rsidRPr="009020E3">
              <w:t xml:space="preserve"> </w:t>
            </w:r>
            <w:proofErr w:type="spellStart"/>
            <w:r w:rsidRPr="009020E3">
              <w:t>trafficking</w:t>
            </w:r>
            <w:proofErr w:type="spellEnd"/>
            <w:r w:rsidRPr="009020E3">
              <w:t xml:space="preserve"> for </w:t>
            </w:r>
            <w:proofErr w:type="spellStart"/>
            <w:r w:rsidRPr="009020E3">
              <w:t>sexual</w:t>
            </w:r>
            <w:proofErr w:type="spellEnd"/>
            <w:r w:rsidRPr="009020E3">
              <w:t xml:space="preserve"> </w:t>
            </w:r>
            <w:proofErr w:type="spellStart"/>
            <w:r w:rsidRPr="009020E3">
              <w:t>purposes</w:t>
            </w:r>
            <w:proofErr w:type="spellEnd"/>
            <w:r w:rsidRPr="009020E3">
              <w:t xml:space="preserve"> </w:t>
            </w:r>
            <w:proofErr w:type="spellStart"/>
            <w:r w:rsidRPr="009020E3">
              <w:t>is</w:t>
            </w:r>
            <w:proofErr w:type="spellEnd"/>
            <w:r w:rsidRPr="009020E3">
              <w:t xml:space="preserve"> </w:t>
            </w:r>
            <w:proofErr w:type="spellStart"/>
            <w:r w:rsidRPr="009020E3">
              <w:t>prioritised</w:t>
            </w:r>
            <w:proofErr w:type="spellEnd"/>
            <w:r w:rsidRPr="009020E3">
              <w:t xml:space="preserve"> </w:t>
            </w:r>
            <w:proofErr w:type="spellStart"/>
            <w:r w:rsidRPr="009020E3">
              <w:t>within</w:t>
            </w:r>
            <w:proofErr w:type="spellEnd"/>
            <w:r w:rsidRPr="009020E3">
              <w:t xml:space="preserve"> </w:t>
            </w:r>
            <w:proofErr w:type="spellStart"/>
            <w:r w:rsidRPr="009020E3">
              <w:t>this</w:t>
            </w:r>
            <w:proofErr w:type="spellEnd"/>
            <w:r w:rsidRPr="009020E3">
              <w:t xml:space="preserve"> Plan;  and </w:t>
            </w:r>
            <w:proofErr w:type="spellStart"/>
            <w:r w:rsidRPr="009020E3">
              <w:t>instigate</w:t>
            </w:r>
            <w:proofErr w:type="spellEnd"/>
            <w:r w:rsidRPr="009020E3">
              <w:t xml:space="preserve"> </w:t>
            </w:r>
            <w:proofErr w:type="spellStart"/>
            <w:r w:rsidRPr="009020E3">
              <w:t>capacity</w:t>
            </w:r>
            <w:proofErr w:type="spellEnd"/>
            <w:r w:rsidRPr="009020E3">
              <w:t xml:space="preserve"> building initiatives </w:t>
            </w:r>
            <w:proofErr w:type="spellStart"/>
            <w:r w:rsidRPr="009020E3">
              <w:t>within</w:t>
            </w:r>
            <w:proofErr w:type="spellEnd"/>
            <w:r w:rsidRPr="009020E3">
              <w:t xml:space="preserve"> State </w:t>
            </w:r>
            <w:proofErr w:type="spellStart"/>
            <w:r w:rsidRPr="009020E3">
              <w:t>departments</w:t>
            </w:r>
            <w:proofErr w:type="spellEnd"/>
            <w:r w:rsidRPr="009020E3">
              <w:t xml:space="preserve"> </w:t>
            </w:r>
            <w:proofErr w:type="spellStart"/>
            <w:r w:rsidRPr="009020E3">
              <w:t>likely</w:t>
            </w:r>
            <w:proofErr w:type="spellEnd"/>
            <w:r w:rsidRPr="009020E3">
              <w:t xml:space="preserve"> to </w:t>
            </w:r>
            <w:proofErr w:type="spellStart"/>
            <w:r w:rsidRPr="009020E3">
              <w:t>encounter</w:t>
            </w:r>
            <w:proofErr w:type="spellEnd"/>
            <w:r w:rsidRPr="009020E3">
              <w:t xml:space="preserve"> </w:t>
            </w:r>
            <w:proofErr w:type="spellStart"/>
            <w:r w:rsidRPr="009020E3">
              <w:t>trafficking</w:t>
            </w:r>
            <w:proofErr w:type="spellEnd"/>
            <w:r w:rsidRPr="009020E3">
              <w:t>;</w:t>
            </w:r>
          </w:p>
          <w:p w14:paraId="3E7E37D9" w14:textId="78F4DA7A" w:rsidR="00F4193D" w:rsidRPr="009020E3" w:rsidRDefault="00F4193D" w:rsidP="00F4193D">
            <w:pPr>
              <w:numPr>
                <w:ilvl w:val="0"/>
                <w:numId w:val="3"/>
              </w:numPr>
              <w:autoSpaceDE w:val="0"/>
              <w:autoSpaceDN w:val="0"/>
              <w:adjustRightInd w:val="0"/>
              <w:spacing w:after="120" w:line="240" w:lineRule="auto"/>
              <w:ind w:left="714" w:hanging="357"/>
              <w:jc w:val="both"/>
              <w:rPr>
                <w:rFonts w:cs="Arial"/>
              </w:rPr>
            </w:pPr>
            <w:proofErr w:type="spellStart"/>
            <w:r>
              <w:t>I</w:t>
            </w:r>
            <w:r w:rsidRPr="009020E3">
              <w:t>nstigate</w:t>
            </w:r>
            <w:proofErr w:type="spellEnd"/>
            <w:r w:rsidRPr="009020E3">
              <w:t xml:space="preserve"> police </w:t>
            </w:r>
            <w:proofErr w:type="spellStart"/>
            <w:r w:rsidRPr="009020E3">
              <w:t>reporting</w:t>
            </w:r>
            <w:proofErr w:type="spellEnd"/>
            <w:r w:rsidRPr="009020E3">
              <w:t xml:space="preserve"> on </w:t>
            </w:r>
            <w:proofErr w:type="spellStart"/>
            <w:r w:rsidRPr="009020E3">
              <w:t>family</w:t>
            </w:r>
            <w:proofErr w:type="spellEnd"/>
            <w:r w:rsidRPr="009020E3">
              <w:t xml:space="preserve"> violence </w:t>
            </w:r>
            <w:proofErr w:type="spellStart"/>
            <w:r>
              <w:t>processes</w:t>
            </w:r>
            <w:proofErr w:type="spellEnd"/>
            <w:r>
              <w:t xml:space="preserve"> for violent </w:t>
            </w:r>
            <w:proofErr w:type="spellStart"/>
            <w:r w:rsidRPr="009020E3">
              <w:t>offences</w:t>
            </w:r>
            <w:proofErr w:type="spellEnd"/>
            <w:r>
              <w:t xml:space="preserve"> </w:t>
            </w:r>
            <w:proofErr w:type="spellStart"/>
            <w:r>
              <w:t>that</w:t>
            </w:r>
            <w:proofErr w:type="spellEnd"/>
            <w:r>
              <w:t xml:space="preserve"> </w:t>
            </w:r>
            <w:proofErr w:type="spellStart"/>
            <w:r>
              <w:t>specify</w:t>
            </w:r>
            <w:proofErr w:type="spellEnd"/>
            <w:r>
              <w:t xml:space="preserve"> the </w:t>
            </w:r>
            <w:proofErr w:type="spellStart"/>
            <w:r>
              <w:t>relationship</w:t>
            </w:r>
            <w:proofErr w:type="spellEnd"/>
            <w:r>
              <w:t xml:space="preserve"> </w:t>
            </w:r>
            <w:proofErr w:type="spellStart"/>
            <w:r>
              <w:t>between</w:t>
            </w:r>
            <w:proofErr w:type="spellEnd"/>
            <w:r>
              <w:t xml:space="preserve"> </w:t>
            </w:r>
            <w:proofErr w:type="spellStart"/>
            <w:r>
              <w:t>victim</w:t>
            </w:r>
            <w:proofErr w:type="spellEnd"/>
            <w:r>
              <w:t xml:space="preserve"> and </w:t>
            </w:r>
            <w:proofErr w:type="spellStart"/>
            <w:r>
              <w:t>offender</w:t>
            </w:r>
            <w:proofErr w:type="spellEnd"/>
            <w:r w:rsidRPr="009020E3">
              <w:t>; and</w:t>
            </w:r>
            <w:r>
              <w:t xml:space="preserve"> </w:t>
            </w:r>
            <w:proofErr w:type="spellStart"/>
            <w:r>
              <w:t>renew</w:t>
            </w:r>
            <w:proofErr w:type="spellEnd"/>
            <w:r>
              <w:t xml:space="preserve"> </w:t>
            </w:r>
            <w:proofErr w:type="spellStart"/>
            <w:r>
              <w:t>contracting</w:t>
            </w:r>
            <w:proofErr w:type="spellEnd"/>
            <w:r>
              <w:t xml:space="preserve"> for the </w:t>
            </w:r>
            <w:proofErr w:type="spellStart"/>
            <w:r>
              <w:t>re</w:t>
            </w:r>
            <w:r w:rsidR="00AD6C1C">
              <w:t>porting</w:t>
            </w:r>
            <w:proofErr w:type="spellEnd"/>
            <w:r w:rsidR="00AD6C1C">
              <w:t xml:space="preserve"> of </w:t>
            </w:r>
            <w:proofErr w:type="spellStart"/>
            <w:r w:rsidR="00AD6C1C">
              <w:t>this</w:t>
            </w:r>
            <w:proofErr w:type="spellEnd"/>
            <w:r w:rsidR="00AD6C1C">
              <w:t xml:space="preserve"> information; </w:t>
            </w:r>
          </w:p>
          <w:p w14:paraId="5AFD4091" w14:textId="46F214C2" w:rsidR="00972C91" w:rsidRDefault="00F4193D" w:rsidP="00F4193D">
            <w:pPr>
              <w:numPr>
                <w:ilvl w:val="0"/>
                <w:numId w:val="3"/>
              </w:numPr>
              <w:autoSpaceDE w:val="0"/>
              <w:autoSpaceDN w:val="0"/>
              <w:adjustRightInd w:val="0"/>
              <w:spacing w:after="120" w:line="240" w:lineRule="auto"/>
              <w:ind w:left="714" w:hanging="357"/>
              <w:jc w:val="both"/>
            </w:pPr>
            <w:proofErr w:type="spellStart"/>
            <w:r w:rsidRPr="009020E3">
              <w:t>Review</w:t>
            </w:r>
            <w:proofErr w:type="spellEnd"/>
            <w:r w:rsidRPr="009020E3">
              <w:t xml:space="preserve"> the </w:t>
            </w:r>
            <w:proofErr w:type="spellStart"/>
            <w:r w:rsidRPr="009020E3">
              <w:t>Harmful</w:t>
            </w:r>
            <w:proofErr w:type="spellEnd"/>
            <w:r w:rsidRPr="009020E3">
              <w:t xml:space="preserve"> Digital Communications </w:t>
            </w:r>
            <w:proofErr w:type="spellStart"/>
            <w:r w:rsidRPr="009020E3">
              <w:t>Act</w:t>
            </w:r>
            <w:proofErr w:type="spellEnd"/>
            <w:r w:rsidRPr="009020E3">
              <w:t xml:space="preserve"> </w:t>
            </w:r>
            <w:proofErr w:type="spellStart"/>
            <w:r w:rsidRPr="009020E3">
              <w:t>with</w:t>
            </w:r>
            <w:proofErr w:type="spellEnd"/>
            <w:r w:rsidRPr="009020E3">
              <w:t xml:space="preserve"> a </w:t>
            </w:r>
            <w:proofErr w:type="spellStart"/>
            <w:r w:rsidRPr="009020E3">
              <w:t>view</w:t>
            </w:r>
            <w:proofErr w:type="spellEnd"/>
            <w:r w:rsidRPr="009020E3">
              <w:t xml:space="preserve"> to </w:t>
            </w:r>
            <w:proofErr w:type="spellStart"/>
            <w:r w:rsidRPr="009020E3">
              <w:t>establishing</w:t>
            </w:r>
            <w:proofErr w:type="spellEnd"/>
            <w:r w:rsidRPr="009020E3">
              <w:t xml:space="preserve"> an objective </w:t>
            </w:r>
            <w:proofErr w:type="spellStart"/>
            <w:r w:rsidRPr="009020E3">
              <w:t>threshold</w:t>
            </w:r>
            <w:proofErr w:type="spellEnd"/>
            <w:r w:rsidRPr="009020E3">
              <w:t xml:space="preserve"> for </w:t>
            </w:r>
            <w:proofErr w:type="spellStart"/>
            <w:r w:rsidRPr="009020E3">
              <w:t>harm</w:t>
            </w:r>
            <w:proofErr w:type="spellEnd"/>
            <w:r w:rsidR="00AD6C1C">
              <w:t>; and</w:t>
            </w:r>
          </w:p>
          <w:p w14:paraId="00A5BD83" w14:textId="7C399C97" w:rsidR="00F4193D" w:rsidRPr="009020E3" w:rsidRDefault="00972C91" w:rsidP="00972C91">
            <w:pPr>
              <w:numPr>
                <w:ilvl w:val="0"/>
                <w:numId w:val="3"/>
              </w:numPr>
              <w:autoSpaceDE w:val="0"/>
              <w:autoSpaceDN w:val="0"/>
              <w:adjustRightInd w:val="0"/>
              <w:spacing w:after="120" w:line="240" w:lineRule="auto"/>
              <w:ind w:left="714" w:hanging="357"/>
              <w:jc w:val="both"/>
            </w:pPr>
            <w:proofErr w:type="spellStart"/>
            <w:r>
              <w:t>Guarantee</w:t>
            </w:r>
            <w:proofErr w:type="spellEnd"/>
            <w:r>
              <w:t xml:space="preserve"> five-</w:t>
            </w:r>
            <w:proofErr w:type="spellStart"/>
            <w:r>
              <w:t>year</w:t>
            </w:r>
            <w:proofErr w:type="spellEnd"/>
            <w:r>
              <w:t xml:space="preserve"> </w:t>
            </w:r>
            <w:proofErr w:type="spellStart"/>
            <w:r>
              <w:t>funding</w:t>
            </w:r>
            <w:proofErr w:type="spellEnd"/>
            <w:r>
              <w:t xml:space="preserve"> cycles for </w:t>
            </w:r>
            <w:proofErr w:type="spellStart"/>
            <w:r>
              <w:t>contract</w:t>
            </w:r>
            <w:proofErr w:type="spellEnd"/>
            <w:r>
              <w:t xml:space="preserve">-holding </w:t>
            </w:r>
            <w:proofErr w:type="spellStart"/>
            <w:r>
              <w:t>agencies</w:t>
            </w:r>
            <w:proofErr w:type="spellEnd"/>
            <w:r>
              <w:t xml:space="preserve"> by 2020 and </w:t>
            </w:r>
            <w:proofErr w:type="spellStart"/>
            <w:r>
              <w:t>ensure</w:t>
            </w:r>
            <w:proofErr w:type="spellEnd"/>
            <w:r>
              <w:t xml:space="preserve"> </w:t>
            </w:r>
            <w:proofErr w:type="spellStart"/>
            <w:r>
              <w:t>that</w:t>
            </w:r>
            <w:proofErr w:type="spellEnd"/>
            <w:r>
              <w:t xml:space="preserve"> </w:t>
            </w:r>
            <w:proofErr w:type="spellStart"/>
            <w:r>
              <w:t>they</w:t>
            </w:r>
            <w:proofErr w:type="spellEnd"/>
            <w:r>
              <w:t xml:space="preserve"> are </w:t>
            </w:r>
            <w:proofErr w:type="spellStart"/>
            <w:r>
              <w:t>financially</w:t>
            </w:r>
            <w:proofErr w:type="spellEnd"/>
            <w:r>
              <w:t xml:space="preserve"> </w:t>
            </w:r>
            <w:proofErr w:type="spellStart"/>
            <w:r>
              <w:t>equipped</w:t>
            </w:r>
            <w:proofErr w:type="spellEnd"/>
            <w:r>
              <w:t xml:space="preserve"> to </w:t>
            </w:r>
            <w:proofErr w:type="spellStart"/>
            <w:r>
              <w:t>invest</w:t>
            </w:r>
            <w:proofErr w:type="spellEnd"/>
            <w:r>
              <w:t xml:space="preserve"> in </w:t>
            </w:r>
            <w:proofErr w:type="spellStart"/>
            <w:r>
              <w:t>agency</w:t>
            </w:r>
            <w:proofErr w:type="spellEnd"/>
            <w:r>
              <w:t xml:space="preserve"> </w:t>
            </w:r>
            <w:proofErr w:type="spellStart"/>
            <w:r>
              <w:t>development</w:t>
            </w:r>
            <w:proofErr w:type="spellEnd"/>
            <w:r>
              <w:t xml:space="preserve"> and in </w:t>
            </w:r>
            <w:proofErr w:type="spellStart"/>
            <w:r>
              <w:t>professional</w:t>
            </w:r>
            <w:proofErr w:type="spellEnd"/>
            <w:r>
              <w:t xml:space="preserve"> </w:t>
            </w:r>
            <w:proofErr w:type="spellStart"/>
            <w:r>
              <w:t>development</w:t>
            </w:r>
            <w:proofErr w:type="spellEnd"/>
            <w:r>
              <w:t xml:space="preserve"> for staff. </w:t>
            </w:r>
          </w:p>
        </w:tc>
      </w:tr>
    </w:tbl>
    <w:p w14:paraId="34BC8DFC" w14:textId="708D3C81" w:rsidR="00B45DB3" w:rsidRPr="006C41CD" w:rsidRDefault="00B45DB3" w:rsidP="00CE21AE">
      <w:pPr>
        <w:tabs>
          <w:tab w:val="left" w:pos="3857"/>
        </w:tabs>
        <w:rPr>
          <w:rFonts w:cs="Calibri"/>
          <w:lang w:val="en-GB"/>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B45DB3" w:rsidRPr="00B45DB3" w14:paraId="4BAECB24" w14:textId="77777777" w:rsidTr="006C41CD">
        <w:trPr>
          <w:trHeight w:val="387"/>
        </w:trPr>
        <w:tc>
          <w:tcPr>
            <w:tcW w:w="10916" w:type="dxa"/>
            <w:shd w:val="clear" w:color="auto" w:fill="D3D0E7"/>
          </w:tcPr>
          <w:p w14:paraId="409FC0A8" w14:textId="77777777" w:rsidR="00B45DB3" w:rsidRPr="00B45DB3" w:rsidRDefault="00B45DB3" w:rsidP="000C434E">
            <w:pPr>
              <w:tabs>
                <w:tab w:val="left" w:pos="3857"/>
              </w:tabs>
              <w:spacing w:after="0" w:line="240" w:lineRule="auto"/>
              <w:jc w:val="center"/>
              <w:rPr>
                <w:rFonts w:cs="Calibri"/>
                <w:b/>
                <w:lang w:val="en-GB"/>
              </w:rPr>
            </w:pPr>
            <w:r>
              <w:rPr>
                <w:rFonts w:cs="Calibri"/>
                <w:b/>
                <w:lang w:val="en-GB"/>
              </w:rPr>
              <w:t>REFERENCES</w:t>
            </w:r>
          </w:p>
        </w:tc>
      </w:tr>
      <w:tr w:rsidR="00B45DB3" w:rsidRPr="009020E3" w14:paraId="6643C27E" w14:textId="77777777" w:rsidTr="006C41CD">
        <w:trPr>
          <w:trHeight w:val="705"/>
        </w:trPr>
        <w:tc>
          <w:tcPr>
            <w:tcW w:w="10916" w:type="dxa"/>
          </w:tcPr>
          <w:p w14:paraId="0BB40351" w14:textId="1DA3DFD4" w:rsidR="00B45DB3" w:rsidRPr="00A953BF" w:rsidRDefault="00B45DB3" w:rsidP="006C41CD">
            <w:pPr>
              <w:pStyle w:val="EndnoteText"/>
              <w:spacing w:line="240" w:lineRule="auto"/>
              <w:ind w:left="709" w:hanging="709"/>
              <w:rPr>
                <w:sz w:val="18"/>
                <w:szCs w:val="18"/>
                <w:lang w:val="en-US"/>
              </w:rPr>
            </w:pPr>
            <w:r w:rsidRPr="00A953BF">
              <w:rPr>
                <w:rFonts w:eastAsia="Times New Roman"/>
                <w:sz w:val="18"/>
                <w:szCs w:val="18"/>
                <w:lang w:val="en-NZ"/>
              </w:rPr>
              <w:t xml:space="preserve">Committee on the Elimination of Discrimination against Women (2012) Concluding observations of the Committee on the Elimination of Discrimination against Women: New Zealand. Retrieved from: </w:t>
            </w:r>
            <w:hyperlink r:id="rId8" w:history="1">
              <w:r w:rsidRPr="000C434E">
                <w:rPr>
                  <w:rStyle w:val="Hyperlink"/>
                  <w:rFonts w:eastAsia="Times New Roman"/>
                  <w:sz w:val="18"/>
                  <w:szCs w:val="18"/>
                  <w:lang w:val="en-NZ"/>
                </w:rPr>
                <w:t>http://women.govt.nz/sites/public_files/CEDAW%20concluding%20observations%202012.pdf</w:t>
              </w:r>
            </w:hyperlink>
          </w:p>
          <w:p w14:paraId="13EFE8BC" w14:textId="32CE8E73" w:rsidR="00B45DB3" w:rsidRPr="00A953BF" w:rsidRDefault="00B45DB3" w:rsidP="00B45DB3">
            <w:pPr>
              <w:pStyle w:val="EndnoteText"/>
              <w:spacing w:line="240" w:lineRule="auto"/>
              <w:ind w:left="709" w:hanging="709"/>
              <w:rPr>
                <w:sz w:val="18"/>
                <w:szCs w:val="18"/>
                <w:lang w:val="en-US"/>
              </w:rPr>
            </w:pPr>
            <w:r w:rsidRPr="00A953BF">
              <w:rPr>
                <w:sz w:val="18"/>
                <w:szCs w:val="18"/>
              </w:rPr>
              <w:t xml:space="preserve">Catriona </w:t>
            </w:r>
            <w:proofErr w:type="spellStart"/>
            <w:r w:rsidRPr="00A953BF">
              <w:rPr>
                <w:sz w:val="18"/>
                <w:szCs w:val="18"/>
              </w:rPr>
              <w:t>MacLennan</w:t>
            </w:r>
            <w:proofErr w:type="spellEnd"/>
            <w:r w:rsidRPr="00A953BF">
              <w:rPr>
                <w:sz w:val="18"/>
                <w:szCs w:val="18"/>
              </w:rPr>
              <w:t xml:space="preserve"> – Fear and violence </w:t>
            </w:r>
            <w:proofErr w:type="spellStart"/>
            <w:r w:rsidRPr="00A953BF">
              <w:rPr>
                <w:sz w:val="18"/>
                <w:szCs w:val="18"/>
              </w:rPr>
              <w:t>behind</w:t>
            </w:r>
            <w:proofErr w:type="spellEnd"/>
            <w:r w:rsidRPr="00A953BF">
              <w:rPr>
                <w:sz w:val="18"/>
                <w:szCs w:val="18"/>
              </w:rPr>
              <w:t xml:space="preserve"> </w:t>
            </w:r>
            <w:proofErr w:type="spellStart"/>
            <w:r w:rsidRPr="00A953BF">
              <w:rPr>
                <w:sz w:val="18"/>
                <w:szCs w:val="18"/>
              </w:rPr>
              <w:t>decision</w:t>
            </w:r>
            <w:proofErr w:type="spellEnd"/>
            <w:r w:rsidRPr="00A953BF">
              <w:rPr>
                <w:sz w:val="18"/>
                <w:szCs w:val="18"/>
              </w:rPr>
              <w:t xml:space="preserve"> to </w:t>
            </w:r>
            <w:proofErr w:type="spellStart"/>
            <w:r w:rsidRPr="00A953BF">
              <w:rPr>
                <w:sz w:val="18"/>
                <w:szCs w:val="18"/>
              </w:rPr>
              <w:t>keep</w:t>
            </w:r>
            <w:proofErr w:type="spellEnd"/>
            <w:r w:rsidRPr="00A953BF">
              <w:rPr>
                <w:sz w:val="18"/>
                <w:szCs w:val="18"/>
              </w:rPr>
              <w:t xml:space="preserve"> </w:t>
            </w:r>
            <w:proofErr w:type="spellStart"/>
            <w:r w:rsidRPr="00A953BF">
              <w:rPr>
                <w:sz w:val="18"/>
                <w:szCs w:val="18"/>
              </w:rPr>
              <w:t>dad’s</w:t>
            </w:r>
            <w:proofErr w:type="spellEnd"/>
            <w:r w:rsidRPr="00A953BF">
              <w:rPr>
                <w:sz w:val="18"/>
                <w:szCs w:val="18"/>
              </w:rPr>
              <w:t xml:space="preserve"> </w:t>
            </w:r>
            <w:proofErr w:type="spellStart"/>
            <w:r w:rsidRPr="00A953BF">
              <w:rPr>
                <w:sz w:val="18"/>
                <w:szCs w:val="18"/>
              </w:rPr>
              <w:t>name</w:t>
            </w:r>
            <w:proofErr w:type="spellEnd"/>
            <w:r w:rsidRPr="00A953BF">
              <w:rPr>
                <w:sz w:val="18"/>
                <w:szCs w:val="18"/>
              </w:rPr>
              <w:t xml:space="preserve"> secret, New Zealand Herald, 20 </w:t>
            </w:r>
            <w:proofErr w:type="spellStart"/>
            <w:r w:rsidRPr="00A953BF">
              <w:rPr>
                <w:sz w:val="18"/>
                <w:szCs w:val="18"/>
              </w:rPr>
              <w:t>September</w:t>
            </w:r>
            <w:proofErr w:type="spellEnd"/>
            <w:r w:rsidRPr="00A953BF">
              <w:rPr>
                <w:sz w:val="18"/>
                <w:szCs w:val="18"/>
              </w:rPr>
              <w:t xml:space="preserve"> 2016 http://www.nzherald.co.nz/nz/news/article.cfm?c_id=1&amp;objectid=11712674</w:t>
            </w:r>
          </w:p>
          <w:p w14:paraId="75C03183" w14:textId="25E71E27" w:rsidR="00B45DB3" w:rsidRDefault="00B45DB3" w:rsidP="00B45DB3">
            <w:pPr>
              <w:pStyle w:val="FootnoteText"/>
              <w:ind w:left="709" w:hanging="709"/>
              <w:rPr>
                <w:rFonts w:ascii="Calibri" w:hAnsi="Calibri"/>
                <w:sz w:val="18"/>
                <w:szCs w:val="18"/>
              </w:rPr>
            </w:pPr>
            <w:proofErr w:type="spellStart"/>
            <w:r w:rsidRPr="00A953BF">
              <w:rPr>
                <w:rFonts w:ascii="Calibri" w:hAnsi="Calibri" w:cs="Times New Roman"/>
                <w:sz w:val="18"/>
                <w:szCs w:val="18"/>
              </w:rPr>
              <w:t>Fanslow</w:t>
            </w:r>
            <w:proofErr w:type="spellEnd"/>
            <w:r w:rsidRPr="00A953BF">
              <w:rPr>
                <w:rFonts w:ascii="Calibri" w:hAnsi="Calibri" w:cs="Times New Roman"/>
                <w:sz w:val="18"/>
                <w:szCs w:val="18"/>
              </w:rPr>
              <w:t xml:space="preserve">, J., &amp; Robinson, E. (2004). Violence against women in New Zealand: prevalence and health consequences. </w:t>
            </w:r>
            <w:r w:rsidRPr="00A953BF">
              <w:rPr>
                <w:rFonts w:ascii="Calibri" w:hAnsi="Calibri" w:cs="Times New Roman"/>
                <w:i/>
                <w:iCs/>
                <w:sz w:val="18"/>
                <w:szCs w:val="18"/>
              </w:rPr>
              <w:t xml:space="preserve">New Zealand Medical Journal, 117 </w:t>
            </w:r>
            <w:r w:rsidRPr="00A953BF">
              <w:rPr>
                <w:rFonts w:ascii="Calibri" w:hAnsi="Calibri" w:cs="Times New Roman"/>
                <w:i/>
                <w:sz w:val="18"/>
                <w:szCs w:val="18"/>
              </w:rPr>
              <w:t>(</w:t>
            </w:r>
            <w:r w:rsidRPr="00A953BF">
              <w:rPr>
                <w:rFonts w:ascii="Calibri" w:hAnsi="Calibri" w:cs="Times New Roman"/>
                <w:sz w:val="18"/>
                <w:szCs w:val="18"/>
              </w:rPr>
              <w:t>1206), 1-12.</w:t>
            </w:r>
          </w:p>
          <w:p w14:paraId="2E7C8786" w14:textId="77777777" w:rsidR="006C41CD" w:rsidRPr="00A953BF" w:rsidRDefault="006C41CD" w:rsidP="00B45DB3">
            <w:pPr>
              <w:pStyle w:val="FootnoteText"/>
              <w:ind w:left="709" w:hanging="709"/>
              <w:rPr>
                <w:rFonts w:ascii="Calibri" w:hAnsi="Calibri"/>
                <w:sz w:val="18"/>
                <w:szCs w:val="18"/>
              </w:rPr>
            </w:pPr>
          </w:p>
          <w:p w14:paraId="693857C9" w14:textId="00DC6081" w:rsidR="00B45DB3" w:rsidRDefault="00B45DB3" w:rsidP="00B45DB3">
            <w:pPr>
              <w:pStyle w:val="FootnoteText"/>
              <w:ind w:left="709" w:hanging="709"/>
              <w:rPr>
                <w:rFonts w:ascii="Calibri" w:hAnsi="Calibri" w:cs="Times New Roman"/>
                <w:noProof/>
                <w:sz w:val="18"/>
                <w:szCs w:val="18"/>
                <w:lang w:eastAsia="en-NZ"/>
              </w:rPr>
            </w:pPr>
            <w:r w:rsidRPr="00A953BF">
              <w:rPr>
                <w:rFonts w:ascii="Calibri" w:eastAsia="Times New Roman" w:hAnsi="Calibri" w:cs="Times New Roman"/>
                <w:color w:val="auto"/>
                <w:sz w:val="18"/>
                <w:szCs w:val="18"/>
              </w:rPr>
              <w:t xml:space="preserve">Van </w:t>
            </w:r>
            <w:proofErr w:type="spellStart"/>
            <w:r w:rsidRPr="00A953BF">
              <w:rPr>
                <w:rFonts w:ascii="Calibri" w:eastAsia="Times New Roman" w:hAnsi="Calibri" w:cs="Times New Roman"/>
                <w:color w:val="auto"/>
                <w:sz w:val="18"/>
                <w:szCs w:val="18"/>
              </w:rPr>
              <w:t>Roode</w:t>
            </w:r>
            <w:proofErr w:type="spellEnd"/>
            <w:r w:rsidRPr="00A953BF">
              <w:rPr>
                <w:rFonts w:ascii="Calibri" w:eastAsia="Times New Roman" w:hAnsi="Calibri" w:cs="Times New Roman"/>
                <w:color w:val="auto"/>
                <w:sz w:val="18"/>
                <w:szCs w:val="18"/>
              </w:rPr>
              <w:t xml:space="preserve">, T., Dickson, N., </w:t>
            </w:r>
            <w:proofErr w:type="spellStart"/>
            <w:r w:rsidRPr="00A953BF">
              <w:rPr>
                <w:rFonts w:ascii="Calibri" w:eastAsia="Times New Roman" w:hAnsi="Calibri" w:cs="Times New Roman"/>
                <w:color w:val="auto"/>
                <w:sz w:val="18"/>
                <w:szCs w:val="18"/>
              </w:rPr>
              <w:t>Herbison</w:t>
            </w:r>
            <w:proofErr w:type="spellEnd"/>
            <w:r w:rsidRPr="00A953BF">
              <w:rPr>
                <w:rFonts w:ascii="Calibri" w:eastAsia="Times New Roman" w:hAnsi="Calibri" w:cs="Times New Roman"/>
                <w:color w:val="auto"/>
                <w:sz w:val="18"/>
                <w:szCs w:val="18"/>
              </w:rPr>
              <w:t xml:space="preserve">, P., Paul, C. (2009). </w:t>
            </w:r>
            <w:r w:rsidRPr="00A953BF">
              <w:rPr>
                <w:rFonts w:ascii="Calibri" w:hAnsi="Calibri" w:cs="Times New Roman"/>
                <w:noProof/>
                <w:sz w:val="18"/>
                <w:szCs w:val="18"/>
                <w:lang w:eastAsia="en-NZ"/>
              </w:rPr>
              <w:t>Child sexual abuse and persistence of risky sexual behaviors and negative sexual outcomes over adulthoo</w:t>
            </w:r>
            <w:r w:rsidR="006C41CD">
              <w:rPr>
                <w:rFonts w:ascii="Calibri" w:hAnsi="Calibri" w:cs="Times New Roman"/>
                <w:noProof/>
                <w:sz w:val="18"/>
                <w:szCs w:val="18"/>
                <w:lang w:eastAsia="en-NZ"/>
              </w:rPr>
              <w:t>d: Findings from a birth cohort</w:t>
            </w:r>
          </w:p>
          <w:p w14:paraId="216ED71C" w14:textId="77777777" w:rsidR="006C41CD" w:rsidRPr="00A953BF" w:rsidRDefault="006C41CD" w:rsidP="00B45DB3">
            <w:pPr>
              <w:pStyle w:val="FootnoteText"/>
              <w:ind w:left="709" w:hanging="709"/>
              <w:rPr>
                <w:rFonts w:ascii="Calibri" w:hAnsi="Calibri"/>
                <w:sz w:val="18"/>
                <w:szCs w:val="18"/>
              </w:rPr>
            </w:pPr>
          </w:p>
          <w:p w14:paraId="318CBB1F" w14:textId="77777777" w:rsidR="00B45DB3" w:rsidRPr="00A953BF" w:rsidRDefault="00B45DB3" w:rsidP="00B45DB3">
            <w:pPr>
              <w:pStyle w:val="FootnoteText"/>
              <w:ind w:left="709" w:hanging="709"/>
              <w:rPr>
                <w:rFonts w:ascii="Calibri" w:hAnsi="Calibri"/>
                <w:sz w:val="18"/>
                <w:szCs w:val="18"/>
              </w:rPr>
            </w:pPr>
            <w:r w:rsidRPr="00A953BF">
              <w:rPr>
                <w:rFonts w:ascii="Calibri" w:hAnsi="Calibri" w:cs="Times New Roman"/>
                <w:sz w:val="18"/>
                <w:szCs w:val="18"/>
              </w:rPr>
              <w:t xml:space="preserve">Auckland Sexual Abuse </w:t>
            </w:r>
            <w:r w:rsidRPr="00A953BF">
              <w:rPr>
                <w:rStyle w:val="Hyperlink"/>
                <w:rFonts w:ascii="Calibri" w:hAnsi="Calibri" w:cs="Times New Roman"/>
                <w:noProof/>
                <w:color w:val="auto"/>
                <w:sz w:val="18"/>
                <w:szCs w:val="18"/>
                <w:lang w:eastAsia="en-NZ"/>
              </w:rPr>
              <w:t xml:space="preserve">HELP (2017). </w:t>
            </w:r>
            <w:r w:rsidRPr="00A953BF">
              <w:rPr>
                <w:rStyle w:val="Hyperlink"/>
                <w:rFonts w:ascii="Calibri" w:hAnsi="Calibri" w:cs="Times New Roman"/>
                <w:i/>
                <w:noProof/>
                <w:color w:val="auto"/>
                <w:sz w:val="18"/>
                <w:szCs w:val="18"/>
                <w:lang w:eastAsia="en-NZ"/>
              </w:rPr>
              <w:t>Sexual Abuse Statistics</w:t>
            </w:r>
            <w:r w:rsidRPr="00A953BF">
              <w:rPr>
                <w:rStyle w:val="Hyperlink"/>
                <w:rFonts w:ascii="Calibri" w:hAnsi="Calibri" w:cs="Times New Roman"/>
                <w:noProof/>
                <w:color w:val="auto"/>
                <w:sz w:val="18"/>
                <w:szCs w:val="18"/>
                <w:lang w:eastAsia="en-NZ"/>
              </w:rPr>
              <w:t xml:space="preserve">. Retrieved from </w:t>
            </w:r>
            <w:hyperlink r:id="rId9" w:history="1">
              <w:r w:rsidRPr="00A953BF">
                <w:rPr>
                  <w:rStyle w:val="Hyperlink"/>
                  <w:rFonts w:ascii="Calibri" w:hAnsi="Calibri" w:cs="Times New Roman"/>
                  <w:noProof/>
                  <w:color w:val="auto"/>
                  <w:sz w:val="18"/>
                  <w:szCs w:val="18"/>
                  <w:lang w:eastAsia="en-NZ"/>
                </w:rPr>
                <w:t>http://helpauckland.org.nz/get-info/statistics</w:t>
              </w:r>
            </w:hyperlink>
            <w:r w:rsidRPr="00A953BF">
              <w:rPr>
                <w:rStyle w:val="Hyperlink"/>
                <w:rFonts w:ascii="Calibri" w:hAnsi="Calibri" w:cs="Times New Roman"/>
                <w:noProof/>
                <w:color w:val="auto"/>
                <w:sz w:val="18"/>
                <w:szCs w:val="18"/>
                <w:lang w:eastAsia="en-NZ"/>
              </w:rPr>
              <w:t>’</w:t>
            </w:r>
          </w:p>
          <w:p w14:paraId="7EF36CD3" w14:textId="77777777" w:rsidR="00B45DB3" w:rsidRPr="00A953BF" w:rsidRDefault="00B45DB3" w:rsidP="00B45DB3">
            <w:pPr>
              <w:pStyle w:val="EndnoteText"/>
              <w:spacing w:line="240" w:lineRule="auto"/>
              <w:ind w:left="709" w:hanging="709"/>
              <w:rPr>
                <w:sz w:val="18"/>
                <w:szCs w:val="18"/>
                <w:lang w:val="en-US"/>
              </w:rPr>
            </w:pPr>
            <w:r w:rsidRPr="00A953BF">
              <w:rPr>
                <w:rStyle w:val="Hyperlink"/>
                <w:noProof/>
                <w:color w:val="auto"/>
                <w:sz w:val="18"/>
                <w:szCs w:val="18"/>
                <w:lang w:eastAsia="en-NZ"/>
              </w:rPr>
              <w:t>NZ Family Violence Clearinghouse. (2017</w:t>
            </w:r>
            <w:r w:rsidRPr="00A953BF">
              <w:rPr>
                <w:rStyle w:val="Hyperlink"/>
                <w:i/>
                <w:noProof/>
                <w:color w:val="auto"/>
                <w:sz w:val="18"/>
                <w:szCs w:val="18"/>
                <w:lang w:eastAsia="en-NZ"/>
              </w:rPr>
              <w:t>). Data Summary: Violence Against Women</w:t>
            </w:r>
            <w:r w:rsidRPr="00A953BF">
              <w:rPr>
                <w:rStyle w:val="Hyperlink"/>
                <w:noProof/>
                <w:color w:val="auto"/>
                <w:sz w:val="18"/>
                <w:szCs w:val="18"/>
                <w:lang w:eastAsia="en-NZ"/>
              </w:rPr>
              <w:t>. Retrieved from https://nzfvc.org.nz/sites/nzfvc.org.nz/files/DS2-Violence-Against-Women-2017.pdf</w:t>
            </w:r>
          </w:p>
          <w:p w14:paraId="343F0106" w14:textId="77777777" w:rsidR="006C41CD" w:rsidRDefault="00B45DB3" w:rsidP="00B45DB3">
            <w:pPr>
              <w:spacing w:after="0" w:line="240" w:lineRule="auto"/>
              <w:ind w:left="709" w:hanging="709"/>
              <w:rPr>
                <w:rFonts w:eastAsia="Times New Roman"/>
                <w:sz w:val="18"/>
                <w:szCs w:val="18"/>
                <w:lang w:val="en-NZ"/>
              </w:rPr>
            </w:pPr>
            <w:r w:rsidRPr="00A953BF">
              <w:rPr>
                <w:rFonts w:eastAsia="Times New Roman"/>
                <w:sz w:val="18"/>
                <w:szCs w:val="18"/>
                <w:lang w:val="en-NZ"/>
              </w:rPr>
              <w:t>Thorburn N. 2017. Practitioner Knowledge and Responsiveness to Victims of Sex Trafficking and Forced Prostitution in Aotearoa/New Zealand.</w:t>
            </w:r>
          </w:p>
          <w:p w14:paraId="5BA2CF50" w14:textId="70171CD4" w:rsidR="00B45DB3" w:rsidRPr="00A953BF" w:rsidRDefault="00B45DB3" w:rsidP="00B45DB3">
            <w:pPr>
              <w:spacing w:after="0" w:line="240" w:lineRule="auto"/>
              <w:ind w:left="709" w:hanging="709"/>
              <w:rPr>
                <w:rFonts w:eastAsia="Times New Roman"/>
                <w:sz w:val="18"/>
                <w:szCs w:val="18"/>
                <w:lang w:val="en-NZ"/>
              </w:rPr>
            </w:pPr>
            <w:r w:rsidRPr="00A953BF">
              <w:rPr>
                <w:rFonts w:eastAsia="Times New Roman"/>
                <w:sz w:val="18"/>
                <w:szCs w:val="18"/>
                <w:lang w:val="en-NZ"/>
              </w:rPr>
              <w:t xml:space="preserve"> </w:t>
            </w:r>
          </w:p>
          <w:p w14:paraId="0FF8293A" w14:textId="6357C7AF" w:rsidR="00B45DB3" w:rsidRDefault="00B45DB3" w:rsidP="00B45DB3">
            <w:pPr>
              <w:spacing w:after="0" w:line="240" w:lineRule="auto"/>
              <w:ind w:left="709" w:hanging="709"/>
              <w:rPr>
                <w:color w:val="000000"/>
                <w:sz w:val="18"/>
                <w:szCs w:val="18"/>
                <w:lang w:val="en-US"/>
              </w:rPr>
            </w:pPr>
            <w:r w:rsidRPr="00B45DB3">
              <w:rPr>
                <w:color w:val="000000"/>
                <w:sz w:val="18"/>
                <w:szCs w:val="18"/>
                <w:lang w:val="en-US"/>
              </w:rPr>
              <w:t xml:space="preserve">Thorburn, N. (2017). Sexual exploitation in adolescent dating relationships: Recruitment and Entrapment of Victims. Australian and New Zealand Treatment for Sexual Abuse Journal. Retrieved from </w:t>
            </w:r>
            <w:hyperlink r:id="rId10" w:history="1">
              <w:r w:rsidR="006C41CD" w:rsidRPr="0071742D">
                <w:rPr>
                  <w:rStyle w:val="Hyperlink"/>
                  <w:sz w:val="18"/>
                  <w:szCs w:val="18"/>
                  <w:lang w:val="en-US"/>
                </w:rPr>
                <w:t>https://www.anzatsa.org/saanz-journal/browse-saanz-articles/</w:t>
              </w:r>
            </w:hyperlink>
          </w:p>
          <w:p w14:paraId="41B9EAD0" w14:textId="77777777" w:rsidR="006C41CD" w:rsidRPr="00B45DB3" w:rsidRDefault="006C41CD" w:rsidP="00B45DB3">
            <w:pPr>
              <w:spacing w:after="0" w:line="240" w:lineRule="auto"/>
              <w:ind w:left="709" w:hanging="709"/>
              <w:rPr>
                <w:rFonts w:eastAsia="Times New Roman"/>
                <w:color w:val="000000"/>
                <w:sz w:val="18"/>
                <w:szCs w:val="18"/>
                <w:lang w:val="en-NZ"/>
              </w:rPr>
            </w:pPr>
          </w:p>
          <w:p w14:paraId="3E523E88" w14:textId="17F5585D" w:rsidR="00B45DB3" w:rsidRPr="00A953BF" w:rsidRDefault="00B45DB3" w:rsidP="00B45DB3">
            <w:pPr>
              <w:pStyle w:val="EndnoteText"/>
              <w:spacing w:line="240" w:lineRule="auto"/>
              <w:ind w:left="709" w:hanging="709"/>
              <w:rPr>
                <w:rFonts w:eastAsia="Times New Roman"/>
                <w:sz w:val="18"/>
                <w:szCs w:val="18"/>
                <w:lang w:val="en-NZ"/>
              </w:rPr>
            </w:pPr>
            <w:r w:rsidRPr="00A953BF">
              <w:rPr>
                <w:rFonts w:eastAsia="Times New Roman"/>
                <w:sz w:val="18"/>
                <w:szCs w:val="18"/>
                <w:lang w:val="en-NZ"/>
              </w:rPr>
              <w:t>De Silva-de-</w:t>
            </w:r>
            <w:proofErr w:type="spellStart"/>
            <w:r w:rsidRPr="00A953BF">
              <w:rPr>
                <w:rFonts w:eastAsia="Times New Roman"/>
                <w:sz w:val="18"/>
                <w:szCs w:val="18"/>
                <w:lang w:val="en-NZ"/>
              </w:rPr>
              <w:t>Alwis</w:t>
            </w:r>
            <w:proofErr w:type="spellEnd"/>
            <w:r w:rsidRPr="00A953BF">
              <w:rPr>
                <w:rFonts w:eastAsia="Times New Roman"/>
                <w:sz w:val="18"/>
                <w:szCs w:val="18"/>
                <w:lang w:val="en-NZ"/>
              </w:rPr>
              <w:t xml:space="preserve">, R. (2008). Child Marriage and the Law. </w:t>
            </w:r>
            <w:proofErr w:type="spellStart"/>
            <w:r w:rsidRPr="00A953BF">
              <w:rPr>
                <w:rFonts w:eastAsia="Times New Roman"/>
                <w:sz w:val="18"/>
                <w:szCs w:val="18"/>
                <w:lang w:val="en-NZ"/>
              </w:rPr>
              <w:t>Unicef</w:t>
            </w:r>
            <w:proofErr w:type="spellEnd"/>
            <w:r w:rsidRPr="00A953BF">
              <w:rPr>
                <w:rFonts w:eastAsia="Times New Roman"/>
                <w:sz w:val="18"/>
                <w:szCs w:val="18"/>
                <w:lang w:val="en-NZ"/>
              </w:rPr>
              <w:t xml:space="preserve">. Retrieved from </w:t>
            </w:r>
            <w:hyperlink r:id="rId11" w:history="1">
              <w:r w:rsidRPr="000C434E">
                <w:rPr>
                  <w:rStyle w:val="Hyperlink"/>
                  <w:rFonts w:eastAsia="Times New Roman"/>
                  <w:sz w:val="18"/>
                  <w:szCs w:val="18"/>
                  <w:lang w:val="en-NZ"/>
                </w:rPr>
                <w:t>https://www.unicef.org/policyanalysis/files/Child_Marriage_and_the_Law(1).pdf</w:t>
              </w:r>
            </w:hyperlink>
          </w:p>
          <w:p w14:paraId="7435C48A" w14:textId="03E8EFFD" w:rsidR="00B45DB3" w:rsidRPr="00A953BF" w:rsidRDefault="00B45DB3" w:rsidP="006C41CD">
            <w:pPr>
              <w:pStyle w:val="EndnoteText"/>
              <w:spacing w:line="240" w:lineRule="auto"/>
              <w:rPr>
                <w:sz w:val="18"/>
                <w:szCs w:val="18"/>
                <w:lang w:val="en-US"/>
              </w:rPr>
            </w:pPr>
            <w:r w:rsidRPr="00A953BF">
              <w:rPr>
                <w:sz w:val="18"/>
                <w:szCs w:val="18"/>
                <w:lang w:val="en-US"/>
              </w:rPr>
              <w:t>New Zealand Family Violence Clearinghouse</w:t>
            </w:r>
          </w:p>
          <w:p w14:paraId="4DC1D9DE" w14:textId="587A1649" w:rsidR="00B45DB3" w:rsidRDefault="00B45DB3" w:rsidP="00B45DB3">
            <w:pPr>
              <w:spacing w:after="120" w:line="240" w:lineRule="auto"/>
              <w:jc w:val="both"/>
              <w:rPr>
                <w:rStyle w:val="Hyperlink"/>
                <w:color w:val="auto"/>
                <w:sz w:val="18"/>
                <w:szCs w:val="18"/>
              </w:rPr>
            </w:pPr>
            <w:r w:rsidRPr="00A953BF">
              <w:rPr>
                <w:sz w:val="18"/>
                <w:szCs w:val="18"/>
                <w:lang w:val="en-NZ"/>
              </w:rPr>
              <w:t xml:space="preserve">Whyte, A. </w:t>
            </w:r>
            <w:r w:rsidRPr="00A953BF">
              <w:rPr>
                <w:sz w:val="18"/>
                <w:szCs w:val="18"/>
              </w:rPr>
              <w:t>'</w:t>
            </w:r>
            <w:proofErr w:type="spellStart"/>
            <w:r w:rsidRPr="00A953BF">
              <w:rPr>
                <w:sz w:val="18"/>
                <w:szCs w:val="18"/>
              </w:rPr>
              <w:t>I've</w:t>
            </w:r>
            <w:proofErr w:type="spellEnd"/>
            <w:r w:rsidRPr="00A953BF">
              <w:rPr>
                <w:sz w:val="18"/>
                <w:szCs w:val="18"/>
              </w:rPr>
              <w:t xml:space="preserve"> </w:t>
            </w:r>
            <w:proofErr w:type="spellStart"/>
            <w:r w:rsidRPr="00A953BF">
              <w:rPr>
                <w:sz w:val="18"/>
                <w:szCs w:val="18"/>
              </w:rPr>
              <w:t>never</w:t>
            </w:r>
            <w:proofErr w:type="spellEnd"/>
            <w:r w:rsidRPr="00A953BF">
              <w:rPr>
                <w:sz w:val="18"/>
                <w:szCs w:val="18"/>
              </w:rPr>
              <w:t xml:space="preserve"> </w:t>
            </w:r>
            <w:proofErr w:type="spellStart"/>
            <w:r w:rsidRPr="00A953BF">
              <w:rPr>
                <w:sz w:val="18"/>
                <w:szCs w:val="18"/>
              </w:rPr>
              <w:t>hated</w:t>
            </w:r>
            <w:proofErr w:type="spellEnd"/>
            <w:r w:rsidRPr="00A953BF">
              <w:rPr>
                <w:sz w:val="18"/>
                <w:szCs w:val="18"/>
              </w:rPr>
              <w:t xml:space="preserve"> </w:t>
            </w:r>
            <w:proofErr w:type="spellStart"/>
            <w:r w:rsidRPr="00A953BF">
              <w:rPr>
                <w:sz w:val="18"/>
                <w:szCs w:val="18"/>
              </w:rPr>
              <w:t>myself</w:t>
            </w:r>
            <w:proofErr w:type="spellEnd"/>
            <w:r w:rsidRPr="00A953BF">
              <w:rPr>
                <w:sz w:val="18"/>
                <w:szCs w:val="18"/>
              </w:rPr>
              <w:t xml:space="preserve"> more in </w:t>
            </w:r>
            <w:proofErr w:type="spellStart"/>
            <w:r w:rsidRPr="00A953BF">
              <w:rPr>
                <w:sz w:val="18"/>
                <w:szCs w:val="18"/>
              </w:rPr>
              <w:t>my</w:t>
            </w:r>
            <w:proofErr w:type="spellEnd"/>
            <w:r w:rsidRPr="00A953BF">
              <w:rPr>
                <w:sz w:val="18"/>
                <w:szCs w:val="18"/>
              </w:rPr>
              <w:t xml:space="preserve"> life' - Revenge porn </w:t>
            </w:r>
            <w:proofErr w:type="spellStart"/>
            <w:r w:rsidRPr="00A953BF">
              <w:rPr>
                <w:sz w:val="18"/>
                <w:szCs w:val="18"/>
              </w:rPr>
              <w:t>law</w:t>
            </w:r>
            <w:proofErr w:type="spellEnd"/>
            <w:r w:rsidRPr="00A953BF">
              <w:rPr>
                <w:sz w:val="18"/>
                <w:szCs w:val="18"/>
              </w:rPr>
              <w:t xml:space="preserve">, </w:t>
            </w:r>
            <w:proofErr w:type="spellStart"/>
            <w:r w:rsidRPr="00A953BF">
              <w:rPr>
                <w:sz w:val="18"/>
                <w:szCs w:val="18"/>
              </w:rPr>
              <w:t>does</w:t>
            </w:r>
            <w:proofErr w:type="spellEnd"/>
            <w:r w:rsidRPr="00A953BF">
              <w:rPr>
                <w:sz w:val="18"/>
                <w:szCs w:val="18"/>
              </w:rPr>
              <w:t xml:space="preserve"> </w:t>
            </w:r>
            <w:proofErr w:type="spellStart"/>
            <w:r w:rsidRPr="00A953BF">
              <w:rPr>
                <w:sz w:val="18"/>
                <w:szCs w:val="18"/>
              </w:rPr>
              <w:t>it</w:t>
            </w:r>
            <w:proofErr w:type="spellEnd"/>
            <w:r w:rsidRPr="00A953BF">
              <w:rPr>
                <w:sz w:val="18"/>
                <w:szCs w:val="18"/>
              </w:rPr>
              <w:t xml:space="preserve"> </w:t>
            </w:r>
            <w:proofErr w:type="spellStart"/>
            <w:r w:rsidRPr="00A953BF">
              <w:rPr>
                <w:sz w:val="18"/>
                <w:szCs w:val="18"/>
              </w:rPr>
              <w:t>really</w:t>
            </w:r>
            <w:proofErr w:type="spellEnd"/>
            <w:r w:rsidRPr="00A953BF">
              <w:rPr>
                <w:sz w:val="18"/>
                <w:szCs w:val="18"/>
              </w:rPr>
              <w:t xml:space="preserve"> </w:t>
            </w:r>
            <w:proofErr w:type="spellStart"/>
            <w:r w:rsidRPr="00A953BF">
              <w:rPr>
                <w:sz w:val="18"/>
                <w:szCs w:val="18"/>
              </w:rPr>
              <w:t>protect</w:t>
            </w:r>
            <w:proofErr w:type="spellEnd"/>
            <w:r w:rsidRPr="00A953BF">
              <w:rPr>
                <w:sz w:val="18"/>
                <w:szCs w:val="18"/>
              </w:rPr>
              <w:t xml:space="preserve"> the </w:t>
            </w:r>
            <w:proofErr w:type="spellStart"/>
            <w:r w:rsidRPr="00A953BF">
              <w:rPr>
                <w:sz w:val="18"/>
                <w:szCs w:val="18"/>
              </w:rPr>
              <w:t>victim</w:t>
            </w:r>
            <w:proofErr w:type="spellEnd"/>
            <w:r w:rsidRPr="00A953BF">
              <w:rPr>
                <w:sz w:val="18"/>
                <w:szCs w:val="18"/>
              </w:rPr>
              <w:t xml:space="preserve">? </w:t>
            </w:r>
            <w:proofErr w:type="spellStart"/>
            <w:r w:rsidRPr="00A953BF">
              <w:rPr>
                <w:sz w:val="18"/>
                <w:szCs w:val="18"/>
              </w:rPr>
              <w:t>Retrieved</w:t>
            </w:r>
            <w:proofErr w:type="spellEnd"/>
            <w:r w:rsidRPr="00A953BF">
              <w:rPr>
                <w:sz w:val="18"/>
                <w:szCs w:val="18"/>
              </w:rPr>
              <w:t xml:space="preserve"> </w:t>
            </w:r>
            <w:proofErr w:type="spellStart"/>
            <w:r w:rsidRPr="00A953BF">
              <w:rPr>
                <w:sz w:val="18"/>
                <w:szCs w:val="18"/>
              </w:rPr>
              <w:t>from</w:t>
            </w:r>
            <w:proofErr w:type="spellEnd"/>
            <w:r w:rsidRPr="00A953BF">
              <w:rPr>
                <w:sz w:val="18"/>
                <w:szCs w:val="18"/>
              </w:rPr>
              <w:t xml:space="preserve"> </w:t>
            </w:r>
            <w:hyperlink r:id="rId12" w:history="1">
              <w:r w:rsidRPr="00A953BF">
                <w:rPr>
                  <w:rStyle w:val="Hyperlink"/>
                  <w:color w:val="auto"/>
                  <w:sz w:val="18"/>
                  <w:szCs w:val="18"/>
                </w:rPr>
                <w:t>https://www.tvnz.co.nz/one-news/new-zealand/ive-never-hated-myself-more-in-my-life-revenge-porn-law-does-really-protect-victim</w:t>
              </w:r>
            </w:hyperlink>
          </w:p>
          <w:p w14:paraId="20CFFDAE" w14:textId="77777777" w:rsidR="00B45DB3" w:rsidRPr="009020E3" w:rsidRDefault="00B45DB3" w:rsidP="00B45DB3">
            <w:pPr>
              <w:spacing w:after="120" w:line="240" w:lineRule="auto"/>
              <w:jc w:val="both"/>
            </w:pPr>
          </w:p>
        </w:tc>
      </w:tr>
    </w:tbl>
    <w:p w14:paraId="50894426" w14:textId="77777777" w:rsidR="00F9357B" w:rsidRPr="00B06D6B" w:rsidRDefault="00F9357B" w:rsidP="00CE21AE">
      <w:pPr>
        <w:tabs>
          <w:tab w:val="left" w:pos="3857"/>
        </w:tabs>
        <w:rPr>
          <w:rFonts w:cs="Calibri"/>
          <w:b/>
          <w:lang w:val="en-GB"/>
        </w:rPr>
      </w:pPr>
    </w:p>
    <w:sectPr w:rsidR="00F9357B" w:rsidRPr="00B06D6B" w:rsidSect="000805B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8B84" w14:textId="77777777" w:rsidR="000E29E3" w:rsidRDefault="000E29E3" w:rsidP="00CE21AE">
      <w:pPr>
        <w:spacing w:after="0" w:line="240" w:lineRule="auto"/>
      </w:pPr>
      <w:r>
        <w:separator/>
      </w:r>
    </w:p>
  </w:endnote>
  <w:endnote w:type="continuationSeparator" w:id="0">
    <w:p w14:paraId="342541F2" w14:textId="77777777" w:rsidR="000E29E3" w:rsidRDefault="000E29E3" w:rsidP="00CE21AE">
      <w:pPr>
        <w:spacing w:after="0" w:line="240" w:lineRule="auto"/>
      </w:pPr>
      <w:r>
        <w:continuationSeparator/>
      </w:r>
    </w:p>
  </w:endnote>
  <w:endnote w:id="1">
    <w:p w14:paraId="76F1B44E" w14:textId="77777777" w:rsidR="00823F00" w:rsidRPr="00A953BF" w:rsidRDefault="00823F00" w:rsidP="00972C91">
      <w:pPr>
        <w:pStyle w:val="EndnoteText"/>
        <w:spacing w:line="240" w:lineRule="auto"/>
        <w:rPr>
          <w:sz w:val="18"/>
          <w:szCs w:val="18"/>
          <w:lang w:val="en-US"/>
        </w:rPr>
      </w:pPr>
    </w:p>
  </w:endnote>
  <w:endnote w:id="2">
    <w:p w14:paraId="319F03D5" w14:textId="77777777" w:rsidR="00823F00" w:rsidRPr="00A953BF" w:rsidRDefault="00823F00" w:rsidP="00B45DB3">
      <w:pPr>
        <w:pStyle w:val="EndnoteText"/>
        <w:spacing w:line="240" w:lineRule="auto"/>
        <w:rPr>
          <w:sz w:val="18"/>
          <w:szCs w:val="18"/>
          <w:lang w:val="en-US"/>
        </w:rPr>
      </w:pPr>
    </w:p>
  </w:endnote>
  <w:endnote w:id="3">
    <w:p w14:paraId="551B8212" w14:textId="07CF85E0" w:rsidR="006C41CD" w:rsidRPr="006C41CD" w:rsidRDefault="006C41CD">
      <w:pPr>
        <w:pStyle w:val="EndnoteText"/>
        <w:rPr>
          <w:lang w:val="en-NZ"/>
        </w:rPr>
      </w:pPr>
    </w:p>
  </w:endnote>
  <w:endnote w:id="4">
    <w:p w14:paraId="1C989515" w14:textId="77777777" w:rsidR="00823F00" w:rsidRPr="00A953BF" w:rsidRDefault="00823F00" w:rsidP="00B06D6B">
      <w:pPr>
        <w:pStyle w:val="EndnoteText"/>
        <w:spacing w:line="240" w:lineRule="auto"/>
        <w:ind w:left="709" w:hanging="709"/>
        <w:rPr>
          <w:rFonts w:eastAsia="Times New Roman"/>
          <w:sz w:val="18"/>
          <w:szCs w:val="18"/>
          <w:lang w:val="en-NZ"/>
        </w:rPr>
      </w:pPr>
    </w:p>
  </w:endnote>
  <w:endnote w:id="5">
    <w:p w14:paraId="7136E759" w14:textId="77777777" w:rsidR="00705F27" w:rsidRPr="000C434E" w:rsidRDefault="00705F27" w:rsidP="00705F27">
      <w:pPr>
        <w:spacing w:after="0" w:line="240" w:lineRule="auto"/>
        <w:ind w:left="709" w:hanging="709"/>
        <w:rPr>
          <w:rFonts w:eastAsia="Times New Roman"/>
          <w:color w:val="000000"/>
          <w:sz w:val="18"/>
          <w:szCs w:val="18"/>
          <w:lang w:val="en-NZ"/>
        </w:rPr>
      </w:pPr>
    </w:p>
  </w:endnote>
  <w:endnote w:id="6">
    <w:p w14:paraId="249BFE14" w14:textId="77777777" w:rsidR="00823F00" w:rsidRPr="00A953BF" w:rsidRDefault="00823F00" w:rsidP="00B06D6B">
      <w:pPr>
        <w:pStyle w:val="EndnoteText"/>
        <w:spacing w:line="240" w:lineRule="auto"/>
        <w:ind w:left="709" w:hanging="709"/>
        <w:rPr>
          <w:sz w:val="18"/>
          <w:szCs w:val="18"/>
          <w:lang w:val="en-US"/>
        </w:rPr>
      </w:pPr>
    </w:p>
  </w:endnote>
  <w:endnote w:id="7">
    <w:p w14:paraId="0F6F08A1" w14:textId="77777777" w:rsidR="0057284E" w:rsidRPr="0057284E" w:rsidRDefault="0057284E" w:rsidP="00B45DB3">
      <w:pPr>
        <w:pStyle w:val="EndnoteText"/>
        <w:spacing w:line="240" w:lineRule="aut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Bold">
    <w:altName w:val="Georg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8FD6" w14:textId="77777777" w:rsidR="00051CBF" w:rsidRPr="00442659" w:rsidRDefault="00607436">
    <w:pPr>
      <w:pStyle w:val="Footer"/>
      <w:pBdr>
        <w:top w:val="thinThickSmallGap" w:sz="24" w:space="1" w:color="622423"/>
      </w:pBdr>
      <w:rPr>
        <w:sz w:val="20"/>
      </w:rPr>
    </w:pPr>
    <w:r>
      <w:rPr>
        <w:sz w:val="20"/>
      </w:rPr>
      <w:t>Natalie Thorburn</w:t>
    </w:r>
    <w:r w:rsidR="00051CBF" w:rsidRPr="00442659">
      <w:rPr>
        <w:sz w:val="20"/>
      </w:rPr>
      <w:tab/>
    </w:r>
    <w:r w:rsidR="00051CBF" w:rsidRPr="00442659">
      <w:rPr>
        <w:sz w:val="20"/>
      </w:rPr>
      <w:tab/>
    </w:r>
    <w:r>
      <w:rPr>
        <w:sz w:val="20"/>
      </w:rPr>
      <w:t xml:space="preserve">NCIWR </w:t>
    </w:r>
    <w:proofErr w:type="spellStart"/>
    <w:r>
      <w:rPr>
        <w:sz w:val="20"/>
      </w:rPr>
      <w:t>Gender-Based</w:t>
    </w:r>
    <w:proofErr w:type="spellEnd"/>
    <w:r>
      <w:rPr>
        <w:sz w:val="20"/>
      </w:rPr>
      <w:t xml:space="preserve"> Violence </w:t>
    </w:r>
    <w:proofErr w:type="spellStart"/>
    <w:r>
      <w:rPr>
        <w:sz w:val="20"/>
      </w:rPr>
      <w:t>Factsheet</w:t>
    </w:r>
    <w:proofErr w:type="spellEnd"/>
  </w:p>
  <w:p w14:paraId="2425BDFD" w14:textId="77777777" w:rsidR="00051CBF" w:rsidRDefault="0005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BDCA" w14:textId="77777777" w:rsidR="000E29E3" w:rsidRDefault="000E29E3" w:rsidP="00CE21AE">
      <w:pPr>
        <w:spacing w:after="0" w:line="240" w:lineRule="auto"/>
      </w:pPr>
      <w:r>
        <w:separator/>
      </w:r>
    </w:p>
  </w:footnote>
  <w:footnote w:type="continuationSeparator" w:id="0">
    <w:p w14:paraId="3CCEDAF0" w14:textId="77777777" w:rsidR="000E29E3" w:rsidRDefault="000E29E3" w:rsidP="00CE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74F3" w14:textId="3B43491D" w:rsidR="00051CBF" w:rsidRPr="00442659" w:rsidRDefault="00F4193D" w:rsidP="00F4193D">
    <w:pPr>
      <w:pStyle w:val="Header"/>
      <w:jc w:val="right"/>
      <w:rPr>
        <w:b/>
      </w:rPr>
    </w:pPr>
    <w:r>
      <w:rPr>
        <w:b/>
        <w:noProof/>
        <w:lang w:val="en-NZ" w:eastAsia="en-NZ"/>
      </w:rPr>
      <w:drawing>
        <wp:inline distT="0" distB="0" distL="0" distR="0" wp14:anchorId="217204A2" wp14:editId="5E247E13">
          <wp:extent cx="2237232" cy="894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25 at 7.35.17 PM.png"/>
                  <pic:cNvPicPr/>
                </pic:nvPicPr>
                <pic:blipFill>
                  <a:blip r:embed="rId1">
                    <a:extLst>
                      <a:ext uri="{28A0092B-C50C-407E-A947-70E740481C1C}">
                        <a14:useLocalDpi xmlns:a14="http://schemas.microsoft.com/office/drawing/2010/main" val="0"/>
                      </a:ext>
                    </a:extLst>
                  </a:blip>
                  <a:stretch>
                    <a:fillRect/>
                  </a:stretch>
                </pic:blipFill>
                <pic:spPr>
                  <a:xfrm>
                    <a:off x="0" y="0"/>
                    <a:ext cx="2372119" cy="948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3682"/>
    <w:multiLevelType w:val="hybridMultilevel"/>
    <w:tmpl w:val="18167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52FCF"/>
    <w:multiLevelType w:val="hybridMultilevel"/>
    <w:tmpl w:val="18167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D457F"/>
    <w:multiLevelType w:val="hybridMultilevel"/>
    <w:tmpl w:val="C772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2181D"/>
    <w:multiLevelType w:val="hybridMultilevel"/>
    <w:tmpl w:val="53DE05C8"/>
    <w:lvl w:ilvl="0" w:tplc="303CCA80">
      <w:start w:val="1"/>
      <w:numFmt w:val="decimal"/>
      <w:lvlText w:val="%1."/>
      <w:lvlJc w:val="left"/>
      <w:pPr>
        <w:ind w:left="720" w:hanging="360"/>
      </w:pPr>
      <w:rPr>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CC"/>
    <w:rsid w:val="0000708F"/>
    <w:rsid w:val="00024B48"/>
    <w:rsid w:val="00051CBF"/>
    <w:rsid w:val="00066BBF"/>
    <w:rsid w:val="000805B1"/>
    <w:rsid w:val="000816D1"/>
    <w:rsid w:val="000C434E"/>
    <w:rsid w:val="000E118A"/>
    <w:rsid w:val="000E29E3"/>
    <w:rsid w:val="000E5591"/>
    <w:rsid w:val="000F3DE7"/>
    <w:rsid w:val="001052FC"/>
    <w:rsid w:val="00142B06"/>
    <w:rsid w:val="00170FE5"/>
    <w:rsid w:val="00182170"/>
    <w:rsid w:val="00185F64"/>
    <w:rsid w:val="001D4C10"/>
    <w:rsid w:val="00220575"/>
    <w:rsid w:val="00221038"/>
    <w:rsid w:val="0028183A"/>
    <w:rsid w:val="00283927"/>
    <w:rsid w:val="00296313"/>
    <w:rsid w:val="002A148E"/>
    <w:rsid w:val="002F24DE"/>
    <w:rsid w:val="003323CC"/>
    <w:rsid w:val="0035058B"/>
    <w:rsid w:val="003573F4"/>
    <w:rsid w:val="003816DF"/>
    <w:rsid w:val="00403ED7"/>
    <w:rsid w:val="00415733"/>
    <w:rsid w:val="00442659"/>
    <w:rsid w:val="004602CB"/>
    <w:rsid w:val="004A395B"/>
    <w:rsid w:val="004A5785"/>
    <w:rsid w:val="004D5301"/>
    <w:rsid w:val="004E1791"/>
    <w:rsid w:val="00555822"/>
    <w:rsid w:val="0056073F"/>
    <w:rsid w:val="0056265A"/>
    <w:rsid w:val="00563DF9"/>
    <w:rsid w:val="0057284E"/>
    <w:rsid w:val="0058208C"/>
    <w:rsid w:val="005826A0"/>
    <w:rsid w:val="005C42BD"/>
    <w:rsid w:val="005F1761"/>
    <w:rsid w:val="00607436"/>
    <w:rsid w:val="00623AA4"/>
    <w:rsid w:val="00641C8F"/>
    <w:rsid w:val="0067557A"/>
    <w:rsid w:val="00675A5D"/>
    <w:rsid w:val="006823A7"/>
    <w:rsid w:val="0069692A"/>
    <w:rsid w:val="006972C0"/>
    <w:rsid w:val="006C41CD"/>
    <w:rsid w:val="006D0F00"/>
    <w:rsid w:val="006D2999"/>
    <w:rsid w:val="00703B17"/>
    <w:rsid w:val="00705F27"/>
    <w:rsid w:val="00712C22"/>
    <w:rsid w:val="007156BE"/>
    <w:rsid w:val="0072023C"/>
    <w:rsid w:val="00755E55"/>
    <w:rsid w:val="00767CF9"/>
    <w:rsid w:val="007B1AC0"/>
    <w:rsid w:val="007C1275"/>
    <w:rsid w:val="007C169E"/>
    <w:rsid w:val="007F45E6"/>
    <w:rsid w:val="00823F00"/>
    <w:rsid w:val="00825136"/>
    <w:rsid w:val="00836FEF"/>
    <w:rsid w:val="0084114E"/>
    <w:rsid w:val="008A5E96"/>
    <w:rsid w:val="009020E3"/>
    <w:rsid w:val="0091249E"/>
    <w:rsid w:val="009359E1"/>
    <w:rsid w:val="009651CE"/>
    <w:rsid w:val="00971511"/>
    <w:rsid w:val="00972C91"/>
    <w:rsid w:val="00975B66"/>
    <w:rsid w:val="009B040C"/>
    <w:rsid w:val="009D5385"/>
    <w:rsid w:val="009E0004"/>
    <w:rsid w:val="00A40F46"/>
    <w:rsid w:val="00A55A75"/>
    <w:rsid w:val="00A708E9"/>
    <w:rsid w:val="00A8169C"/>
    <w:rsid w:val="00A82D7F"/>
    <w:rsid w:val="00A909E1"/>
    <w:rsid w:val="00A93565"/>
    <w:rsid w:val="00A953BF"/>
    <w:rsid w:val="00AD524B"/>
    <w:rsid w:val="00AD6C1C"/>
    <w:rsid w:val="00AF2B3C"/>
    <w:rsid w:val="00B06D6B"/>
    <w:rsid w:val="00B247F9"/>
    <w:rsid w:val="00B45DB3"/>
    <w:rsid w:val="00B70547"/>
    <w:rsid w:val="00BA375B"/>
    <w:rsid w:val="00BB6AD8"/>
    <w:rsid w:val="00BE3ACC"/>
    <w:rsid w:val="00BE3D11"/>
    <w:rsid w:val="00BF4855"/>
    <w:rsid w:val="00BF6A2E"/>
    <w:rsid w:val="00C170EB"/>
    <w:rsid w:val="00C30530"/>
    <w:rsid w:val="00C31185"/>
    <w:rsid w:val="00C31E70"/>
    <w:rsid w:val="00C32D29"/>
    <w:rsid w:val="00C65709"/>
    <w:rsid w:val="00CA0118"/>
    <w:rsid w:val="00CA68EC"/>
    <w:rsid w:val="00CC319C"/>
    <w:rsid w:val="00CC69EC"/>
    <w:rsid w:val="00CD3838"/>
    <w:rsid w:val="00CE21AE"/>
    <w:rsid w:val="00D11387"/>
    <w:rsid w:val="00D12471"/>
    <w:rsid w:val="00D154B0"/>
    <w:rsid w:val="00D26D94"/>
    <w:rsid w:val="00D378B1"/>
    <w:rsid w:val="00D40753"/>
    <w:rsid w:val="00D41995"/>
    <w:rsid w:val="00D44439"/>
    <w:rsid w:val="00D74EA5"/>
    <w:rsid w:val="00DA0D34"/>
    <w:rsid w:val="00DA2540"/>
    <w:rsid w:val="00DC0179"/>
    <w:rsid w:val="00DF706C"/>
    <w:rsid w:val="00E6292F"/>
    <w:rsid w:val="00E76453"/>
    <w:rsid w:val="00F033F2"/>
    <w:rsid w:val="00F4193D"/>
    <w:rsid w:val="00F87B8C"/>
    <w:rsid w:val="00F90EFA"/>
    <w:rsid w:val="00F9357B"/>
    <w:rsid w:val="00F95E3F"/>
    <w:rsid w:val="00FF08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F24B"/>
  <w15:docId w15:val="{F9702807-B47C-41DF-A394-8ACEEF45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5B1"/>
    <w:pPr>
      <w:spacing w:after="200" w:line="276" w:lineRule="auto"/>
    </w:pPr>
    <w:rPr>
      <w:sz w:val="22"/>
      <w:szCs w:val="22"/>
      <w:lang w:val="fr-CH"/>
    </w:rPr>
  </w:style>
  <w:style w:type="paragraph" w:styleId="Heading1">
    <w:name w:val="heading 1"/>
    <w:basedOn w:val="Normal"/>
    <w:link w:val="Heading1Char"/>
    <w:uiPriority w:val="99"/>
    <w:qFormat/>
    <w:rsid w:val="0057284E"/>
    <w:pPr>
      <w:widowControl w:val="0"/>
      <w:tabs>
        <w:tab w:val="left" w:pos="607"/>
        <w:tab w:val="left" w:pos="1164"/>
      </w:tabs>
      <w:suppressAutoHyphens/>
      <w:autoSpaceDE w:val="0"/>
      <w:autoSpaceDN w:val="0"/>
      <w:adjustRightInd w:val="0"/>
      <w:spacing w:after="113" w:line="460" w:lineRule="atLeast"/>
      <w:textAlignment w:val="center"/>
      <w:outlineLvl w:val="0"/>
    </w:pPr>
    <w:rPr>
      <w:rFonts w:ascii="Georgia" w:eastAsia="MS Mincho" w:hAnsi="Georgia" w:cs="Georgia-Bold"/>
      <w:b/>
      <w:bCs/>
      <w:color w:val="4F2D7F"/>
      <w:sz w:val="38"/>
      <w:szCs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1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1AE"/>
  </w:style>
  <w:style w:type="paragraph" w:styleId="Footer">
    <w:name w:val="footer"/>
    <w:basedOn w:val="Normal"/>
    <w:link w:val="FooterChar"/>
    <w:uiPriority w:val="99"/>
    <w:unhideWhenUsed/>
    <w:rsid w:val="00CE21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1AE"/>
  </w:style>
  <w:style w:type="table" w:styleId="TableGrid">
    <w:name w:val="Table Grid"/>
    <w:basedOn w:val="TableNormal"/>
    <w:uiPriority w:val="59"/>
    <w:rsid w:val="00CE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1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21AE"/>
    <w:rPr>
      <w:rFonts w:ascii="Tahoma" w:hAnsi="Tahoma" w:cs="Tahoma"/>
      <w:sz w:val="16"/>
      <w:szCs w:val="16"/>
    </w:rPr>
  </w:style>
  <w:style w:type="paragraph" w:styleId="EndnoteText">
    <w:name w:val="endnote text"/>
    <w:basedOn w:val="Normal"/>
    <w:link w:val="EndnoteTextChar"/>
    <w:uiPriority w:val="99"/>
    <w:semiHidden/>
    <w:unhideWhenUsed/>
    <w:rsid w:val="00823F00"/>
    <w:rPr>
      <w:sz w:val="20"/>
      <w:szCs w:val="20"/>
    </w:rPr>
  </w:style>
  <w:style w:type="character" w:customStyle="1" w:styleId="EndnoteTextChar">
    <w:name w:val="Endnote Text Char"/>
    <w:link w:val="EndnoteText"/>
    <w:uiPriority w:val="99"/>
    <w:semiHidden/>
    <w:rsid w:val="00823F00"/>
    <w:rPr>
      <w:lang w:val="fr-CH"/>
    </w:rPr>
  </w:style>
  <w:style w:type="character" w:styleId="EndnoteReference">
    <w:name w:val="endnote reference"/>
    <w:uiPriority w:val="99"/>
    <w:semiHidden/>
    <w:unhideWhenUsed/>
    <w:rsid w:val="00823F00"/>
    <w:rPr>
      <w:vertAlign w:val="superscript"/>
    </w:rPr>
  </w:style>
  <w:style w:type="character" w:styleId="Hyperlink">
    <w:name w:val="Hyperlink"/>
    <w:uiPriority w:val="99"/>
    <w:unhideWhenUsed/>
    <w:rsid w:val="00823F00"/>
    <w:rPr>
      <w:color w:val="0563C1"/>
      <w:u w:val="single"/>
    </w:rPr>
  </w:style>
  <w:style w:type="character" w:customStyle="1" w:styleId="UnresolvedMention1">
    <w:name w:val="Unresolved Mention1"/>
    <w:uiPriority w:val="99"/>
    <w:semiHidden/>
    <w:unhideWhenUsed/>
    <w:rsid w:val="00823F00"/>
    <w:rPr>
      <w:color w:val="605E5C"/>
      <w:shd w:val="clear" w:color="auto" w:fill="E1DFDD"/>
    </w:rPr>
  </w:style>
  <w:style w:type="character" w:customStyle="1" w:styleId="Heading1Char">
    <w:name w:val="Heading 1 Char"/>
    <w:link w:val="Heading1"/>
    <w:uiPriority w:val="99"/>
    <w:rsid w:val="0057284E"/>
    <w:rPr>
      <w:rFonts w:ascii="Georgia" w:eastAsia="MS Mincho" w:hAnsi="Georgia" w:cs="Georgia-Bold"/>
      <w:b/>
      <w:bCs/>
      <w:color w:val="4F2D7F"/>
      <w:sz w:val="38"/>
      <w:szCs w:val="38"/>
      <w:lang w:val="en-US"/>
    </w:rPr>
  </w:style>
  <w:style w:type="paragraph" w:styleId="FootnoteText">
    <w:name w:val="footnote text"/>
    <w:basedOn w:val="Normal"/>
    <w:link w:val="FootnoteTextChar"/>
    <w:uiPriority w:val="99"/>
    <w:unhideWhenUsed/>
    <w:rsid w:val="0057284E"/>
    <w:pPr>
      <w:widowControl w:val="0"/>
      <w:tabs>
        <w:tab w:val="left" w:pos="607"/>
        <w:tab w:val="left" w:pos="1164"/>
      </w:tabs>
      <w:suppressAutoHyphens/>
      <w:autoSpaceDE w:val="0"/>
      <w:autoSpaceDN w:val="0"/>
      <w:adjustRightInd w:val="0"/>
      <w:spacing w:after="0" w:line="240" w:lineRule="auto"/>
      <w:textAlignment w:val="center"/>
    </w:pPr>
    <w:rPr>
      <w:rFonts w:ascii="Arial" w:eastAsia="MS Mincho" w:hAnsi="Arial" w:cs="ArialMT"/>
      <w:color w:val="191919"/>
      <w:sz w:val="24"/>
      <w:szCs w:val="24"/>
      <w:lang w:val="en-US"/>
    </w:rPr>
  </w:style>
  <w:style w:type="character" w:customStyle="1" w:styleId="FootnoteTextChar">
    <w:name w:val="Footnote Text Char"/>
    <w:link w:val="FootnoteText"/>
    <w:uiPriority w:val="99"/>
    <w:rsid w:val="0057284E"/>
    <w:rPr>
      <w:rFonts w:ascii="Arial" w:eastAsia="MS Mincho" w:hAnsi="Arial" w:cs="ArialMT"/>
      <w:color w:val="191919"/>
      <w:sz w:val="24"/>
      <w:szCs w:val="24"/>
      <w:lang w:val="en-US"/>
    </w:rPr>
  </w:style>
  <w:style w:type="character" w:styleId="FootnoteReference">
    <w:name w:val="footnote reference"/>
    <w:uiPriority w:val="99"/>
    <w:unhideWhenUsed/>
    <w:rsid w:val="0057284E"/>
    <w:rPr>
      <w:vertAlign w:val="superscript"/>
    </w:rPr>
  </w:style>
  <w:style w:type="character" w:styleId="FollowedHyperlink">
    <w:name w:val="FollowedHyperlink"/>
    <w:uiPriority w:val="99"/>
    <w:semiHidden/>
    <w:unhideWhenUsed/>
    <w:rsid w:val="005728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8470">
      <w:bodyDiv w:val="1"/>
      <w:marLeft w:val="0"/>
      <w:marRight w:val="0"/>
      <w:marTop w:val="0"/>
      <w:marBottom w:val="0"/>
      <w:divBdr>
        <w:top w:val="none" w:sz="0" w:space="0" w:color="auto"/>
        <w:left w:val="none" w:sz="0" w:space="0" w:color="auto"/>
        <w:bottom w:val="none" w:sz="0" w:space="0" w:color="auto"/>
        <w:right w:val="none" w:sz="0" w:space="0" w:color="auto"/>
      </w:divBdr>
    </w:div>
    <w:div w:id="619537114">
      <w:bodyDiv w:val="1"/>
      <w:marLeft w:val="0"/>
      <w:marRight w:val="0"/>
      <w:marTop w:val="0"/>
      <w:marBottom w:val="0"/>
      <w:divBdr>
        <w:top w:val="none" w:sz="0" w:space="0" w:color="auto"/>
        <w:left w:val="none" w:sz="0" w:space="0" w:color="auto"/>
        <w:bottom w:val="none" w:sz="0" w:space="0" w:color="auto"/>
        <w:right w:val="none" w:sz="0" w:space="0" w:color="auto"/>
      </w:divBdr>
    </w:div>
    <w:div w:id="919366799">
      <w:bodyDiv w:val="1"/>
      <w:marLeft w:val="0"/>
      <w:marRight w:val="0"/>
      <w:marTop w:val="0"/>
      <w:marBottom w:val="0"/>
      <w:divBdr>
        <w:top w:val="none" w:sz="0" w:space="0" w:color="auto"/>
        <w:left w:val="none" w:sz="0" w:space="0" w:color="auto"/>
        <w:bottom w:val="none" w:sz="0" w:space="0" w:color="auto"/>
        <w:right w:val="none" w:sz="0" w:space="0" w:color="auto"/>
      </w:divBdr>
    </w:div>
    <w:div w:id="18512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men.govt.nz/sites/public_files/CEDAW%20concluding%20observations%20201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vnz.co.nz/one-news/new-zealand/ive-never-hated-myself-more-in-my-life-revenge-porn-law-does-really-protect-victi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policyanalysis/files/Child_Marriage_and_the_Law(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zatsa.org/saanz-journal/browse-saanz-articles/" TargetMode="External"/><Relationship Id="rId4" Type="http://schemas.openxmlformats.org/officeDocument/2006/relationships/settings" Target="settings.xml"/><Relationship Id="rId9" Type="http://schemas.openxmlformats.org/officeDocument/2006/relationships/hyperlink" Target="http://helpauckland.org.nz/get-info/statistic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Synobox\BNHRA%20Follow-up\Sri%20Lanka\Step%202%2001\Sri%20Lanka%20UPR%20Advocacy%20Fact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4C38B-91CF-431F-AB64-8B341727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Sri Lanka UPR Advocacy Factsheets</Template>
  <TotalTime>1</TotalTime>
  <Pages>3</Pages>
  <Words>1042</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6970</CharactersWithSpaces>
  <SharedDoc>false</SharedDoc>
  <HLinks>
    <vt:vector size="24" baseType="variant">
      <vt:variant>
        <vt:i4>6291495</vt:i4>
      </vt:variant>
      <vt:variant>
        <vt:i4>9</vt:i4>
      </vt:variant>
      <vt:variant>
        <vt:i4>0</vt:i4>
      </vt:variant>
      <vt:variant>
        <vt:i4>5</vt:i4>
      </vt:variant>
      <vt:variant>
        <vt:lpwstr>https://www.tvnz.co.nz/one-news/new-zealand/ive-never-hated-myself-more-in-my-life-revenge-porn-law-does-really-protect-victim</vt:lpwstr>
      </vt:variant>
      <vt:variant>
        <vt:lpwstr/>
      </vt:variant>
      <vt:variant>
        <vt:i4>7340152</vt:i4>
      </vt:variant>
      <vt:variant>
        <vt:i4>6</vt:i4>
      </vt:variant>
      <vt:variant>
        <vt:i4>0</vt:i4>
      </vt:variant>
      <vt:variant>
        <vt:i4>5</vt:i4>
      </vt:variant>
      <vt:variant>
        <vt:lpwstr>https://www.unicef.org/policyanalysis/files/Child_Marriage_and_the_Law(1).pdf</vt:lpwstr>
      </vt:variant>
      <vt:variant>
        <vt:lpwstr/>
      </vt:variant>
      <vt:variant>
        <vt:i4>8192107</vt:i4>
      </vt:variant>
      <vt:variant>
        <vt:i4>3</vt:i4>
      </vt:variant>
      <vt:variant>
        <vt:i4>0</vt:i4>
      </vt:variant>
      <vt:variant>
        <vt:i4>5</vt:i4>
      </vt:variant>
      <vt:variant>
        <vt:lpwstr>http://helpauckland.org.nz/get-info/statistics</vt:lpwstr>
      </vt:variant>
      <vt:variant>
        <vt:lpwstr/>
      </vt:variant>
      <vt:variant>
        <vt:i4>393276</vt:i4>
      </vt:variant>
      <vt:variant>
        <vt:i4>0</vt:i4>
      </vt:variant>
      <vt:variant>
        <vt:i4>0</vt:i4>
      </vt:variant>
      <vt:variant>
        <vt:i4>5</vt:i4>
      </vt:variant>
      <vt:variant>
        <vt:lpwstr>http://women.govt.nz/sites/public_files/CEDAW concluding observations 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Eleanor Vermunt</cp:lastModifiedBy>
  <cp:revision>2</cp:revision>
  <cp:lastPrinted>2018-10-25T19:17:00Z</cp:lastPrinted>
  <dcterms:created xsi:type="dcterms:W3CDTF">2018-10-30T22:24:00Z</dcterms:created>
  <dcterms:modified xsi:type="dcterms:W3CDTF">2018-10-30T22:24:00Z</dcterms:modified>
</cp:coreProperties>
</file>