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0C" w:rsidRPr="006B4C0C" w:rsidRDefault="006B4C0C" w:rsidP="006B4C0C">
      <w:pPr>
        <w:rPr>
          <w:rFonts w:ascii="Arial" w:hAnsi="Arial" w:cs="Arial"/>
          <w:shd w:val="clear" w:color="auto" w:fill="FFFFFF"/>
        </w:rPr>
      </w:pPr>
      <w:r w:rsidRPr="006B4C0C">
        <w:rPr>
          <w:rFonts w:ascii="Arial" w:hAnsi="Arial" w:cs="Arial"/>
          <w:shd w:val="clear" w:color="auto" w:fill="FFFFFF"/>
        </w:rPr>
        <w:t>The Human Rights Act 1993 protects people in New Zealand from discrimination in a number of areas of life. Discrimination occurs when a person is treated unfairly or less favourably than another person in the same or similar circumstances.</w:t>
      </w:r>
      <w:r w:rsidR="002D6641">
        <w:rPr>
          <w:rFonts w:ascii="Arial" w:hAnsi="Arial" w:cs="Arial"/>
          <w:shd w:val="clear" w:color="auto" w:fill="FFFFFF"/>
        </w:rPr>
        <w:t xml:space="preserve"> T</w:t>
      </w:r>
      <w:r w:rsidRPr="006B4C0C">
        <w:rPr>
          <w:rFonts w:ascii="Arial" w:hAnsi="Arial" w:cs="Arial"/>
          <w:shd w:val="clear" w:color="auto" w:fill="FFFFFF"/>
        </w:rPr>
        <w:t>he Human Rights Amendment Act 2001 made significant changes to the Human Rights Act 1993. The Human Rights Act comprises eight parts.</w:t>
      </w:r>
    </w:p>
    <w:p w:rsidR="006B4C0C" w:rsidRPr="006B4C0C" w:rsidRDefault="006B4C0C" w:rsidP="006B4C0C">
      <w:pPr>
        <w:rPr>
          <w:rFonts w:ascii="Arial" w:hAnsi="Arial" w:cs="Arial"/>
          <w:sz w:val="24"/>
          <w:lang w:eastAsia="en-NZ"/>
        </w:rPr>
      </w:pPr>
      <w:r w:rsidRPr="006B4C0C">
        <w:rPr>
          <w:rFonts w:ascii="Gotham Bold" w:hAnsi="Gotham Bold" w:cs="Arial"/>
          <w:b/>
          <w:sz w:val="24"/>
          <w:lang w:eastAsia="en-NZ"/>
        </w:rPr>
        <w:t>Part I:</w:t>
      </w:r>
      <w:r w:rsidRPr="006B4C0C">
        <w:rPr>
          <w:rFonts w:ascii="Arial" w:hAnsi="Arial" w:cs="Arial"/>
          <w:sz w:val="24"/>
          <w:lang w:eastAsia="en-NZ"/>
        </w:rPr>
        <w:t xml:space="preserve"> </w:t>
      </w:r>
    </w:p>
    <w:p w:rsidR="006B4C0C" w:rsidRDefault="006B4C0C" w:rsidP="006B4C0C">
      <w:pPr>
        <w:rPr>
          <w:rFonts w:ascii="Arial" w:hAnsi="Arial" w:cs="Arial"/>
        </w:rPr>
      </w:pPr>
      <w:r>
        <w:rPr>
          <w:rFonts w:ascii="Arial" w:hAnsi="Arial" w:cs="Arial"/>
          <w:lang w:eastAsia="en-NZ"/>
        </w:rPr>
        <w:t>S</w:t>
      </w:r>
      <w:r w:rsidRPr="006B4C0C">
        <w:rPr>
          <w:rFonts w:ascii="Arial" w:hAnsi="Arial" w:cs="Arial"/>
          <w:lang w:eastAsia="en-NZ"/>
        </w:rPr>
        <w:t xml:space="preserve">ets out the functions of the Human Rights Commission; </w:t>
      </w:r>
      <w:r w:rsidRPr="006B4C0C">
        <w:rPr>
          <w:rFonts w:ascii="Arial" w:hAnsi="Arial" w:cs="Arial"/>
        </w:rPr>
        <w:t>the</w:t>
      </w:r>
      <w:r w:rsidRPr="006B4C0C">
        <w:rPr>
          <w:rStyle w:val="apple-converted-space"/>
          <w:rFonts w:ascii="Arial" w:hAnsi="Arial" w:cs="Arial"/>
        </w:rPr>
        <w:t> </w:t>
      </w:r>
      <w:r w:rsidRPr="006B4C0C">
        <w:rPr>
          <w:rFonts w:ascii="Arial" w:hAnsi="Arial" w:cs="Arial"/>
        </w:rPr>
        <w:t>Commission was established by the Human Rights Commission Act 1977. It is empowered under the Human Rights Act to protect human rights in general accordance with United Nations Covenants and Conventions and has a range of functions and powers</w:t>
      </w:r>
      <w:r w:rsidRPr="006B4C0C">
        <w:rPr>
          <w:rStyle w:val="apple-converted-space"/>
          <w:rFonts w:ascii="Arial" w:hAnsi="Arial" w:cs="Arial"/>
        </w:rPr>
        <w:t> </w:t>
      </w:r>
      <w:r w:rsidRPr="006B4C0C">
        <w:rPr>
          <w:rFonts w:ascii="Arial" w:hAnsi="Arial" w:cs="Arial"/>
        </w:rPr>
        <w:t>in order to do this.</w:t>
      </w:r>
      <w:r w:rsidR="002D6641">
        <w:rPr>
          <w:rFonts w:ascii="Arial" w:hAnsi="Arial" w:cs="Arial"/>
        </w:rPr>
        <w:t xml:space="preserve"> </w:t>
      </w:r>
      <w:r w:rsidRPr="006B4C0C">
        <w:rPr>
          <w:rFonts w:ascii="Arial" w:hAnsi="Arial" w:cs="Arial"/>
        </w:rPr>
        <w:t>The</w:t>
      </w:r>
      <w:r w:rsidRPr="006B4C0C">
        <w:rPr>
          <w:rStyle w:val="apple-converted-space"/>
          <w:rFonts w:ascii="Arial" w:hAnsi="Arial" w:cs="Arial"/>
        </w:rPr>
        <w:t> </w:t>
      </w:r>
      <w:r w:rsidRPr="006B4C0C">
        <w:rPr>
          <w:rFonts w:ascii="Arial" w:hAnsi="Arial" w:cs="Arial"/>
        </w:rPr>
        <w:t>Human Rights Amendment Act 2001 made several significant changes to the functions and powers of the Commission</w:t>
      </w:r>
      <w:r w:rsidR="002D6641">
        <w:rPr>
          <w:rFonts w:ascii="Arial" w:hAnsi="Arial" w:cs="Arial"/>
        </w:rPr>
        <w:t xml:space="preserve"> and</w:t>
      </w:r>
      <w:r w:rsidRPr="006B4C0C">
        <w:rPr>
          <w:rFonts w:ascii="Arial" w:hAnsi="Arial" w:cs="Arial"/>
        </w:rPr>
        <w:t xml:space="preserve"> also established the Office of Human Rights Proceedings. </w:t>
      </w:r>
    </w:p>
    <w:p w:rsidR="006B4C0C" w:rsidRPr="006B4C0C" w:rsidRDefault="006B4C0C" w:rsidP="006B4C0C">
      <w:pPr>
        <w:rPr>
          <w:rFonts w:ascii="Gotham Bold" w:hAnsi="Gotham Bold" w:cs="Arial"/>
          <w:b/>
          <w:sz w:val="24"/>
          <w:lang w:eastAsia="en-NZ"/>
        </w:rPr>
      </w:pPr>
      <w:r w:rsidRPr="006B4C0C">
        <w:rPr>
          <w:rFonts w:ascii="Gotham Bold" w:hAnsi="Gotham Bold" w:cs="Arial"/>
          <w:b/>
          <w:sz w:val="24"/>
          <w:lang w:eastAsia="en-NZ"/>
        </w:rPr>
        <w:t xml:space="preserve">Part 1A: </w:t>
      </w:r>
    </w:p>
    <w:p w:rsidR="006B4C0C" w:rsidRPr="006B4C0C" w:rsidRDefault="006B4C0C" w:rsidP="006B4C0C">
      <w:pPr>
        <w:rPr>
          <w:rFonts w:ascii="Arial" w:hAnsi="Arial" w:cs="Arial"/>
          <w:lang w:eastAsia="en-NZ"/>
        </w:rPr>
      </w:pPr>
      <w:r>
        <w:rPr>
          <w:rFonts w:ascii="Arial" w:hAnsi="Arial" w:cs="Arial"/>
          <w:lang w:eastAsia="en-NZ"/>
        </w:rPr>
        <w:t>S</w:t>
      </w:r>
      <w:r w:rsidRPr="006B4C0C">
        <w:rPr>
          <w:rFonts w:ascii="Arial" w:hAnsi="Arial" w:cs="Arial"/>
          <w:lang w:eastAsia="en-NZ"/>
        </w:rPr>
        <w:t>ets out the Bill of Rights Act non-discrimination standard; it deals with discrimination by those in the public sector, except in relation to employment, sexual harassment, racial disharmony, racia</w:t>
      </w:r>
      <w:r>
        <w:rPr>
          <w:rFonts w:ascii="Arial" w:hAnsi="Arial" w:cs="Arial"/>
          <w:lang w:eastAsia="en-NZ"/>
        </w:rPr>
        <w:t>l harassment, and victimisation.</w:t>
      </w:r>
    </w:p>
    <w:p w:rsidR="006B4C0C" w:rsidRDefault="006B4C0C" w:rsidP="006B4C0C">
      <w:pPr>
        <w:rPr>
          <w:rFonts w:ascii="Arial" w:hAnsi="Arial" w:cs="Arial"/>
          <w:lang w:eastAsia="en-NZ"/>
        </w:rPr>
      </w:pPr>
      <w:r w:rsidRPr="006B4C0C">
        <w:rPr>
          <w:rFonts w:ascii="Gotham Bold" w:hAnsi="Gotham Bold" w:cs="Arial"/>
          <w:b/>
          <w:sz w:val="24"/>
          <w:lang w:eastAsia="en-NZ"/>
        </w:rPr>
        <w:t>Part II:</w:t>
      </w:r>
      <w:r w:rsidRPr="006B4C0C">
        <w:rPr>
          <w:rFonts w:ascii="Arial" w:hAnsi="Arial" w:cs="Arial"/>
          <w:sz w:val="24"/>
          <w:lang w:eastAsia="en-NZ"/>
        </w:rPr>
        <w:t xml:space="preserve"> </w:t>
      </w:r>
    </w:p>
    <w:p w:rsidR="006B4C0C" w:rsidRPr="002D6641" w:rsidRDefault="006B4C0C" w:rsidP="006B4C0C">
      <w:pPr>
        <w:rPr>
          <w:rFonts w:ascii="Arial" w:hAnsi="Arial" w:cs="Arial"/>
          <w:lang w:eastAsia="en-NZ"/>
        </w:rPr>
      </w:pPr>
      <w:r>
        <w:rPr>
          <w:rFonts w:ascii="Arial" w:hAnsi="Arial" w:cs="Arial"/>
          <w:lang w:eastAsia="en-NZ"/>
        </w:rPr>
        <w:t>S</w:t>
      </w:r>
      <w:r w:rsidRPr="006B4C0C">
        <w:rPr>
          <w:rFonts w:ascii="Arial" w:hAnsi="Arial" w:cs="Arial"/>
          <w:lang w:eastAsia="en-NZ"/>
        </w:rPr>
        <w:t>ets out the Human Rights Act non-discrimination standard; it deals with discrimination by those in the private sector, and those in the public sector in relation to employment, sexual harassment, racial disharmony, racial harassment, and victimisation; it sets out the prohibited grounds of discrimination (these are reproduced in full in </w:t>
      </w:r>
      <w:hyperlink r:id="rId7" w:tooltip="Appendix 2 - Prohibited Grounds of Discrimination" w:history="1">
        <w:r w:rsidRPr="006B4C0C">
          <w:rPr>
            <w:rFonts w:ascii="Arial" w:hAnsi="Arial" w:cs="Arial"/>
            <w:lang w:eastAsia="en-NZ"/>
          </w:rPr>
          <w:t>Appendix 2</w:t>
        </w:r>
      </w:hyperlink>
      <w:r w:rsidRPr="006B4C0C">
        <w:rPr>
          <w:rFonts w:ascii="Arial" w:hAnsi="Arial" w:cs="Arial"/>
          <w:lang w:eastAsia="en-NZ"/>
        </w:rPr>
        <w:t>), the areas of life in which such discrimination is prohibited, and various exceptions</w:t>
      </w:r>
      <w:r>
        <w:rPr>
          <w:rFonts w:ascii="Arial" w:hAnsi="Arial" w:cs="Arial"/>
          <w:lang w:eastAsia="en-NZ"/>
        </w:rPr>
        <w:t xml:space="preserve"> where discrimination is lawful.</w:t>
      </w:r>
    </w:p>
    <w:p w:rsidR="006B4C0C" w:rsidRDefault="006B4C0C" w:rsidP="006B4C0C">
      <w:pPr>
        <w:rPr>
          <w:rFonts w:ascii="Arial" w:hAnsi="Arial" w:cs="Arial"/>
          <w:lang w:eastAsia="en-NZ"/>
        </w:rPr>
      </w:pPr>
      <w:r w:rsidRPr="006B4C0C">
        <w:rPr>
          <w:rFonts w:ascii="Gotham Bold" w:hAnsi="Gotham Bold" w:cs="Arial"/>
          <w:b/>
          <w:sz w:val="24"/>
          <w:lang w:eastAsia="en-NZ"/>
        </w:rPr>
        <w:t>Part III:</w:t>
      </w:r>
      <w:r w:rsidRPr="006B4C0C">
        <w:rPr>
          <w:rFonts w:ascii="Arial" w:hAnsi="Arial" w:cs="Arial"/>
          <w:sz w:val="24"/>
          <w:lang w:eastAsia="en-NZ"/>
        </w:rPr>
        <w:t xml:space="preserve"> </w:t>
      </w:r>
    </w:p>
    <w:p w:rsidR="006B4C0C" w:rsidRPr="006B4C0C" w:rsidRDefault="006B4C0C" w:rsidP="006B4C0C">
      <w:pPr>
        <w:rPr>
          <w:rFonts w:ascii="Arial" w:hAnsi="Arial" w:cs="Arial"/>
          <w:lang w:eastAsia="en-NZ"/>
        </w:rPr>
      </w:pPr>
      <w:r>
        <w:rPr>
          <w:rFonts w:ascii="Arial" w:hAnsi="Arial" w:cs="Arial"/>
          <w:lang w:eastAsia="en-NZ"/>
        </w:rPr>
        <w:t>D</w:t>
      </w:r>
      <w:r w:rsidRPr="006B4C0C">
        <w:rPr>
          <w:rFonts w:ascii="Arial" w:hAnsi="Arial" w:cs="Arial"/>
          <w:lang w:eastAsia="en-NZ"/>
        </w:rPr>
        <w:t>eals with complaints processes through the Human</w:t>
      </w:r>
      <w:r>
        <w:rPr>
          <w:rFonts w:ascii="Arial" w:hAnsi="Arial" w:cs="Arial"/>
          <w:lang w:eastAsia="en-NZ"/>
        </w:rPr>
        <w:t xml:space="preserve"> Rights Commission and remedies.</w:t>
      </w:r>
    </w:p>
    <w:p w:rsidR="006B4C0C" w:rsidRDefault="006B4C0C" w:rsidP="006B4C0C">
      <w:pPr>
        <w:rPr>
          <w:rFonts w:ascii="Arial" w:hAnsi="Arial" w:cs="Arial"/>
          <w:lang w:eastAsia="en-NZ"/>
        </w:rPr>
      </w:pPr>
      <w:r w:rsidRPr="006B4C0C">
        <w:rPr>
          <w:rFonts w:ascii="Gotham Bold" w:hAnsi="Gotham Bold" w:cs="Arial"/>
          <w:b/>
          <w:sz w:val="24"/>
          <w:lang w:eastAsia="en-NZ"/>
        </w:rPr>
        <w:t>Part IV:</w:t>
      </w:r>
    </w:p>
    <w:p w:rsidR="006B4C0C" w:rsidRPr="006B4C0C" w:rsidRDefault="005D57ED" w:rsidP="006B4C0C">
      <w:pPr>
        <w:rPr>
          <w:rFonts w:ascii="Arial" w:hAnsi="Arial" w:cs="Arial"/>
          <w:lang w:eastAsia="en-NZ"/>
        </w:rPr>
      </w:pPr>
      <w:r>
        <w:rPr>
          <w:rFonts w:ascii="Arial" w:hAnsi="Arial" w:cs="Arial"/>
          <w:lang w:eastAsia="en-NZ"/>
        </w:rPr>
        <w:t>E</w:t>
      </w:r>
      <w:r w:rsidR="006B4C0C" w:rsidRPr="006B4C0C">
        <w:rPr>
          <w:rFonts w:ascii="Arial" w:hAnsi="Arial" w:cs="Arial"/>
          <w:lang w:eastAsia="en-NZ"/>
        </w:rPr>
        <w:t>stablishes a Human Rights Review Tribunal and provides for its functions and powers.</w:t>
      </w:r>
    </w:p>
    <w:p w:rsidR="006B4C0C" w:rsidRPr="006B4C0C" w:rsidRDefault="006B4C0C" w:rsidP="006B4C0C">
      <w:pPr>
        <w:rPr>
          <w:rFonts w:ascii="Gotham Bold" w:hAnsi="Gotham Bold" w:cs="Arial"/>
          <w:b/>
          <w:bCs/>
          <w:sz w:val="24"/>
          <w:lang w:eastAsia="en-NZ"/>
        </w:rPr>
      </w:pPr>
      <w:r w:rsidRPr="006B4C0C">
        <w:rPr>
          <w:rFonts w:ascii="Gotham Bold" w:hAnsi="Gotham Bold" w:cs="Arial"/>
          <w:b/>
          <w:bCs/>
          <w:sz w:val="24"/>
          <w:lang w:eastAsia="en-NZ"/>
        </w:rPr>
        <w:t>Part V</w:t>
      </w:r>
      <w:r w:rsidR="002D6641">
        <w:rPr>
          <w:rFonts w:ascii="Gotham Bold" w:hAnsi="Gotham Bold" w:cs="Arial"/>
          <w:b/>
          <w:bCs/>
          <w:sz w:val="24"/>
          <w:lang w:eastAsia="en-NZ"/>
        </w:rPr>
        <w:t>:</w:t>
      </w:r>
    </w:p>
    <w:p w:rsidR="006B4C0C" w:rsidRPr="006B4C0C" w:rsidRDefault="006B4C0C" w:rsidP="006B4C0C">
      <w:pPr>
        <w:rPr>
          <w:rFonts w:ascii="Arial" w:hAnsi="Arial" w:cs="Arial"/>
          <w:lang w:eastAsia="en-NZ"/>
        </w:rPr>
      </w:pPr>
      <w:proofErr w:type="gramStart"/>
      <w:r w:rsidRPr="006B4C0C">
        <w:rPr>
          <w:rFonts w:ascii="Arial" w:hAnsi="Arial" w:cs="Arial"/>
          <w:lang w:eastAsia="en-NZ"/>
        </w:rPr>
        <w:t>Outlines the powers of the Commission in relation to inquiries (sections 127 to130).</w:t>
      </w:r>
      <w:proofErr w:type="gramEnd"/>
    </w:p>
    <w:p w:rsidR="006B4C0C" w:rsidRPr="006B4C0C" w:rsidRDefault="006B4C0C" w:rsidP="006B4C0C">
      <w:pPr>
        <w:rPr>
          <w:rFonts w:ascii="Gotham Bold" w:hAnsi="Gotham Bold" w:cs="Arial"/>
          <w:b/>
          <w:bCs/>
          <w:sz w:val="24"/>
          <w:lang w:eastAsia="en-NZ"/>
        </w:rPr>
      </w:pPr>
      <w:r w:rsidRPr="006B4C0C">
        <w:rPr>
          <w:rFonts w:ascii="Gotham Bold" w:hAnsi="Gotham Bold" w:cs="Arial"/>
          <w:b/>
          <w:bCs/>
          <w:sz w:val="24"/>
          <w:lang w:eastAsia="en-NZ"/>
        </w:rPr>
        <w:t>Part VI</w:t>
      </w:r>
      <w:r w:rsidR="002D6641">
        <w:rPr>
          <w:rFonts w:ascii="Gotham Bold" w:hAnsi="Gotham Bold" w:cs="Arial"/>
          <w:b/>
          <w:bCs/>
          <w:sz w:val="24"/>
          <w:lang w:eastAsia="en-NZ"/>
        </w:rPr>
        <w:t>:</w:t>
      </w:r>
    </w:p>
    <w:p w:rsidR="006B4C0C" w:rsidRPr="006B4C0C" w:rsidRDefault="006B4C0C" w:rsidP="006B4C0C">
      <w:pPr>
        <w:rPr>
          <w:rFonts w:ascii="Arial" w:hAnsi="Arial" w:cs="Arial"/>
          <w:lang w:eastAsia="en-NZ"/>
        </w:rPr>
      </w:pPr>
      <w:r w:rsidRPr="006B4C0C">
        <w:rPr>
          <w:rFonts w:ascii="Arial" w:hAnsi="Arial" w:cs="Arial"/>
          <w:lang w:eastAsia="en-NZ"/>
        </w:rPr>
        <w:t>This part deals with the incitement of Racial Disharmony.</w:t>
      </w:r>
    </w:p>
    <w:p w:rsidR="006B4C0C" w:rsidRPr="006B4C0C" w:rsidRDefault="006B4C0C" w:rsidP="006B4C0C">
      <w:pPr>
        <w:rPr>
          <w:rFonts w:ascii="Gotham Bold" w:hAnsi="Gotham Bold" w:cs="Arial"/>
          <w:b/>
          <w:bCs/>
          <w:sz w:val="24"/>
          <w:lang w:eastAsia="en-NZ"/>
        </w:rPr>
      </w:pPr>
      <w:r w:rsidRPr="006B4C0C">
        <w:rPr>
          <w:rFonts w:ascii="Gotham Bold" w:hAnsi="Gotham Bold" w:cs="Arial"/>
          <w:b/>
          <w:bCs/>
          <w:sz w:val="24"/>
          <w:lang w:eastAsia="en-NZ"/>
        </w:rPr>
        <w:t>Part VII</w:t>
      </w:r>
      <w:r w:rsidR="002D6641">
        <w:rPr>
          <w:rFonts w:ascii="Gotham Bold" w:hAnsi="Gotham Bold" w:cs="Arial"/>
          <w:b/>
          <w:bCs/>
          <w:sz w:val="24"/>
          <w:lang w:eastAsia="en-NZ"/>
        </w:rPr>
        <w:t>:</w:t>
      </w:r>
    </w:p>
    <w:p w:rsidR="006B4C0C" w:rsidRPr="006B4C0C" w:rsidRDefault="006B4C0C" w:rsidP="006B4C0C">
      <w:pPr>
        <w:rPr>
          <w:rFonts w:ascii="Arial" w:hAnsi="Arial" w:cs="Arial"/>
          <w:lang w:eastAsia="en-NZ"/>
        </w:rPr>
      </w:pPr>
      <w:r w:rsidRPr="006B4C0C">
        <w:rPr>
          <w:rFonts w:ascii="Arial" w:hAnsi="Arial" w:cs="Arial"/>
          <w:lang w:eastAsia="en-NZ"/>
        </w:rPr>
        <w:t>The part includes miscellaneous provisions.</w:t>
      </w:r>
    </w:p>
    <w:sectPr w:rsidR="006B4C0C" w:rsidRPr="006B4C0C" w:rsidSect="00D539D0">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F9C" w:rsidRDefault="007B6F9C" w:rsidP="006B4C0C">
      <w:pPr>
        <w:spacing w:after="0" w:line="240" w:lineRule="auto"/>
      </w:pPr>
      <w:r>
        <w:separator/>
      </w:r>
    </w:p>
  </w:endnote>
  <w:endnote w:type="continuationSeparator" w:id="0">
    <w:p w:rsidR="007B6F9C" w:rsidRDefault="007B6F9C" w:rsidP="006B4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auto"/>
    <w:pitch w:val="variable"/>
    <w:sig w:usb0="A00000FF" w:usb1="4000004A" w:usb2="00000000" w:usb3="00000000" w:csb0="0000000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F9C" w:rsidRDefault="007B6F9C" w:rsidP="006B4C0C">
      <w:pPr>
        <w:spacing w:after="0" w:line="240" w:lineRule="auto"/>
      </w:pPr>
      <w:r>
        <w:separator/>
      </w:r>
    </w:p>
  </w:footnote>
  <w:footnote w:type="continuationSeparator" w:id="0">
    <w:p w:rsidR="007B6F9C" w:rsidRDefault="007B6F9C" w:rsidP="006B4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0C" w:rsidRDefault="006B4C0C">
    <w:pPr>
      <w:pStyle w:val="Header"/>
    </w:pPr>
    <w:r>
      <w:rPr>
        <w:noProof/>
        <w:lang w:eastAsia="en-NZ"/>
      </w:rPr>
      <w:drawing>
        <wp:inline distT="0" distB="0" distL="0" distR="0">
          <wp:extent cx="5721985" cy="6442075"/>
          <wp:effectExtent l="19050" t="0" r="0" b="0"/>
          <wp:docPr id="1" name="Picture 1" descr="S:\08-Human Rights Communications\Multimedia Resources\Images\Logos\HRC logos\HRC_logo07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8-Human Rights Communications\Multimedia Resources\Images\Logos\HRC logos\HRC_logo07_CMYK.tif"/>
                  <pic:cNvPicPr>
                    <a:picLocks noChangeAspect="1" noChangeArrowheads="1"/>
                  </pic:cNvPicPr>
                </pic:nvPicPr>
                <pic:blipFill>
                  <a:blip r:embed="rId1"/>
                  <a:srcRect/>
                  <a:stretch>
                    <a:fillRect/>
                  </a:stretch>
                </pic:blipFill>
                <pic:spPr bwMode="auto">
                  <a:xfrm>
                    <a:off x="0" y="0"/>
                    <a:ext cx="5721985" cy="6442075"/>
                  </a:xfrm>
                  <a:prstGeom prst="rect">
                    <a:avLst/>
                  </a:prstGeom>
                  <a:noFill/>
                  <a:ln w="9525">
                    <a:noFill/>
                    <a:miter lim="800000"/>
                    <a:headEnd/>
                    <a:tailEnd/>
                  </a:ln>
                </pic:spPr>
              </pic:pic>
            </a:graphicData>
          </a:graphic>
        </wp:inline>
      </w:drawing>
    </w:r>
    <w:r>
      <w:rPr>
        <w:noProof/>
        <w:lang w:eastAsia="en-NZ"/>
      </w:rPr>
      <w:drawing>
        <wp:inline distT="0" distB="0" distL="0" distR="0">
          <wp:extent cx="5721985" cy="6442075"/>
          <wp:effectExtent l="19050" t="0" r="0" b="0"/>
          <wp:docPr id="2" name="Picture 2" descr="S:\08-Human Rights Communications\Multimedia Resources\Images\Logos\HRC logos\HRC_logo07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8-Human Rights Communications\Multimedia Resources\Images\Logos\HRC logos\HRC_logo07_CMYK.tif"/>
                  <pic:cNvPicPr>
                    <a:picLocks noChangeAspect="1" noChangeArrowheads="1"/>
                  </pic:cNvPicPr>
                </pic:nvPicPr>
                <pic:blipFill>
                  <a:blip r:embed="rId1"/>
                  <a:srcRect/>
                  <a:stretch>
                    <a:fillRect/>
                  </a:stretch>
                </pic:blipFill>
                <pic:spPr bwMode="auto">
                  <a:xfrm>
                    <a:off x="0" y="0"/>
                    <a:ext cx="5721985" cy="6442075"/>
                  </a:xfrm>
                  <a:prstGeom prst="rect">
                    <a:avLst/>
                  </a:prstGeom>
                  <a:noFill/>
                  <a:ln w="9525">
                    <a:noFill/>
                    <a:miter lim="800000"/>
                    <a:headEnd/>
                    <a:tailEnd/>
                  </a:ln>
                </pic:spPr>
              </pic:pic>
            </a:graphicData>
          </a:graphic>
        </wp:inline>
      </w:drawing>
    </w:r>
    <w:r>
      <w:rPr>
        <w:noProof/>
        <w:lang w:eastAsia="en-NZ"/>
      </w:rPr>
      <w:drawing>
        <wp:inline distT="0" distB="0" distL="0" distR="0">
          <wp:extent cx="5721985" cy="6442075"/>
          <wp:effectExtent l="19050" t="0" r="0" b="0"/>
          <wp:docPr id="3" name="Picture 3" descr="S:\08-Human Rights Communications\Multimedia Resources\Images\Logos\HRC logos\HRC_logo07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08-Human Rights Communications\Multimedia Resources\Images\Logos\HRC logos\HRC_logo07_CMYK.tif"/>
                  <pic:cNvPicPr>
                    <a:picLocks noChangeAspect="1" noChangeArrowheads="1"/>
                  </pic:cNvPicPr>
                </pic:nvPicPr>
                <pic:blipFill>
                  <a:blip r:embed="rId1"/>
                  <a:srcRect/>
                  <a:stretch>
                    <a:fillRect/>
                  </a:stretch>
                </pic:blipFill>
                <pic:spPr bwMode="auto">
                  <a:xfrm>
                    <a:off x="0" y="0"/>
                    <a:ext cx="5721985" cy="64420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0C" w:rsidRPr="00272625" w:rsidRDefault="006B4C0C">
    <w:pPr>
      <w:pStyle w:val="Header"/>
      <w:rPr>
        <w:rFonts w:ascii="Gotham Bold" w:hAnsi="Gotham Bold"/>
        <w:sz w:val="28"/>
      </w:rPr>
    </w:pPr>
    <w:r w:rsidRPr="00272625">
      <w:rPr>
        <w:rFonts w:ascii="Gotham Bold" w:hAnsi="Gotham Bold"/>
        <w:sz w:val="28"/>
      </w:rPr>
      <w:drawing>
        <wp:anchor distT="0" distB="0" distL="114300" distR="114300" simplePos="0" relativeHeight="251658240" behindDoc="0" locked="0" layoutInCell="1" allowOverlap="1">
          <wp:simplePos x="0" y="0"/>
          <wp:positionH relativeFrom="column">
            <wp:posOffset>5616286</wp:posOffset>
          </wp:positionH>
          <wp:positionV relativeFrom="paragraph">
            <wp:posOffset>-338744</wp:posOffset>
          </wp:positionV>
          <wp:extent cx="895350" cy="1025236"/>
          <wp:effectExtent l="19050" t="0" r="0" b="0"/>
          <wp:wrapNone/>
          <wp:docPr id="5" name="Picture 4" descr="S:\08-Human Rights Communications\Multimedia Resources\Images\Logos\HRC logos\HRC_logo07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08-Human Rights Communications\Multimedia Resources\Images\Logos\HRC logos\HRC_logo07_CMYK.tif"/>
                  <pic:cNvPicPr>
                    <a:picLocks noChangeAspect="1" noChangeArrowheads="1"/>
                  </pic:cNvPicPr>
                </pic:nvPicPr>
                <pic:blipFill>
                  <a:blip r:embed="rId1"/>
                  <a:srcRect/>
                  <a:stretch>
                    <a:fillRect/>
                  </a:stretch>
                </pic:blipFill>
                <pic:spPr bwMode="auto">
                  <a:xfrm>
                    <a:off x="0" y="0"/>
                    <a:ext cx="895350" cy="1025236"/>
                  </a:xfrm>
                  <a:prstGeom prst="rect">
                    <a:avLst/>
                  </a:prstGeom>
                  <a:noFill/>
                  <a:ln w="9525">
                    <a:noFill/>
                    <a:miter lim="800000"/>
                    <a:headEnd/>
                    <a:tailEnd/>
                  </a:ln>
                </pic:spPr>
              </pic:pic>
            </a:graphicData>
          </a:graphic>
        </wp:anchor>
      </w:drawing>
    </w:r>
    <w:r w:rsidRPr="00272625">
      <w:rPr>
        <w:rFonts w:ascii="Gotham Bold" w:hAnsi="Gotham Bold"/>
        <w:sz w:val="28"/>
      </w:rPr>
      <w:t>Human Rights Act 1993 Summary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F41E1"/>
    <w:multiLevelType w:val="multilevel"/>
    <w:tmpl w:val="08BA2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F7D94"/>
    <w:multiLevelType w:val="multilevel"/>
    <w:tmpl w:val="A7AC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7936F7"/>
    <w:multiLevelType w:val="multilevel"/>
    <w:tmpl w:val="ABA0B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80711"/>
    <w:multiLevelType w:val="multilevel"/>
    <w:tmpl w:val="69FC6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685FEA"/>
    <w:multiLevelType w:val="multilevel"/>
    <w:tmpl w:val="C0842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B4C0C"/>
    <w:rsid w:val="00006A29"/>
    <w:rsid w:val="00010F68"/>
    <w:rsid w:val="00015B54"/>
    <w:rsid w:val="00021F7E"/>
    <w:rsid w:val="00026367"/>
    <w:rsid w:val="000338FF"/>
    <w:rsid w:val="0003609D"/>
    <w:rsid w:val="0003737C"/>
    <w:rsid w:val="00050665"/>
    <w:rsid w:val="00050675"/>
    <w:rsid w:val="00053245"/>
    <w:rsid w:val="00054E02"/>
    <w:rsid w:val="000621B1"/>
    <w:rsid w:val="0006648C"/>
    <w:rsid w:val="00067D59"/>
    <w:rsid w:val="000702CE"/>
    <w:rsid w:val="00072BA8"/>
    <w:rsid w:val="00075B17"/>
    <w:rsid w:val="00087F69"/>
    <w:rsid w:val="00092BCB"/>
    <w:rsid w:val="00094F20"/>
    <w:rsid w:val="000A116A"/>
    <w:rsid w:val="000A2F3B"/>
    <w:rsid w:val="000A591F"/>
    <w:rsid w:val="000A6247"/>
    <w:rsid w:val="000B4734"/>
    <w:rsid w:val="000B47D9"/>
    <w:rsid w:val="000C0DED"/>
    <w:rsid w:val="000C15FD"/>
    <w:rsid w:val="000D0E28"/>
    <w:rsid w:val="000E0FC0"/>
    <w:rsid w:val="000E1E5B"/>
    <w:rsid w:val="000F18DC"/>
    <w:rsid w:val="00101F3A"/>
    <w:rsid w:val="00106CF4"/>
    <w:rsid w:val="00110F8F"/>
    <w:rsid w:val="00113945"/>
    <w:rsid w:val="00125243"/>
    <w:rsid w:val="0013007E"/>
    <w:rsid w:val="00130253"/>
    <w:rsid w:val="00150232"/>
    <w:rsid w:val="00150F0E"/>
    <w:rsid w:val="001517A8"/>
    <w:rsid w:val="00152189"/>
    <w:rsid w:val="00152398"/>
    <w:rsid w:val="00152D97"/>
    <w:rsid w:val="00154245"/>
    <w:rsid w:val="001546FE"/>
    <w:rsid w:val="001570B3"/>
    <w:rsid w:val="001576EB"/>
    <w:rsid w:val="00162D35"/>
    <w:rsid w:val="001670CE"/>
    <w:rsid w:val="001714F0"/>
    <w:rsid w:val="00172572"/>
    <w:rsid w:val="00173527"/>
    <w:rsid w:val="00174142"/>
    <w:rsid w:val="00174151"/>
    <w:rsid w:val="00180B7F"/>
    <w:rsid w:val="001848C0"/>
    <w:rsid w:val="00195578"/>
    <w:rsid w:val="00195ACB"/>
    <w:rsid w:val="0019730E"/>
    <w:rsid w:val="001A14AB"/>
    <w:rsid w:val="001A2B62"/>
    <w:rsid w:val="001A3807"/>
    <w:rsid w:val="001A6B97"/>
    <w:rsid w:val="001C159B"/>
    <w:rsid w:val="001C3D8F"/>
    <w:rsid w:val="001D34AC"/>
    <w:rsid w:val="001D3CCE"/>
    <w:rsid w:val="001D4E78"/>
    <w:rsid w:val="001E4ADA"/>
    <w:rsid w:val="001E6808"/>
    <w:rsid w:val="001F096E"/>
    <w:rsid w:val="001F65D2"/>
    <w:rsid w:val="00200106"/>
    <w:rsid w:val="0020103C"/>
    <w:rsid w:val="00201C0F"/>
    <w:rsid w:val="00203ACD"/>
    <w:rsid w:val="00217B44"/>
    <w:rsid w:val="00222C72"/>
    <w:rsid w:val="0022484A"/>
    <w:rsid w:val="002307E7"/>
    <w:rsid w:val="0023424F"/>
    <w:rsid w:val="00260CF2"/>
    <w:rsid w:val="00272591"/>
    <w:rsid w:val="00272625"/>
    <w:rsid w:val="00286DEF"/>
    <w:rsid w:val="002871A5"/>
    <w:rsid w:val="00294236"/>
    <w:rsid w:val="00295372"/>
    <w:rsid w:val="00295666"/>
    <w:rsid w:val="002A1D5F"/>
    <w:rsid w:val="002A5675"/>
    <w:rsid w:val="002B2AEA"/>
    <w:rsid w:val="002B60F2"/>
    <w:rsid w:val="002B6AE1"/>
    <w:rsid w:val="002C1445"/>
    <w:rsid w:val="002C3934"/>
    <w:rsid w:val="002C6978"/>
    <w:rsid w:val="002C6FD6"/>
    <w:rsid w:val="002D0E41"/>
    <w:rsid w:val="002D3BF7"/>
    <w:rsid w:val="002D4526"/>
    <w:rsid w:val="002D6641"/>
    <w:rsid w:val="002E15B0"/>
    <w:rsid w:val="002F2255"/>
    <w:rsid w:val="002F5772"/>
    <w:rsid w:val="00313E78"/>
    <w:rsid w:val="00317144"/>
    <w:rsid w:val="00325147"/>
    <w:rsid w:val="00327A85"/>
    <w:rsid w:val="00337752"/>
    <w:rsid w:val="00340D9B"/>
    <w:rsid w:val="0035262D"/>
    <w:rsid w:val="00354372"/>
    <w:rsid w:val="00355373"/>
    <w:rsid w:val="00356ACD"/>
    <w:rsid w:val="003574F8"/>
    <w:rsid w:val="00361B12"/>
    <w:rsid w:val="0036426F"/>
    <w:rsid w:val="00383833"/>
    <w:rsid w:val="0038740B"/>
    <w:rsid w:val="00393C1E"/>
    <w:rsid w:val="00395CA2"/>
    <w:rsid w:val="003A2DE3"/>
    <w:rsid w:val="003B1C5E"/>
    <w:rsid w:val="003B2906"/>
    <w:rsid w:val="003B7BFF"/>
    <w:rsid w:val="003C447B"/>
    <w:rsid w:val="003D1F45"/>
    <w:rsid w:val="003D6AD1"/>
    <w:rsid w:val="003E01F4"/>
    <w:rsid w:val="003E01F7"/>
    <w:rsid w:val="003E276D"/>
    <w:rsid w:val="003E3B3B"/>
    <w:rsid w:val="003E5087"/>
    <w:rsid w:val="003F59F5"/>
    <w:rsid w:val="00406BAD"/>
    <w:rsid w:val="004075CD"/>
    <w:rsid w:val="004115DD"/>
    <w:rsid w:val="00417242"/>
    <w:rsid w:val="004209C1"/>
    <w:rsid w:val="00421B10"/>
    <w:rsid w:val="00430E55"/>
    <w:rsid w:val="00440EED"/>
    <w:rsid w:val="004439A2"/>
    <w:rsid w:val="00444E4C"/>
    <w:rsid w:val="00445FF2"/>
    <w:rsid w:val="00453E17"/>
    <w:rsid w:val="0046284C"/>
    <w:rsid w:val="00466C4F"/>
    <w:rsid w:val="00480303"/>
    <w:rsid w:val="00482A61"/>
    <w:rsid w:val="00484E88"/>
    <w:rsid w:val="004872CB"/>
    <w:rsid w:val="00491CF5"/>
    <w:rsid w:val="00493FFF"/>
    <w:rsid w:val="004950F7"/>
    <w:rsid w:val="00495C39"/>
    <w:rsid w:val="00497021"/>
    <w:rsid w:val="004A05C3"/>
    <w:rsid w:val="004A0626"/>
    <w:rsid w:val="004A12CC"/>
    <w:rsid w:val="004A4708"/>
    <w:rsid w:val="004A7DB7"/>
    <w:rsid w:val="004B0915"/>
    <w:rsid w:val="004B4657"/>
    <w:rsid w:val="004C5842"/>
    <w:rsid w:val="004C6617"/>
    <w:rsid w:val="004C70F6"/>
    <w:rsid w:val="004D2185"/>
    <w:rsid w:val="004E6F6D"/>
    <w:rsid w:val="004E77EC"/>
    <w:rsid w:val="005038E0"/>
    <w:rsid w:val="0050531A"/>
    <w:rsid w:val="0050555A"/>
    <w:rsid w:val="00507473"/>
    <w:rsid w:val="00511589"/>
    <w:rsid w:val="00516A41"/>
    <w:rsid w:val="00522193"/>
    <w:rsid w:val="005307D0"/>
    <w:rsid w:val="00530B3E"/>
    <w:rsid w:val="00536CF2"/>
    <w:rsid w:val="005410F4"/>
    <w:rsid w:val="00543250"/>
    <w:rsid w:val="00543AD4"/>
    <w:rsid w:val="0055066A"/>
    <w:rsid w:val="00557053"/>
    <w:rsid w:val="00567CAB"/>
    <w:rsid w:val="00572CE0"/>
    <w:rsid w:val="00576ADB"/>
    <w:rsid w:val="00581C8D"/>
    <w:rsid w:val="00587A96"/>
    <w:rsid w:val="00597B46"/>
    <w:rsid w:val="005A696A"/>
    <w:rsid w:val="005C0B29"/>
    <w:rsid w:val="005D57ED"/>
    <w:rsid w:val="005D6808"/>
    <w:rsid w:val="005D6ECC"/>
    <w:rsid w:val="005E040A"/>
    <w:rsid w:val="005E2D53"/>
    <w:rsid w:val="005E3EF6"/>
    <w:rsid w:val="005E6A8E"/>
    <w:rsid w:val="005E7C63"/>
    <w:rsid w:val="005F0EF7"/>
    <w:rsid w:val="006017E3"/>
    <w:rsid w:val="00602DB0"/>
    <w:rsid w:val="00604ABE"/>
    <w:rsid w:val="00605E8F"/>
    <w:rsid w:val="00607CEC"/>
    <w:rsid w:val="00614CF0"/>
    <w:rsid w:val="00621AAA"/>
    <w:rsid w:val="006253AD"/>
    <w:rsid w:val="0063009C"/>
    <w:rsid w:val="00630103"/>
    <w:rsid w:val="006310A3"/>
    <w:rsid w:val="006441A0"/>
    <w:rsid w:val="00661ECB"/>
    <w:rsid w:val="0066542B"/>
    <w:rsid w:val="00671C39"/>
    <w:rsid w:val="00672855"/>
    <w:rsid w:val="00674205"/>
    <w:rsid w:val="0068665B"/>
    <w:rsid w:val="00686B79"/>
    <w:rsid w:val="00686DE0"/>
    <w:rsid w:val="00687EF3"/>
    <w:rsid w:val="00696FEB"/>
    <w:rsid w:val="00697CB6"/>
    <w:rsid w:val="006A2999"/>
    <w:rsid w:val="006B4C0C"/>
    <w:rsid w:val="006C2B07"/>
    <w:rsid w:val="006C63AE"/>
    <w:rsid w:val="006D093D"/>
    <w:rsid w:val="006D243B"/>
    <w:rsid w:val="006F5F35"/>
    <w:rsid w:val="006F63B2"/>
    <w:rsid w:val="0071022D"/>
    <w:rsid w:val="0071462E"/>
    <w:rsid w:val="00714F02"/>
    <w:rsid w:val="00721A67"/>
    <w:rsid w:val="0072418B"/>
    <w:rsid w:val="00732ACE"/>
    <w:rsid w:val="007373D1"/>
    <w:rsid w:val="00745C73"/>
    <w:rsid w:val="00745DB2"/>
    <w:rsid w:val="007466B1"/>
    <w:rsid w:val="007500E0"/>
    <w:rsid w:val="00752361"/>
    <w:rsid w:val="007567F3"/>
    <w:rsid w:val="00757B2A"/>
    <w:rsid w:val="007605E6"/>
    <w:rsid w:val="00760D47"/>
    <w:rsid w:val="00761677"/>
    <w:rsid w:val="007623AE"/>
    <w:rsid w:val="00772627"/>
    <w:rsid w:val="00773A31"/>
    <w:rsid w:val="00781633"/>
    <w:rsid w:val="007836E2"/>
    <w:rsid w:val="00783E35"/>
    <w:rsid w:val="00785EF4"/>
    <w:rsid w:val="007A152F"/>
    <w:rsid w:val="007A1759"/>
    <w:rsid w:val="007A6B9B"/>
    <w:rsid w:val="007B5E42"/>
    <w:rsid w:val="007B6F9C"/>
    <w:rsid w:val="007C1701"/>
    <w:rsid w:val="007C49E3"/>
    <w:rsid w:val="007D281C"/>
    <w:rsid w:val="007E1AEF"/>
    <w:rsid w:val="007E4A52"/>
    <w:rsid w:val="007E72D5"/>
    <w:rsid w:val="007E7B8B"/>
    <w:rsid w:val="00805FCA"/>
    <w:rsid w:val="00812DE7"/>
    <w:rsid w:val="008172EC"/>
    <w:rsid w:val="008177DD"/>
    <w:rsid w:val="00822008"/>
    <w:rsid w:val="00823298"/>
    <w:rsid w:val="00823BE8"/>
    <w:rsid w:val="00825733"/>
    <w:rsid w:val="00825B89"/>
    <w:rsid w:val="008262A3"/>
    <w:rsid w:val="00827C5F"/>
    <w:rsid w:val="0083102C"/>
    <w:rsid w:val="00842235"/>
    <w:rsid w:val="0085739B"/>
    <w:rsid w:val="00860784"/>
    <w:rsid w:val="008609CF"/>
    <w:rsid w:val="008654E8"/>
    <w:rsid w:val="00866FD0"/>
    <w:rsid w:val="00872789"/>
    <w:rsid w:val="008808A1"/>
    <w:rsid w:val="00881103"/>
    <w:rsid w:val="00881C4E"/>
    <w:rsid w:val="00890611"/>
    <w:rsid w:val="00891FE0"/>
    <w:rsid w:val="008A04DF"/>
    <w:rsid w:val="008A3A2B"/>
    <w:rsid w:val="008A4796"/>
    <w:rsid w:val="008B1547"/>
    <w:rsid w:val="008B7E7E"/>
    <w:rsid w:val="008C1D8D"/>
    <w:rsid w:val="008C313F"/>
    <w:rsid w:val="008C5D52"/>
    <w:rsid w:val="008D0050"/>
    <w:rsid w:val="008D01FA"/>
    <w:rsid w:val="008F5138"/>
    <w:rsid w:val="008F5AB4"/>
    <w:rsid w:val="00905E3D"/>
    <w:rsid w:val="00907419"/>
    <w:rsid w:val="00915522"/>
    <w:rsid w:val="00916514"/>
    <w:rsid w:val="0092241C"/>
    <w:rsid w:val="00923F06"/>
    <w:rsid w:val="009333B7"/>
    <w:rsid w:val="00936575"/>
    <w:rsid w:val="00940967"/>
    <w:rsid w:val="009421DB"/>
    <w:rsid w:val="00952547"/>
    <w:rsid w:val="009528C8"/>
    <w:rsid w:val="00953AF1"/>
    <w:rsid w:val="009649EB"/>
    <w:rsid w:val="00970E22"/>
    <w:rsid w:val="00973B27"/>
    <w:rsid w:val="0097593E"/>
    <w:rsid w:val="00976F57"/>
    <w:rsid w:val="009825C1"/>
    <w:rsid w:val="00983DA5"/>
    <w:rsid w:val="009868A8"/>
    <w:rsid w:val="0099398A"/>
    <w:rsid w:val="009943A7"/>
    <w:rsid w:val="00994FAB"/>
    <w:rsid w:val="00996CF5"/>
    <w:rsid w:val="00997919"/>
    <w:rsid w:val="009A40DE"/>
    <w:rsid w:val="009B28E3"/>
    <w:rsid w:val="009B299D"/>
    <w:rsid w:val="009B3AD8"/>
    <w:rsid w:val="009C43BF"/>
    <w:rsid w:val="009C5816"/>
    <w:rsid w:val="009C711F"/>
    <w:rsid w:val="009D0971"/>
    <w:rsid w:val="009D28C3"/>
    <w:rsid w:val="009D4EFD"/>
    <w:rsid w:val="009E48BB"/>
    <w:rsid w:val="009E4B9A"/>
    <w:rsid w:val="009E5BC7"/>
    <w:rsid w:val="00A032F2"/>
    <w:rsid w:val="00A13180"/>
    <w:rsid w:val="00A14E53"/>
    <w:rsid w:val="00A162D7"/>
    <w:rsid w:val="00A20832"/>
    <w:rsid w:val="00A226D7"/>
    <w:rsid w:val="00A24749"/>
    <w:rsid w:val="00A25D35"/>
    <w:rsid w:val="00A30495"/>
    <w:rsid w:val="00A30BE6"/>
    <w:rsid w:val="00A32ED1"/>
    <w:rsid w:val="00A364DB"/>
    <w:rsid w:val="00A37C0C"/>
    <w:rsid w:val="00A41D3E"/>
    <w:rsid w:val="00A4220A"/>
    <w:rsid w:val="00A43E12"/>
    <w:rsid w:val="00A5206F"/>
    <w:rsid w:val="00A522D8"/>
    <w:rsid w:val="00A53521"/>
    <w:rsid w:val="00A60512"/>
    <w:rsid w:val="00A6154C"/>
    <w:rsid w:val="00A63D23"/>
    <w:rsid w:val="00A65130"/>
    <w:rsid w:val="00A7495D"/>
    <w:rsid w:val="00A7554A"/>
    <w:rsid w:val="00A80303"/>
    <w:rsid w:val="00A822A6"/>
    <w:rsid w:val="00A84427"/>
    <w:rsid w:val="00A870E8"/>
    <w:rsid w:val="00A937A9"/>
    <w:rsid w:val="00A9650B"/>
    <w:rsid w:val="00AB3A34"/>
    <w:rsid w:val="00AB53D0"/>
    <w:rsid w:val="00AB6C57"/>
    <w:rsid w:val="00AB6D4E"/>
    <w:rsid w:val="00AB76C5"/>
    <w:rsid w:val="00AC0EC6"/>
    <w:rsid w:val="00AC5268"/>
    <w:rsid w:val="00AC7168"/>
    <w:rsid w:val="00AD18D4"/>
    <w:rsid w:val="00AE5DEF"/>
    <w:rsid w:val="00AF07D0"/>
    <w:rsid w:val="00AF34E6"/>
    <w:rsid w:val="00B00873"/>
    <w:rsid w:val="00B03E6D"/>
    <w:rsid w:val="00B1352B"/>
    <w:rsid w:val="00B21EB9"/>
    <w:rsid w:val="00B22B87"/>
    <w:rsid w:val="00B22D21"/>
    <w:rsid w:val="00B23B30"/>
    <w:rsid w:val="00B24579"/>
    <w:rsid w:val="00B32485"/>
    <w:rsid w:val="00B33C87"/>
    <w:rsid w:val="00B34D5A"/>
    <w:rsid w:val="00B367D9"/>
    <w:rsid w:val="00B53716"/>
    <w:rsid w:val="00B572E1"/>
    <w:rsid w:val="00B57A7A"/>
    <w:rsid w:val="00B620CB"/>
    <w:rsid w:val="00B6675F"/>
    <w:rsid w:val="00B67CCE"/>
    <w:rsid w:val="00B707F0"/>
    <w:rsid w:val="00B73B5D"/>
    <w:rsid w:val="00B8102A"/>
    <w:rsid w:val="00B82DA1"/>
    <w:rsid w:val="00B84E76"/>
    <w:rsid w:val="00B97400"/>
    <w:rsid w:val="00B97D9A"/>
    <w:rsid w:val="00B97FB8"/>
    <w:rsid w:val="00BA129D"/>
    <w:rsid w:val="00BA2DF5"/>
    <w:rsid w:val="00BA49E9"/>
    <w:rsid w:val="00BB2EF6"/>
    <w:rsid w:val="00BB3445"/>
    <w:rsid w:val="00BB506C"/>
    <w:rsid w:val="00BB5396"/>
    <w:rsid w:val="00BC4093"/>
    <w:rsid w:val="00BC4DFD"/>
    <w:rsid w:val="00BD189C"/>
    <w:rsid w:val="00BE1556"/>
    <w:rsid w:val="00BE513A"/>
    <w:rsid w:val="00BF0D55"/>
    <w:rsid w:val="00BF1503"/>
    <w:rsid w:val="00BF2FCC"/>
    <w:rsid w:val="00BF331B"/>
    <w:rsid w:val="00BF45F4"/>
    <w:rsid w:val="00BF4B86"/>
    <w:rsid w:val="00BF59A1"/>
    <w:rsid w:val="00BF6009"/>
    <w:rsid w:val="00C01D97"/>
    <w:rsid w:val="00C0447D"/>
    <w:rsid w:val="00C05DD5"/>
    <w:rsid w:val="00C10212"/>
    <w:rsid w:val="00C133F8"/>
    <w:rsid w:val="00C15176"/>
    <w:rsid w:val="00C31A40"/>
    <w:rsid w:val="00C32302"/>
    <w:rsid w:val="00C4190B"/>
    <w:rsid w:val="00C4648E"/>
    <w:rsid w:val="00C506F2"/>
    <w:rsid w:val="00C53543"/>
    <w:rsid w:val="00C57CA9"/>
    <w:rsid w:val="00C65167"/>
    <w:rsid w:val="00C67342"/>
    <w:rsid w:val="00C67F2E"/>
    <w:rsid w:val="00C7005C"/>
    <w:rsid w:val="00C762F1"/>
    <w:rsid w:val="00C80782"/>
    <w:rsid w:val="00C80ECE"/>
    <w:rsid w:val="00C857DF"/>
    <w:rsid w:val="00C86197"/>
    <w:rsid w:val="00C954A9"/>
    <w:rsid w:val="00C954AE"/>
    <w:rsid w:val="00C959EC"/>
    <w:rsid w:val="00CA1689"/>
    <w:rsid w:val="00CA180B"/>
    <w:rsid w:val="00CA69AE"/>
    <w:rsid w:val="00CB25A4"/>
    <w:rsid w:val="00CB2949"/>
    <w:rsid w:val="00CB2D97"/>
    <w:rsid w:val="00CB53F5"/>
    <w:rsid w:val="00CB5BD5"/>
    <w:rsid w:val="00CC19D3"/>
    <w:rsid w:val="00CC63E4"/>
    <w:rsid w:val="00CC79C6"/>
    <w:rsid w:val="00CD50C2"/>
    <w:rsid w:val="00CD63B9"/>
    <w:rsid w:val="00CD6D36"/>
    <w:rsid w:val="00CD7249"/>
    <w:rsid w:val="00CD7ED3"/>
    <w:rsid w:val="00D00E29"/>
    <w:rsid w:val="00D011B7"/>
    <w:rsid w:val="00D03B34"/>
    <w:rsid w:val="00D06044"/>
    <w:rsid w:val="00D104D5"/>
    <w:rsid w:val="00D155F3"/>
    <w:rsid w:val="00D1724B"/>
    <w:rsid w:val="00D17954"/>
    <w:rsid w:val="00D26087"/>
    <w:rsid w:val="00D35A72"/>
    <w:rsid w:val="00D42E17"/>
    <w:rsid w:val="00D4426F"/>
    <w:rsid w:val="00D50EBC"/>
    <w:rsid w:val="00D51154"/>
    <w:rsid w:val="00D539D0"/>
    <w:rsid w:val="00D60BB2"/>
    <w:rsid w:val="00D61363"/>
    <w:rsid w:val="00D620F3"/>
    <w:rsid w:val="00D7761E"/>
    <w:rsid w:val="00D80301"/>
    <w:rsid w:val="00D821A0"/>
    <w:rsid w:val="00D82C60"/>
    <w:rsid w:val="00D87854"/>
    <w:rsid w:val="00D92229"/>
    <w:rsid w:val="00D929B5"/>
    <w:rsid w:val="00D9302A"/>
    <w:rsid w:val="00D943BD"/>
    <w:rsid w:val="00D96068"/>
    <w:rsid w:val="00DA3162"/>
    <w:rsid w:val="00DA5834"/>
    <w:rsid w:val="00DC012B"/>
    <w:rsid w:val="00DC2A20"/>
    <w:rsid w:val="00DC4C0B"/>
    <w:rsid w:val="00DD03A3"/>
    <w:rsid w:val="00DD1F17"/>
    <w:rsid w:val="00DD3610"/>
    <w:rsid w:val="00DD42C2"/>
    <w:rsid w:val="00DD4655"/>
    <w:rsid w:val="00DE5E9B"/>
    <w:rsid w:val="00DE7892"/>
    <w:rsid w:val="00DE7D5F"/>
    <w:rsid w:val="00DF2680"/>
    <w:rsid w:val="00DF3BCD"/>
    <w:rsid w:val="00DF430A"/>
    <w:rsid w:val="00DF4EB0"/>
    <w:rsid w:val="00DF511B"/>
    <w:rsid w:val="00DF6C04"/>
    <w:rsid w:val="00E007E3"/>
    <w:rsid w:val="00E019B8"/>
    <w:rsid w:val="00E0349D"/>
    <w:rsid w:val="00E22947"/>
    <w:rsid w:val="00E22C4F"/>
    <w:rsid w:val="00E2527A"/>
    <w:rsid w:val="00E3159D"/>
    <w:rsid w:val="00E3218E"/>
    <w:rsid w:val="00E508E4"/>
    <w:rsid w:val="00E51F4E"/>
    <w:rsid w:val="00E522DB"/>
    <w:rsid w:val="00E536A5"/>
    <w:rsid w:val="00E615BD"/>
    <w:rsid w:val="00E670F6"/>
    <w:rsid w:val="00E8019B"/>
    <w:rsid w:val="00E821BE"/>
    <w:rsid w:val="00E83D33"/>
    <w:rsid w:val="00E92E8C"/>
    <w:rsid w:val="00E9647D"/>
    <w:rsid w:val="00E97715"/>
    <w:rsid w:val="00EA5F9B"/>
    <w:rsid w:val="00EA7B1C"/>
    <w:rsid w:val="00EB0E3F"/>
    <w:rsid w:val="00EB2DA4"/>
    <w:rsid w:val="00EB5499"/>
    <w:rsid w:val="00EC0D36"/>
    <w:rsid w:val="00EC10BF"/>
    <w:rsid w:val="00EC395B"/>
    <w:rsid w:val="00ED1F6D"/>
    <w:rsid w:val="00EE08F7"/>
    <w:rsid w:val="00EF1C1F"/>
    <w:rsid w:val="00EF7E52"/>
    <w:rsid w:val="00F0065B"/>
    <w:rsid w:val="00F01CEA"/>
    <w:rsid w:val="00F034F6"/>
    <w:rsid w:val="00F052F8"/>
    <w:rsid w:val="00F07834"/>
    <w:rsid w:val="00F139A5"/>
    <w:rsid w:val="00F154D3"/>
    <w:rsid w:val="00F26606"/>
    <w:rsid w:val="00F33E1A"/>
    <w:rsid w:val="00F4524A"/>
    <w:rsid w:val="00F46F3F"/>
    <w:rsid w:val="00F502A4"/>
    <w:rsid w:val="00F55426"/>
    <w:rsid w:val="00F556C2"/>
    <w:rsid w:val="00F6360E"/>
    <w:rsid w:val="00F6582D"/>
    <w:rsid w:val="00F66B76"/>
    <w:rsid w:val="00F72B3F"/>
    <w:rsid w:val="00F77896"/>
    <w:rsid w:val="00F8132F"/>
    <w:rsid w:val="00F820B0"/>
    <w:rsid w:val="00F83A1C"/>
    <w:rsid w:val="00F861C2"/>
    <w:rsid w:val="00F939B0"/>
    <w:rsid w:val="00F942EC"/>
    <w:rsid w:val="00FA1F12"/>
    <w:rsid w:val="00FA63CA"/>
    <w:rsid w:val="00FB2091"/>
    <w:rsid w:val="00FB4229"/>
    <w:rsid w:val="00FD1438"/>
    <w:rsid w:val="00FD19BC"/>
    <w:rsid w:val="00FD4698"/>
    <w:rsid w:val="00FD5ADF"/>
    <w:rsid w:val="00FE5775"/>
    <w:rsid w:val="00FE5ABE"/>
    <w:rsid w:val="00FF5D1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D0"/>
  </w:style>
  <w:style w:type="paragraph" w:styleId="Heading4">
    <w:name w:val="heading 4"/>
    <w:basedOn w:val="Normal"/>
    <w:link w:val="Heading4Char"/>
    <w:uiPriority w:val="9"/>
    <w:qFormat/>
    <w:rsid w:val="006B4C0C"/>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4C0C"/>
  </w:style>
  <w:style w:type="character" w:styleId="Hyperlink">
    <w:name w:val="Hyperlink"/>
    <w:basedOn w:val="DefaultParagraphFont"/>
    <w:uiPriority w:val="99"/>
    <w:semiHidden/>
    <w:unhideWhenUsed/>
    <w:rsid w:val="006B4C0C"/>
    <w:rPr>
      <w:color w:val="0000FF"/>
      <w:u w:val="single"/>
    </w:rPr>
  </w:style>
  <w:style w:type="character" w:customStyle="1" w:styleId="Heading4Char">
    <w:name w:val="Heading 4 Char"/>
    <w:basedOn w:val="DefaultParagraphFont"/>
    <w:link w:val="Heading4"/>
    <w:uiPriority w:val="9"/>
    <w:rsid w:val="006B4C0C"/>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6B4C0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6B4C0C"/>
    <w:pPr>
      <w:ind w:left="720"/>
      <w:contextualSpacing/>
    </w:pPr>
  </w:style>
  <w:style w:type="character" w:styleId="Emphasis">
    <w:name w:val="Emphasis"/>
    <w:basedOn w:val="DefaultParagraphFont"/>
    <w:uiPriority w:val="20"/>
    <w:qFormat/>
    <w:rsid w:val="006B4C0C"/>
    <w:rPr>
      <w:i/>
      <w:iCs/>
    </w:rPr>
  </w:style>
  <w:style w:type="paragraph" w:styleId="Header">
    <w:name w:val="header"/>
    <w:basedOn w:val="Normal"/>
    <w:link w:val="HeaderChar"/>
    <w:uiPriority w:val="99"/>
    <w:semiHidden/>
    <w:unhideWhenUsed/>
    <w:rsid w:val="006B4C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4C0C"/>
  </w:style>
  <w:style w:type="paragraph" w:styleId="Footer">
    <w:name w:val="footer"/>
    <w:basedOn w:val="Normal"/>
    <w:link w:val="FooterChar"/>
    <w:uiPriority w:val="99"/>
    <w:semiHidden/>
    <w:unhideWhenUsed/>
    <w:rsid w:val="006B4C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4C0C"/>
  </w:style>
  <w:style w:type="paragraph" w:styleId="BalloonText">
    <w:name w:val="Balloon Text"/>
    <w:basedOn w:val="Normal"/>
    <w:link w:val="BalloonTextChar"/>
    <w:uiPriority w:val="99"/>
    <w:semiHidden/>
    <w:unhideWhenUsed/>
    <w:rsid w:val="006B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782230">
      <w:bodyDiv w:val="1"/>
      <w:marLeft w:val="0"/>
      <w:marRight w:val="0"/>
      <w:marTop w:val="0"/>
      <w:marBottom w:val="0"/>
      <w:divBdr>
        <w:top w:val="none" w:sz="0" w:space="0" w:color="auto"/>
        <w:left w:val="none" w:sz="0" w:space="0" w:color="auto"/>
        <w:bottom w:val="none" w:sz="0" w:space="0" w:color="auto"/>
        <w:right w:val="none" w:sz="0" w:space="0" w:color="auto"/>
      </w:divBdr>
    </w:div>
    <w:div w:id="1837846433">
      <w:bodyDiv w:val="1"/>
      <w:marLeft w:val="0"/>
      <w:marRight w:val="0"/>
      <w:marTop w:val="0"/>
      <w:marBottom w:val="0"/>
      <w:divBdr>
        <w:top w:val="none" w:sz="0" w:space="0" w:color="auto"/>
        <w:left w:val="none" w:sz="0" w:space="0" w:color="auto"/>
        <w:bottom w:val="none" w:sz="0" w:space="0" w:color="auto"/>
        <w:right w:val="none" w:sz="0" w:space="0" w:color="auto"/>
      </w:divBdr>
    </w:div>
    <w:div w:id="19115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govt.nz/publications/publications-archived/2002/the-non-discrimination-standards-for-government-and-the-public-sector-guidelines-on-how-to-apply-the-standards-and-who-is-covered-march-2002/appendix-2-prohibited-grounds-of-discrim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NZ Human Rights Commission</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shawnm</dc:creator>
  <cp:lastModifiedBy>shawnm</cp:lastModifiedBy>
  <cp:revision>4</cp:revision>
  <dcterms:created xsi:type="dcterms:W3CDTF">2015-03-29T21:46:00Z</dcterms:created>
  <dcterms:modified xsi:type="dcterms:W3CDTF">2015-03-29T22:05:00Z</dcterms:modified>
</cp:coreProperties>
</file>