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A6F69" w14:textId="77777777" w:rsidR="00A6191C" w:rsidRDefault="00A6191C" w:rsidP="00A6191C">
      <w:pPr>
        <w:jc w:val="center"/>
        <w:rPr>
          <w:b/>
          <w:bCs/>
          <w:lang w:val="en-US"/>
        </w:rPr>
      </w:pPr>
      <w:r w:rsidRPr="00765F96">
        <w:rPr>
          <w:b/>
          <w:bCs/>
          <w:lang w:val="en-US"/>
        </w:rPr>
        <w:t>ORAL STATEMENT OF HUMAN RIGHTS COMMISSION</w:t>
      </w:r>
    </w:p>
    <w:p w14:paraId="505C6D33" w14:textId="798AAEED" w:rsidR="00A6191C" w:rsidRPr="00765F96" w:rsidRDefault="000C0E60" w:rsidP="00A6191C">
      <w:pPr>
        <w:jc w:val="center"/>
        <w:rPr>
          <w:b/>
          <w:bCs/>
          <w:lang w:val="en-US"/>
        </w:rPr>
      </w:pPr>
      <w:r>
        <w:rPr>
          <w:b/>
          <w:bCs/>
          <w:lang w:val="en-US"/>
        </w:rPr>
        <w:t>XX Commissioner and XX Commissioner</w:t>
      </w:r>
    </w:p>
    <w:p w14:paraId="04D6114D" w14:textId="25475BF7" w:rsidR="00A6191C" w:rsidRPr="00765F96" w:rsidRDefault="00A6191C" w:rsidP="00A6191C">
      <w:pPr>
        <w:rPr>
          <w:b/>
          <w:bCs/>
          <w:lang w:val="en-US"/>
        </w:rPr>
      </w:pPr>
      <w:r w:rsidRPr="00765F96">
        <w:rPr>
          <w:b/>
          <w:bCs/>
          <w:lang w:val="en-US"/>
        </w:rPr>
        <w:t xml:space="preserve">To: </w:t>
      </w:r>
      <w:r w:rsidRPr="00A6191C">
        <w:rPr>
          <w:b/>
          <w:bCs/>
          <w:lang w:val="en-US"/>
        </w:rPr>
        <w:t>Environment Committee</w:t>
      </w:r>
    </w:p>
    <w:p w14:paraId="23626D4C" w14:textId="3B31F0E5" w:rsidR="00A6191C" w:rsidRPr="00765F96" w:rsidRDefault="00A6191C" w:rsidP="00A6191C">
      <w:pPr>
        <w:rPr>
          <w:b/>
          <w:bCs/>
          <w:lang w:val="en-US"/>
        </w:rPr>
      </w:pPr>
      <w:r w:rsidRPr="00765F96">
        <w:rPr>
          <w:b/>
          <w:bCs/>
          <w:lang w:val="en-US"/>
        </w:rPr>
        <w:t xml:space="preserve">Re: </w:t>
      </w:r>
      <w:r w:rsidRPr="00A6191C">
        <w:rPr>
          <w:b/>
          <w:bCs/>
          <w:lang w:val="en-US"/>
        </w:rPr>
        <w:t>COVID-19 Recovery (Fast-track Consenting) Bill</w:t>
      </w:r>
    </w:p>
    <w:p w14:paraId="1207CA8A" w14:textId="7278E986" w:rsidR="00A6191C" w:rsidRDefault="00A6191C" w:rsidP="00A6191C">
      <w:pPr>
        <w:pBdr>
          <w:bottom w:val="single" w:sz="12" w:space="1" w:color="auto"/>
        </w:pBdr>
        <w:rPr>
          <w:lang w:val="en-US"/>
        </w:rPr>
      </w:pPr>
      <w:r>
        <w:rPr>
          <w:b/>
          <w:bCs/>
          <w:lang w:val="en-US"/>
        </w:rPr>
        <w:t>23</w:t>
      </w:r>
      <w:r w:rsidRPr="00765F96">
        <w:rPr>
          <w:b/>
          <w:bCs/>
          <w:lang w:val="en-US"/>
        </w:rPr>
        <w:t xml:space="preserve"> June 2020</w:t>
      </w:r>
      <w:r>
        <w:rPr>
          <w:lang w:val="en-US"/>
        </w:rPr>
        <w:t xml:space="preserve"> </w:t>
      </w:r>
      <w:r>
        <w:rPr>
          <w:lang w:val="en-US"/>
        </w:rPr>
        <w:tab/>
      </w:r>
    </w:p>
    <w:p w14:paraId="4FF1C003" w14:textId="77777777" w:rsidR="00A6191C" w:rsidRDefault="00A6191C" w:rsidP="00A6191C">
      <w:pPr>
        <w:pBdr>
          <w:bottom w:val="single" w:sz="12" w:space="1" w:color="auto"/>
        </w:pBdr>
        <w:rPr>
          <w:lang w:val="en-US"/>
        </w:rPr>
      </w:pPr>
    </w:p>
    <w:p w14:paraId="08600F8E" w14:textId="77777777" w:rsidR="00A6191C" w:rsidRDefault="00A6191C" w:rsidP="00A6191C">
      <w:pPr>
        <w:rPr>
          <w:lang w:val="en-US"/>
        </w:rPr>
      </w:pPr>
      <w:r>
        <w:rPr>
          <w:lang w:val="en-US"/>
        </w:rPr>
        <w:t>[Opening Mihi]</w:t>
      </w:r>
    </w:p>
    <w:p w14:paraId="2B67DDE3" w14:textId="16808091" w:rsidR="00A6191C" w:rsidRDefault="00A6191C" w:rsidP="00A6191C">
      <w:pPr>
        <w:rPr>
          <w:lang w:val="mi-NZ"/>
        </w:rPr>
      </w:pPr>
      <w:r w:rsidRPr="00406CBF">
        <w:rPr>
          <w:b/>
          <w:bCs/>
          <w:lang w:val="en-US"/>
        </w:rPr>
        <w:t>Introduction</w:t>
      </w:r>
    </w:p>
    <w:p w14:paraId="35375CE0" w14:textId="2891291C" w:rsidR="00A6191C" w:rsidRDefault="00A6191C" w:rsidP="00A6191C">
      <w:pPr>
        <w:jc w:val="both"/>
        <w:rPr>
          <w:lang w:val="en-US"/>
        </w:rPr>
      </w:pPr>
      <w:r>
        <w:rPr>
          <w:lang w:val="en-US"/>
        </w:rPr>
        <w:t xml:space="preserve">Thank you for the opportunity to appear before this Committee regarding the </w:t>
      </w:r>
      <w:r w:rsidRPr="00A6191C">
        <w:rPr>
          <w:lang w:val="en-US"/>
        </w:rPr>
        <w:t>COVID-19 Recovery (Fast-track Consenting) Bill</w:t>
      </w:r>
      <w:r>
        <w:rPr>
          <w:lang w:val="en-US"/>
        </w:rPr>
        <w:t>.</w:t>
      </w:r>
    </w:p>
    <w:p w14:paraId="2E4B3084" w14:textId="5720056C" w:rsidR="00A743A2" w:rsidRDefault="00A6191C">
      <w:r>
        <w:t xml:space="preserve">We </w:t>
      </w:r>
      <w:r w:rsidR="00A743A2">
        <w:t xml:space="preserve">wish to begin by acknowledging the many positive aspects of this Bill. It </w:t>
      </w:r>
      <w:r w:rsidRPr="00196C9F">
        <w:t xml:space="preserve">seeks to address a human rights emergency, by </w:t>
      </w:r>
      <w:r w:rsidR="000C0E60" w:rsidRPr="00196C9F">
        <w:t>promoting the right to decent wor</w:t>
      </w:r>
      <w:r w:rsidR="000C0E60">
        <w:t xml:space="preserve">k </w:t>
      </w:r>
      <w:r>
        <w:t>while respecting the right to a healthy environment.</w:t>
      </w:r>
      <w:r w:rsidR="000C0E60">
        <w:rPr>
          <w:rStyle w:val="FootnoteReference"/>
        </w:rPr>
        <w:footnoteReference w:id="1"/>
      </w:r>
    </w:p>
    <w:p w14:paraId="18073C09" w14:textId="10EA96AE" w:rsidR="00A743A2" w:rsidRDefault="00A743A2">
      <w:r>
        <w:t xml:space="preserve">In doing so, however, it curtails usual rights of </w:t>
      </w:r>
      <w:r w:rsidR="00A6191C">
        <w:t>participation</w:t>
      </w:r>
      <w:r w:rsidR="00A6191C" w:rsidRPr="00202596">
        <w:t xml:space="preserve"> in the interests of economic recovery</w:t>
      </w:r>
      <w:r w:rsidR="00A6191C">
        <w:t>.</w:t>
      </w:r>
      <w:r w:rsidR="000C0E60">
        <w:rPr>
          <w:rStyle w:val="FootnoteReference"/>
        </w:rPr>
        <w:footnoteReference w:id="2"/>
      </w:r>
      <w:r>
        <w:t xml:space="preserve"> This involves a balancing of rights. </w:t>
      </w:r>
    </w:p>
    <w:p w14:paraId="6BEA3803" w14:textId="6910455D" w:rsidR="006D65AC" w:rsidRDefault="00A743A2">
      <w:r>
        <w:t xml:space="preserve">In order to balance rights, explicit consideration of </w:t>
      </w:r>
      <w:r w:rsidR="006D65AC">
        <w:t xml:space="preserve">New Zealand’s binding national and international </w:t>
      </w:r>
      <w:bookmarkStart w:id="0" w:name="_GoBack"/>
      <w:bookmarkEnd w:id="0"/>
      <w:r>
        <w:t>human rights</w:t>
      </w:r>
      <w:r w:rsidR="006D65AC">
        <w:t xml:space="preserve"> commitments</w:t>
      </w:r>
      <w:r>
        <w:t xml:space="preserve"> and Te Tiriti </w:t>
      </w:r>
      <w:r w:rsidR="006D65AC">
        <w:t>obligations</w:t>
      </w:r>
      <w:r>
        <w:t xml:space="preserve"> needs to take place.</w:t>
      </w:r>
      <w:r w:rsidR="006D65AC">
        <w:t xml:space="preserve"> </w:t>
      </w:r>
    </w:p>
    <w:p w14:paraId="4C316339" w14:textId="00F2566D" w:rsidR="00A7774E" w:rsidRDefault="00A743A2">
      <w:r>
        <w:t xml:space="preserve"> In our view, embedding </w:t>
      </w:r>
      <w:r w:rsidR="00A6191C" w:rsidRPr="00A6191C">
        <w:t xml:space="preserve">human rights and Te Tiriti </w:t>
      </w:r>
      <w:r w:rsidR="00A6191C">
        <w:t xml:space="preserve">in the recovery phase of </w:t>
      </w:r>
      <w:r w:rsidR="00A6191C" w:rsidRPr="00A6191C">
        <w:t xml:space="preserve">New Zealand’s </w:t>
      </w:r>
      <w:r w:rsidR="00A6191C">
        <w:t>COVID-19 response</w:t>
      </w:r>
      <w:r>
        <w:t xml:space="preserve"> will lead to better decision making and better outcomes</w:t>
      </w:r>
      <w:r w:rsidR="00A6191C">
        <w:t>.</w:t>
      </w:r>
      <w:r w:rsidR="000C0E60">
        <w:rPr>
          <w:rStyle w:val="FootnoteReference"/>
        </w:rPr>
        <w:footnoteReference w:id="3"/>
      </w:r>
      <w:r w:rsidR="000C0E60">
        <w:t xml:space="preserve"> </w:t>
      </w:r>
    </w:p>
    <w:p w14:paraId="5FEBDF9B" w14:textId="3E6A611A" w:rsidR="00A743A2" w:rsidRDefault="00A743A2">
      <w:r>
        <w:t>This Bill provided a significant opportunity in this respect.</w:t>
      </w:r>
    </w:p>
    <w:p w14:paraId="550B092F" w14:textId="4C0F45B7" w:rsidR="003B3379" w:rsidRDefault="002C3828">
      <w:r>
        <w:t xml:space="preserve">We </w:t>
      </w:r>
      <w:r w:rsidR="006D65AC">
        <w:t xml:space="preserve">note </w:t>
      </w:r>
      <w:r>
        <w:t>the Cabinet Paper associated with this Bill states that “</w:t>
      </w:r>
      <w:r w:rsidRPr="00026534">
        <w:t>There are no human rights, gender and disability implications associated with this</w:t>
      </w:r>
      <w:r>
        <w:t xml:space="preserve"> paper”.</w:t>
      </w:r>
      <w:r>
        <w:rPr>
          <w:rStyle w:val="FootnoteReference"/>
        </w:rPr>
        <w:footnoteReference w:id="4"/>
      </w:r>
      <w:r>
        <w:t xml:space="preserve"> </w:t>
      </w:r>
      <w:r w:rsidR="006D65AC">
        <w:t>We respectfully disagree.</w:t>
      </w:r>
    </w:p>
    <w:p w14:paraId="19181DFC" w14:textId="175F8844" w:rsidR="003B3379" w:rsidRPr="003B3379" w:rsidRDefault="003B3379" w:rsidP="003B3379">
      <w:pPr>
        <w:rPr>
          <w:rFonts w:ascii="Times New Roman" w:hAnsi="Times New Roman" w:cs="Times New Roman"/>
          <w:sz w:val="24"/>
          <w:szCs w:val="24"/>
          <w:lang w:val="en-US"/>
        </w:rPr>
      </w:pPr>
      <w:r w:rsidRPr="003B3379">
        <w:rPr>
          <w:lang w:val="en-US"/>
        </w:rPr>
        <w:t>The Commission considers the Bill to have significant human rights implications – particularly in relation to the right to work. The Commission also considers that gender and disability analysis of COVID-19 recovery spending is vital.</w:t>
      </w:r>
    </w:p>
    <w:p w14:paraId="0A197793" w14:textId="23ECACE2" w:rsidR="00A37829" w:rsidRPr="00BC21D4" w:rsidRDefault="00BC21D4" w:rsidP="00BC21D4">
      <w:pPr>
        <w:rPr>
          <w:b/>
          <w:bCs/>
          <w:lang w:val="mi-NZ"/>
        </w:rPr>
      </w:pPr>
      <w:r w:rsidRPr="00BC21D4">
        <w:rPr>
          <w:b/>
          <w:bCs/>
        </w:rPr>
        <w:t>The first point we wish to make regards the Bill’s purpose clause</w:t>
      </w:r>
    </w:p>
    <w:p w14:paraId="6A2EA07B" w14:textId="77777777" w:rsidR="00280D33" w:rsidRDefault="00D6212A" w:rsidP="000C0E60">
      <w:r w:rsidRPr="0097392D">
        <w:rPr>
          <w:lang w:val="en-GB"/>
        </w:rPr>
        <w:t xml:space="preserve">COVID-19 has exposed and exacerbated pre-existing and deeply entrenched discrimination </w:t>
      </w:r>
      <w:r w:rsidR="00280D33">
        <w:rPr>
          <w:lang w:val="en-GB"/>
        </w:rPr>
        <w:t>and</w:t>
      </w:r>
      <w:r w:rsidRPr="0097392D">
        <w:rPr>
          <w:lang w:val="en-GB"/>
        </w:rPr>
        <w:t xml:space="preserve"> </w:t>
      </w:r>
      <w:r>
        <w:rPr>
          <w:lang w:val="en-GB"/>
        </w:rPr>
        <w:t>inequities</w:t>
      </w:r>
      <w:r w:rsidRPr="0097392D">
        <w:rPr>
          <w:lang w:val="en-GB"/>
        </w:rPr>
        <w:t xml:space="preserve"> in society.</w:t>
      </w:r>
      <w:r w:rsidRPr="0097392D">
        <w:rPr>
          <w:vertAlign w:val="superscript"/>
          <w:lang w:val="en-GB"/>
        </w:rPr>
        <w:footnoteReference w:id="5"/>
      </w:r>
      <w:r>
        <w:t xml:space="preserve"> </w:t>
      </w:r>
    </w:p>
    <w:p w14:paraId="13982D54" w14:textId="3EE018B1" w:rsidR="00280D33" w:rsidRDefault="00280D33" w:rsidP="000C0E60">
      <w:r>
        <w:lastRenderedPageBreak/>
        <w:t xml:space="preserve">This Bill has an opportunity to counteract these effects, and support a </w:t>
      </w:r>
      <w:r w:rsidR="00D6212A">
        <w:t>recovery</w:t>
      </w:r>
      <w:r>
        <w:t xml:space="preserve"> underpinned by dignity and respect for human rights</w:t>
      </w:r>
      <w:r w:rsidR="00D6212A">
        <w:t xml:space="preserve">. </w:t>
      </w:r>
      <w:r>
        <w:t>To do this,</w:t>
      </w:r>
      <w:r w:rsidR="00D6212A">
        <w:t xml:space="preserve"> the Act must promot</w:t>
      </w:r>
      <w:r>
        <w:t>e human rights</w:t>
      </w:r>
      <w:r w:rsidR="006D65AC">
        <w:t xml:space="preserve"> and Te Tiriti.</w:t>
      </w:r>
      <w:r w:rsidR="00D6212A">
        <w:t xml:space="preserve"> </w:t>
      </w:r>
    </w:p>
    <w:p w14:paraId="0A77F1E5" w14:textId="2A1DA8B9" w:rsidR="00280D33" w:rsidRDefault="00D6212A" w:rsidP="000C0E60">
      <w:r>
        <w:t xml:space="preserve">While the focus on </w:t>
      </w:r>
      <w:r w:rsidRPr="00A275BE">
        <w:t xml:space="preserve">employment growth, certainty of investment, </w:t>
      </w:r>
      <w:r>
        <w:t xml:space="preserve">and </w:t>
      </w:r>
      <w:r w:rsidRPr="00A275BE">
        <w:t>sustainable management</w:t>
      </w:r>
      <w:r>
        <w:t xml:space="preserve"> is essential, w</w:t>
      </w:r>
      <w:r w:rsidRPr="00D6212A">
        <w:t xml:space="preserve">e </w:t>
      </w:r>
      <w:r w:rsidR="006D65AC">
        <w:t xml:space="preserve">also </w:t>
      </w:r>
      <w:r w:rsidRPr="00D6212A">
        <w:t xml:space="preserve">recommend that the Bill be explicit about </w:t>
      </w:r>
      <w:r w:rsidR="00280D33">
        <w:t xml:space="preserve">promoting inclusive employment in decent work. </w:t>
      </w:r>
    </w:p>
    <w:p w14:paraId="30EFF8EA" w14:textId="7B0F8F1B" w:rsidR="00280D33" w:rsidRDefault="00E77017" w:rsidP="000C0E60">
      <w:r>
        <w:t>We</w:t>
      </w:r>
      <w:r w:rsidR="00280D33">
        <w:t xml:space="preserve"> </w:t>
      </w:r>
      <w:r>
        <w:t>en</w:t>
      </w:r>
      <w:r w:rsidR="00280D33">
        <w:t xml:space="preserve">courage </w:t>
      </w:r>
      <w:r>
        <w:t>the</w:t>
      </w:r>
      <w:r w:rsidR="00280D33">
        <w:t xml:space="preserve"> Committee to amend t</w:t>
      </w:r>
      <w:r w:rsidR="00280D33" w:rsidRPr="00A21793">
        <w:t xml:space="preserve">he </w:t>
      </w:r>
      <w:r w:rsidR="00280D33" w:rsidRPr="00E77017">
        <w:t>purpose of this Act to “urgently promote inclusive, equitable employment growth to support a human-rights and Tiriti-based</w:t>
      </w:r>
      <w:r w:rsidRPr="00E77017">
        <w:t xml:space="preserve"> recovery”.</w:t>
      </w:r>
    </w:p>
    <w:p w14:paraId="466ED537" w14:textId="68B46EC8" w:rsidR="00A37829" w:rsidRPr="008B1356" w:rsidRDefault="00BC21D4" w:rsidP="00A37829">
      <w:pPr>
        <w:rPr>
          <w:b/>
          <w:bCs/>
          <w:lang w:val="mi-NZ"/>
        </w:rPr>
      </w:pPr>
      <w:r w:rsidRPr="00BC21D4">
        <w:rPr>
          <w:b/>
          <w:bCs/>
        </w:rPr>
        <w:t>Our second point regards the need to enhance</w:t>
      </w:r>
      <w:r>
        <w:rPr>
          <w:i/>
          <w:iCs/>
        </w:rPr>
        <w:t xml:space="preserve"> </w:t>
      </w:r>
      <w:r>
        <w:rPr>
          <w:b/>
          <w:bCs/>
        </w:rPr>
        <w:t xml:space="preserve">participation </w:t>
      </w:r>
      <w:r w:rsidR="00A37829" w:rsidRPr="008B1356">
        <w:rPr>
          <w:b/>
          <w:bCs/>
        </w:rPr>
        <w:t xml:space="preserve">in decision making </w:t>
      </w:r>
    </w:p>
    <w:p w14:paraId="24F66D5C" w14:textId="09C6F95E" w:rsidR="00A37829" w:rsidRDefault="00A37829" w:rsidP="00A37829">
      <w:r>
        <w:t>The right to participate in decision making</w:t>
      </w:r>
      <w:r w:rsidRPr="008B1356">
        <w:t xml:space="preserve"> is a cornerstone of democratic government, is recognised in international human rights </w:t>
      </w:r>
      <w:r>
        <w:t xml:space="preserve">law, and </w:t>
      </w:r>
      <w:r w:rsidR="00505615">
        <w:t>underpins the government’s Te Tiriti o Waitangi obligations</w:t>
      </w:r>
      <w:r>
        <w:t>.</w:t>
      </w:r>
      <w:r>
        <w:rPr>
          <w:rStyle w:val="FootnoteReference"/>
        </w:rPr>
        <w:footnoteReference w:id="6"/>
      </w:r>
      <w:r>
        <w:t xml:space="preserve"> </w:t>
      </w:r>
    </w:p>
    <w:p w14:paraId="1CCE15C0" w14:textId="4E0AEF42" w:rsidR="00A37829" w:rsidRDefault="007610ED" w:rsidP="00A37829">
      <w:r>
        <w:t>We</w:t>
      </w:r>
      <w:r w:rsidR="00505615">
        <w:t xml:space="preserve"> submit to the Committee that the Bill should encourage h</w:t>
      </w:r>
      <w:r w:rsidR="00A37829" w:rsidRPr="00A15292">
        <w:t>earing diverse perspectives</w:t>
      </w:r>
      <w:r w:rsidR="00AA4377">
        <w:t xml:space="preserve"> in the consenting process</w:t>
      </w:r>
      <w:r w:rsidR="000450F2">
        <w:t>.</w:t>
      </w:r>
      <w:r w:rsidR="00505615">
        <w:t xml:space="preserve"> </w:t>
      </w:r>
      <w:r w:rsidR="000450F2">
        <w:t>M</w:t>
      </w:r>
      <w:r w:rsidR="00505615" w:rsidRPr="00505615">
        <w:t xml:space="preserve">eaningful participation </w:t>
      </w:r>
      <w:r w:rsidR="00A37829" w:rsidRPr="00505615">
        <w:t>leads</w:t>
      </w:r>
      <w:r w:rsidR="00A37829" w:rsidRPr="00A15292">
        <w:t xml:space="preserve"> to good decisions, </w:t>
      </w:r>
      <w:r w:rsidR="00A37829" w:rsidRPr="00A7384E">
        <w:t>foste</w:t>
      </w:r>
      <w:r w:rsidR="00A37829">
        <w:t>r</w:t>
      </w:r>
      <w:r w:rsidR="00A37829" w:rsidRPr="00A7384E">
        <w:t>s trust in government</w:t>
      </w:r>
      <w:r w:rsidR="00A37829">
        <w:t xml:space="preserve">, </w:t>
      </w:r>
      <w:r w:rsidR="00A37829" w:rsidRPr="00A15292">
        <w:t>mitigate</w:t>
      </w:r>
      <w:r w:rsidR="00A37829">
        <w:t>s</w:t>
      </w:r>
      <w:r w:rsidR="00A37829" w:rsidRPr="00A15292">
        <w:t xml:space="preserve"> against problems arising at later stage</w:t>
      </w:r>
      <w:r w:rsidR="00A37829">
        <w:t>s, and</w:t>
      </w:r>
      <w:r w:rsidR="00A37829" w:rsidRPr="00A7384E">
        <w:t xml:space="preserve"> gives legitimacy</w:t>
      </w:r>
      <w:r w:rsidR="00A37829">
        <w:t xml:space="preserve"> to decisions.</w:t>
      </w:r>
      <w:r w:rsidR="00A37829">
        <w:rPr>
          <w:rStyle w:val="FootnoteReference"/>
        </w:rPr>
        <w:footnoteReference w:id="7"/>
      </w:r>
      <w:r w:rsidR="00A37829">
        <w:t xml:space="preserve"> </w:t>
      </w:r>
      <w:r w:rsidR="00E517B9">
        <w:t>We</w:t>
      </w:r>
      <w:r w:rsidR="00E517B9" w:rsidRPr="008B1356">
        <w:t xml:space="preserve"> urge the Committee to keep participation rights and their benefits in front of mind </w:t>
      </w:r>
      <w:r w:rsidR="00E517B9">
        <w:t xml:space="preserve">in this Bill. </w:t>
      </w:r>
    </w:p>
    <w:p w14:paraId="0C956D14" w14:textId="77777777" w:rsidR="007610ED" w:rsidRDefault="007610ED" w:rsidP="000C0E60">
      <w:r>
        <w:t>In addition,</w:t>
      </w:r>
      <w:r w:rsidR="00505615">
        <w:t xml:space="preserve"> the Bill must ensure that the complementary, yet distinct, participatory principles in the </w:t>
      </w:r>
      <w:r w:rsidR="00A37829">
        <w:t xml:space="preserve">Te Tiriti o Waitangi </w:t>
      </w:r>
      <w:r w:rsidR="00505615">
        <w:t>are</w:t>
      </w:r>
      <w:r w:rsidR="00A37829">
        <w:t xml:space="preserve"> applied in decision-making processes that affect </w:t>
      </w:r>
      <w:r w:rsidR="00A37829" w:rsidRPr="00317EB0">
        <w:t>Māori</w:t>
      </w:r>
      <w:r w:rsidR="00A37829">
        <w:t xml:space="preserve">. </w:t>
      </w:r>
    </w:p>
    <w:p w14:paraId="1E0A59DD" w14:textId="01333CE6" w:rsidR="00505615" w:rsidRDefault="00A37829" w:rsidP="000C0E60">
      <w:r w:rsidRPr="008B1356">
        <w:t xml:space="preserve">The Bill provides an opportunity to </w:t>
      </w:r>
      <w:proofErr w:type="gramStart"/>
      <w:r w:rsidRPr="008B1356">
        <w:t>tak</w:t>
      </w:r>
      <w:r>
        <w:t>e</w:t>
      </w:r>
      <w:r w:rsidRPr="008B1356">
        <w:t xml:space="preserve"> into </w:t>
      </w:r>
      <w:r>
        <w:t>account</w:t>
      </w:r>
      <w:proofErr w:type="gramEnd"/>
      <w:r>
        <w:t xml:space="preserve"> previous findings from the </w:t>
      </w:r>
      <w:r w:rsidRPr="008B1356">
        <w:t xml:space="preserve">Waitangi Tribunal </w:t>
      </w:r>
      <w:r>
        <w:t>concerning</w:t>
      </w:r>
      <w:r w:rsidRPr="008B1356">
        <w:t xml:space="preserve"> resource management processes</w:t>
      </w:r>
      <w:r w:rsidR="007610ED">
        <w:t xml:space="preserve">, </w:t>
      </w:r>
      <w:r w:rsidR="007610ED" w:rsidRPr="00CE5F78">
        <w:t>strengthen the Crown-Māori relationship</w:t>
      </w:r>
      <w:r w:rsidR="007610ED">
        <w:t xml:space="preserve"> to rebuild the economy in genuine partnership and fulfil obligations under the </w:t>
      </w:r>
      <w:r w:rsidR="000450F2" w:rsidRPr="000450F2">
        <w:t>United Nations Declaration on the Rights of Indigenous Peoples</w:t>
      </w:r>
      <w:r w:rsidR="007610ED">
        <w:t>.</w:t>
      </w:r>
      <w:r w:rsidR="007610ED">
        <w:rPr>
          <w:rStyle w:val="FootnoteReference"/>
        </w:rPr>
        <w:footnoteReference w:id="8"/>
      </w:r>
    </w:p>
    <w:p w14:paraId="122F254E" w14:textId="4266A6F9" w:rsidR="000450F2" w:rsidRDefault="00E517B9" w:rsidP="000C0E60">
      <w:r>
        <w:t xml:space="preserve">However, </w:t>
      </w:r>
      <w:r w:rsidR="006D65AC">
        <w:t xml:space="preserve">due to its fast track nature </w:t>
      </w:r>
      <w:r>
        <w:t>i</w:t>
      </w:r>
      <w:r w:rsidR="000450F2">
        <w:t>n our view</w:t>
      </w:r>
      <w:r w:rsidR="006D65AC">
        <w:t xml:space="preserve"> the Bill </w:t>
      </w:r>
      <w:r w:rsidR="000450F2">
        <w:t>do</w:t>
      </w:r>
      <w:r>
        <w:t>es</w:t>
      </w:r>
      <w:r w:rsidR="000450F2">
        <w:t xml:space="preserve"> not adequately uphold rangatiratanga or the</w:t>
      </w:r>
      <w:r w:rsidR="00BC21D4">
        <w:t xml:space="preserve"> human rights</w:t>
      </w:r>
      <w:r w:rsidR="000450F2">
        <w:t xml:space="preserve"> obligation of free, prior and informed consent.</w:t>
      </w:r>
      <w:r w:rsidR="000450F2">
        <w:rPr>
          <w:rStyle w:val="FootnoteReference"/>
        </w:rPr>
        <w:footnoteReference w:id="9"/>
      </w:r>
      <w:r w:rsidR="000450F2">
        <w:t xml:space="preserve"> </w:t>
      </w:r>
      <w:r>
        <w:t>Our</w:t>
      </w:r>
      <w:r w:rsidR="00180043">
        <w:t xml:space="preserve"> written submission</w:t>
      </w:r>
      <w:r w:rsidR="006D65AC">
        <w:t xml:space="preserve"> makes </w:t>
      </w:r>
      <w:proofErr w:type="gramStart"/>
      <w:r w:rsidR="006D65AC">
        <w:t>a number of</w:t>
      </w:r>
      <w:proofErr w:type="gramEnd"/>
      <w:r w:rsidR="006D65AC">
        <w:t xml:space="preserve"> recommendations to mitigate this aspect</w:t>
      </w:r>
      <w:r>
        <w:t>.</w:t>
      </w:r>
    </w:p>
    <w:p w14:paraId="238FA34B" w14:textId="64739550" w:rsidR="000450F2" w:rsidRDefault="00E517B9" w:rsidP="000C0E60">
      <w:r>
        <w:t>Furthermore, w</w:t>
      </w:r>
      <w:r w:rsidR="000450F2" w:rsidRPr="000450F2">
        <w:t>e recommend that the Select Committee give particular attention to submissions from Iwi and what they say about the extent that Iwi views have been reflected in the final bill.</w:t>
      </w:r>
    </w:p>
    <w:p w14:paraId="048D490D" w14:textId="525188D2" w:rsidR="00E77017" w:rsidRPr="00E77017" w:rsidRDefault="00BC21D4" w:rsidP="00E77017">
      <w:pPr>
        <w:rPr>
          <w:b/>
          <w:bCs/>
          <w:lang w:val="mi-NZ"/>
        </w:rPr>
      </w:pPr>
      <w:r w:rsidRPr="00BC21D4">
        <w:rPr>
          <w:b/>
          <w:bCs/>
        </w:rPr>
        <w:t>Thirdly, we n</w:t>
      </w:r>
      <w:r w:rsidR="000450F2" w:rsidRPr="00BC21D4">
        <w:rPr>
          <w:b/>
          <w:bCs/>
        </w:rPr>
        <w:t>eed</w:t>
      </w:r>
      <w:r w:rsidR="000450F2">
        <w:rPr>
          <w:b/>
          <w:bCs/>
        </w:rPr>
        <w:t xml:space="preserve"> to r</w:t>
      </w:r>
      <w:r w:rsidR="00E77017" w:rsidRPr="00E77017">
        <w:rPr>
          <w:b/>
          <w:bCs/>
        </w:rPr>
        <w:t>educe the timeframe</w:t>
      </w:r>
      <w:r w:rsidR="00E77017">
        <w:rPr>
          <w:b/>
          <w:bCs/>
        </w:rPr>
        <w:t xml:space="preserve"> and i</w:t>
      </w:r>
      <w:r w:rsidR="00E77017" w:rsidRPr="00E77017">
        <w:rPr>
          <w:b/>
          <w:bCs/>
        </w:rPr>
        <w:t>ntroduce a regular review</w:t>
      </w:r>
    </w:p>
    <w:p w14:paraId="5F3723A6" w14:textId="27DA15DF" w:rsidR="00E77017" w:rsidRDefault="00E77017" w:rsidP="00E77017">
      <w:r>
        <w:t xml:space="preserve">While the situation in New Zealand remains fast-moving, we submit to this Committee that </w:t>
      </w:r>
      <w:r w:rsidR="00AA4377">
        <w:t>this</w:t>
      </w:r>
      <w:r>
        <w:t xml:space="preserve"> legislation should</w:t>
      </w:r>
      <w:r w:rsidR="00AA4377">
        <w:t>,</w:t>
      </w:r>
      <w:r>
        <w:t xml:space="preserve"> similarly</w:t>
      </w:r>
      <w:r w:rsidR="00AA4377">
        <w:t xml:space="preserve"> to the </w:t>
      </w:r>
      <w:r w:rsidR="00AA4377" w:rsidRPr="008040B5">
        <w:t xml:space="preserve">COVID-19 Public Health Response </w:t>
      </w:r>
      <w:r w:rsidR="00AA4377">
        <w:t>Act,</w:t>
      </w:r>
      <w:r>
        <w:t xml:space="preserve"> be of short duration and should be subject to regular review while in operation. </w:t>
      </w:r>
      <w:r w:rsidR="00AA4377">
        <w:t xml:space="preserve">We recommend </w:t>
      </w:r>
      <w:r w:rsidR="00AA4377" w:rsidRPr="009E0FA2">
        <w:t>reduc</w:t>
      </w:r>
      <w:r w:rsidR="00AA4377">
        <w:t>ing</w:t>
      </w:r>
      <w:r w:rsidR="00AA4377" w:rsidRPr="009E0FA2">
        <w:t xml:space="preserve"> the duration of the Bill</w:t>
      </w:r>
      <w:r w:rsidR="00AA4377">
        <w:t xml:space="preserve"> to one year.</w:t>
      </w:r>
      <w:r w:rsidR="000A720C">
        <w:rPr>
          <w:rStyle w:val="FootnoteReference"/>
        </w:rPr>
        <w:footnoteReference w:id="10"/>
      </w:r>
    </w:p>
    <w:p w14:paraId="2504FE57" w14:textId="52800652" w:rsidR="00E77017" w:rsidRDefault="00AA4377" w:rsidP="00E77017">
      <w:r>
        <w:lastRenderedPageBreak/>
        <w:t>I</w:t>
      </w:r>
      <w:r w:rsidR="00E77017">
        <w:t xml:space="preserve">n order to ensure the Bill is operating in a way which promotes a Tiriti o Waitangi and human rights-based recovery we suggest it </w:t>
      </w:r>
      <w:r w:rsidR="00E77017" w:rsidRPr="00E77017">
        <w:t>should be subject to regular review while in operation</w:t>
      </w:r>
      <w:r w:rsidR="00E77017">
        <w:t xml:space="preserve">. We recommend the </w:t>
      </w:r>
      <w:r w:rsidR="00E77017" w:rsidRPr="00E77017">
        <w:t>first review should take place within 90 days to six months of the Act’s commencement.</w:t>
      </w:r>
      <w:r w:rsidR="000A720C">
        <w:rPr>
          <w:rStyle w:val="FootnoteReference"/>
        </w:rPr>
        <w:footnoteReference w:id="11"/>
      </w:r>
    </w:p>
    <w:p w14:paraId="0C8CBE7D" w14:textId="0EE5E00E" w:rsidR="000450F2" w:rsidRPr="000450F2" w:rsidRDefault="00BC21D4" w:rsidP="000450F2">
      <w:pPr>
        <w:rPr>
          <w:b/>
          <w:bCs/>
          <w:lang w:val="mi-NZ"/>
        </w:rPr>
      </w:pPr>
      <w:r>
        <w:rPr>
          <w:b/>
          <w:bCs/>
        </w:rPr>
        <w:t xml:space="preserve">Fourthly, ensure the Bill upholds the </w:t>
      </w:r>
      <w:r w:rsidR="000450F2" w:rsidRPr="000450F2">
        <w:rPr>
          <w:b/>
          <w:bCs/>
        </w:rPr>
        <w:t xml:space="preserve">principles of equal employment opportunities </w:t>
      </w:r>
    </w:p>
    <w:p w14:paraId="2E9534FA" w14:textId="544A3B63" w:rsidR="006B1A43" w:rsidRDefault="00E83B76" w:rsidP="00E83B76">
      <w:pPr>
        <w:spacing w:after="120" w:line="240" w:lineRule="auto"/>
      </w:pPr>
      <w:r w:rsidRPr="00E83B76">
        <w:t xml:space="preserve">An economic and social recovery </w:t>
      </w:r>
      <w:r>
        <w:t>underpinned</w:t>
      </w:r>
      <w:r w:rsidRPr="00E83B76">
        <w:t xml:space="preserve"> </w:t>
      </w:r>
      <w:r>
        <w:t>by</w:t>
      </w:r>
      <w:r w:rsidRPr="00E83B76">
        <w:t xml:space="preserve"> human rights should recognise and address structural inequalities</w:t>
      </w:r>
      <w:r w:rsidR="001406BB">
        <w:t xml:space="preserve"> and issues of discrimination</w:t>
      </w:r>
      <w:r w:rsidRPr="00E83B76">
        <w:t xml:space="preserve"> </w:t>
      </w:r>
      <w:r>
        <w:t xml:space="preserve">in </w:t>
      </w:r>
      <w:r w:rsidRPr="00202596">
        <w:t>employment</w:t>
      </w:r>
      <w:r w:rsidRPr="00E83B76">
        <w:t>.</w:t>
      </w:r>
      <w:r>
        <w:rPr>
          <w:rStyle w:val="FootnoteReference"/>
        </w:rPr>
        <w:footnoteReference w:id="12"/>
      </w:r>
      <w:r>
        <w:t xml:space="preserve"> </w:t>
      </w:r>
    </w:p>
    <w:p w14:paraId="34A7E3C7" w14:textId="77777777" w:rsidR="006D65AC" w:rsidRDefault="00E83B76" w:rsidP="00E83B76">
      <w:pPr>
        <w:spacing w:after="120" w:line="240" w:lineRule="auto"/>
      </w:pPr>
      <w:r w:rsidRPr="00202596">
        <w:t xml:space="preserve">Given that the current purpose of the Bill is to promote employment growth, </w:t>
      </w:r>
      <w:r w:rsidRPr="00E83B76">
        <w:t>it</w:t>
      </w:r>
      <w:r w:rsidR="001406BB">
        <w:t>’</w:t>
      </w:r>
      <w:r w:rsidRPr="00E83B76">
        <w:t>s</w:t>
      </w:r>
      <w:r w:rsidR="001406BB">
        <w:t xml:space="preserve"> essential that</w:t>
      </w:r>
      <w:r w:rsidR="001406BB" w:rsidRPr="001406BB">
        <w:t xml:space="preserve"> equal employment opportunities</w:t>
      </w:r>
      <w:r w:rsidR="001406BB">
        <w:t xml:space="preserve"> are central to decision making</w:t>
      </w:r>
      <w:r w:rsidR="006B1A43">
        <w:t xml:space="preserve"> and that</w:t>
      </w:r>
      <w:r w:rsidR="006B1A43" w:rsidRPr="006B1A43">
        <w:t xml:space="preserve"> </w:t>
      </w:r>
      <w:r w:rsidR="006B1A43">
        <w:t>that inclusive employment practices for all are a focus</w:t>
      </w:r>
      <w:r w:rsidRPr="00E83B76">
        <w:t>.</w:t>
      </w:r>
      <w:r>
        <w:rPr>
          <w:rStyle w:val="FootnoteReference"/>
        </w:rPr>
        <w:footnoteReference w:id="13"/>
      </w:r>
      <w:r w:rsidR="001406BB">
        <w:t xml:space="preserve"> </w:t>
      </w:r>
    </w:p>
    <w:p w14:paraId="226C292A" w14:textId="0DC0B336" w:rsidR="001406BB" w:rsidRDefault="001406BB" w:rsidP="00E83B76">
      <w:pPr>
        <w:spacing w:after="120" w:line="240" w:lineRule="auto"/>
      </w:pPr>
      <w:r>
        <w:t>We encourage the Committee to strengthen the duty on the Minister t</w:t>
      </w:r>
      <w:r w:rsidRPr="001406BB">
        <w:t xml:space="preserve">o ensure </w:t>
      </w:r>
      <w:r w:rsidR="006B1A43">
        <w:t xml:space="preserve">these aspects </w:t>
      </w:r>
      <w:r>
        <w:t xml:space="preserve">are </w:t>
      </w:r>
      <w:r w:rsidR="006B1A43">
        <w:t>‘</w:t>
      </w:r>
      <w:r>
        <w:t>mandatory</w:t>
      </w:r>
      <w:r w:rsidR="006B1A43">
        <w:t>’ rather than simply ‘</w:t>
      </w:r>
      <w:proofErr w:type="gramStart"/>
      <w:r w:rsidR="006B1A43">
        <w:t>taken into account</w:t>
      </w:r>
      <w:proofErr w:type="gramEnd"/>
      <w:r w:rsidR="006B1A43">
        <w:t>’</w:t>
      </w:r>
      <w:r>
        <w:t xml:space="preserve"> under Clause 19.</w:t>
      </w:r>
      <w:r w:rsidR="006B1A43">
        <w:rPr>
          <w:rStyle w:val="FootnoteReference"/>
        </w:rPr>
        <w:footnoteReference w:id="14"/>
      </w:r>
    </w:p>
    <w:p w14:paraId="102FA38B" w14:textId="3A9DBCBE" w:rsidR="005642FC" w:rsidRPr="005642FC" w:rsidRDefault="00BC21D4" w:rsidP="005642FC">
      <w:pPr>
        <w:rPr>
          <w:b/>
          <w:bCs/>
        </w:rPr>
      </w:pPr>
      <w:r>
        <w:rPr>
          <w:rFonts w:ascii="Calibri" w:eastAsia="Times New Roman" w:hAnsi="Calibri" w:cs="Calibri"/>
          <w:b/>
          <w:bCs/>
          <w:color w:val="000000"/>
          <w:lang w:val="en-US"/>
        </w:rPr>
        <w:t>Fifthly, the Bill should foster accessible environments for all</w:t>
      </w:r>
    </w:p>
    <w:p w14:paraId="34FC571A" w14:textId="0FAC43F1" w:rsidR="005642FC" w:rsidRPr="005642FC" w:rsidRDefault="005642FC" w:rsidP="005642FC">
      <w:pPr>
        <w:rPr>
          <w:lang w:val="en-US"/>
        </w:rPr>
      </w:pPr>
      <w:r w:rsidRPr="005642FC">
        <w:rPr>
          <w:lang w:val="en-US"/>
        </w:rPr>
        <w:t>The accessibility of the built environment is a key factor which determines whether disabled people and others can enjoy community life and public amenities. </w:t>
      </w:r>
    </w:p>
    <w:p w14:paraId="38AF390D" w14:textId="34285EF9" w:rsidR="005642FC" w:rsidRPr="005642FC" w:rsidRDefault="005642FC" w:rsidP="005642FC">
      <w:pPr>
        <w:rPr>
          <w:rFonts w:ascii="Calibri" w:eastAsia="Times New Roman" w:hAnsi="Calibri" w:cs="Calibri"/>
          <w:color w:val="000000"/>
          <w:lang w:val="en-US"/>
        </w:rPr>
      </w:pPr>
      <w:r w:rsidRPr="005642FC">
        <w:rPr>
          <w:rFonts w:ascii="Calibri" w:eastAsia="Times New Roman" w:hAnsi="Calibri" w:cs="Calibri"/>
          <w:color w:val="000000"/>
          <w:lang w:val="en-US"/>
        </w:rPr>
        <w:t>It makes sense for major rebuilds and projects to ensure that everyone can benefit from them. Public works should be designed using ‘universal design’ principles, that is, that they cater for the differences and preferences of all - older New Zealanders, families with young children and disabled people.  </w:t>
      </w:r>
    </w:p>
    <w:p w14:paraId="1170AA41" w14:textId="4EDE7B6D" w:rsidR="005642FC" w:rsidRPr="005642FC" w:rsidRDefault="005642FC" w:rsidP="005642FC">
      <w:pPr>
        <w:rPr>
          <w:rFonts w:ascii="Calibri" w:eastAsia="Times New Roman" w:hAnsi="Calibri" w:cs="Calibri"/>
          <w:color w:val="000000"/>
          <w:lang w:val="en-US"/>
        </w:rPr>
      </w:pPr>
      <w:r w:rsidRPr="005642FC">
        <w:rPr>
          <w:rFonts w:ascii="Calibri" w:eastAsia="Times New Roman" w:hAnsi="Calibri" w:cs="Calibri"/>
          <w:color w:val="000000"/>
          <w:lang w:val="en-US"/>
        </w:rPr>
        <w:t>The Covid-19 projects are a significant opportunity to ‘do it once, do it right’. </w:t>
      </w:r>
    </w:p>
    <w:p w14:paraId="435A79CA" w14:textId="71E8DF05" w:rsidR="005642FC" w:rsidRDefault="006D65AC" w:rsidP="005642FC">
      <w:pPr>
        <w:rPr>
          <w:rFonts w:ascii="Calibri" w:eastAsia="Times New Roman" w:hAnsi="Calibri" w:cs="Calibri"/>
          <w:color w:val="000000"/>
          <w:lang w:val="en-US"/>
        </w:rPr>
      </w:pPr>
      <w:r>
        <w:rPr>
          <w:rFonts w:ascii="Calibri" w:eastAsia="Times New Roman" w:hAnsi="Calibri" w:cs="Calibri"/>
          <w:color w:val="000000"/>
          <w:lang w:val="en-US"/>
        </w:rPr>
        <w:t>W</w:t>
      </w:r>
      <w:r w:rsidR="005642FC" w:rsidRPr="005642FC">
        <w:rPr>
          <w:rFonts w:ascii="Calibri" w:eastAsia="Times New Roman" w:hAnsi="Calibri" w:cs="Calibri"/>
          <w:color w:val="000000"/>
          <w:lang w:val="en-US"/>
        </w:rPr>
        <w:t xml:space="preserve">e need </w:t>
      </w:r>
      <w:r>
        <w:rPr>
          <w:rFonts w:ascii="Calibri" w:eastAsia="Times New Roman" w:hAnsi="Calibri" w:cs="Calibri"/>
          <w:color w:val="000000"/>
          <w:lang w:val="en-US"/>
        </w:rPr>
        <w:t xml:space="preserve">therefore need </w:t>
      </w:r>
      <w:r w:rsidR="005642FC" w:rsidRPr="005642FC">
        <w:rPr>
          <w:rFonts w:ascii="Calibri" w:eastAsia="Times New Roman" w:hAnsi="Calibri" w:cs="Calibri"/>
          <w:color w:val="000000"/>
          <w:lang w:val="en-US"/>
        </w:rPr>
        <w:t>decision makers who understand universal design acting in the steps in the proposed process in this Bill</w:t>
      </w:r>
      <w:r w:rsidR="005642FC">
        <w:rPr>
          <w:rFonts w:ascii="Calibri" w:eastAsia="Times New Roman" w:hAnsi="Calibri" w:cs="Calibri"/>
          <w:color w:val="000000"/>
          <w:lang w:val="en-US"/>
        </w:rPr>
        <w:t>.</w:t>
      </w:r>
    </w:p>
    <w:p w14:paraId="7E36632D" w14:textId="2E415FE5" w:rsidR="005642FC" w:rsidRPr="005642FC" w:rsidRDefault="005642FC" w:rsidP="005642FC">
      <w:pPr>
        <w:rPr>
          <w:rFonts w:ascii="Calibri" w:eastAsia="Times New Roman" w:hAnsi="Calibri" w:cs="Calibri"/>
          <w:color w:val="000000"/>
          <w:lang w:val="en-US"/>
        </w:rPr>
      </w:pPr>
      <w:r w:rsidRPr="005642FC">
        <w:rPr>
          <w:rFonts w:ascii="Calibri" w:eastAsia="Times New Roman" w:hAnsi="Calibri" w:cs="Calibri"/>
          <w:color w:val="000000"/>
          <w:lang w:val="en-US"/>
        </w:rPr>
        <w:t>We want the Minister to consider whether a finished project will be inclusive of all when deciding whether it should be referred to an Expert Advisory Panel. And we submit that the Panel needs to include people who have skills, experience and knowledge in accessibility and universal design. </w:t>
      </w:r>
    </w:p>
    <w:p w14:paraId="27555762" w14:textId="1D08A1E5" w:rsidR="005642FC" w:rsidRPr="005642FC" w:rsidRDefault="005642FC" w:rsidP="005642FC">
      <w:pPr>
        <w:rPr>
          <w:rFonts w:ascii="Calibri" w:eastAsia="Times New Roman" w:hAnsi="Calibri" w:cs="Calibri"/>
          <w:color w:val="000000"/>
          <w:lang w:val="en-US"/>
        </w:rPr>
      </w:pPr>
      <w:r w:rsidRPr="005642FC">
        <w:rPr>
          <w:rFonts w:ascii="Calibri" w:eastAsia="Times New Roman" w:hAnsi="Calibri" w:cs="Calibri"/>
          <w:color w:val="000000"/>
          <w:lang w:val="en-US"/>
        </w:rPr>
        <w:t>Our written submission provides more detail on these points and are happy to provide more information on universal design if needed.</w:t>
      </w:r>
    </w:p>
    <w:p w14:paraId="79B99746" w14:textId="77777777" w:rsidR="00B22763" w:rsidRDefault="00B22763" w:rsidP="000C0E60"/>
    <w:tbl>
      <w:tblPr>
        <w:tblStyle w:val="TableGrid"/>
        <w:tblW w:w="9298" w:type="dxa"/>
        <w:tblLook w:val="04A0" w:firstRow="1" w:lastRow="0" w:firstColumn="1" w:lastColumn="0" w:noHBand="0" w:noVBand="1"/>
      </w:tblPr>
      <w:tblGrid>
        <w:gridCol w:w="9298"/>
      </w:tblGrid>
      <w:tr w:rsidR="00B22763" w14:paraId="1EB87736" w14:textId="77777777" w:rsidTr="00B22763">
        <w:trPr>
          <w:trHeight w:val="907"/>
        </w:trPr>
        <w:tc>
          <w:tcPr>
            <w:tcW w:w="9298" w:type="dxa"/>
            <w:vAlign w:val="center"/>
          </w:tcPr>
          <w:p w14:paraId="25C22544" w14:textId="77777777" w:rsidR="00B22763" w:rsidRDefault="00B22763" w:rsidP="00B22763">
            <w:r>
              <w:t>Additional points to comment on:</w:t>
            </w:r>
          </w:p>
          <w:p w14:paraId="241C6298" w14:textId="77777777" w:rsidR="00B22763" w:rsidRDefault="00B22763" w:rsidP="00B22763">
            <w:pPr>
              <w:pStyle w:val="ListParagraph"/>
              <w:numPr>
                <w:ilvl w:val="0"/>
                <w:numId w:val="3"/>
              </w:numPr>
            </w:pPr>
            <w:r>
              <w:t>The urgency of legislation</w:t>
            </w:r>
          </w:p>
          <w:p w14:paraId="6D8EEA1E" w14:textId="7F824569" w:rsidR="00B22763" w:rsidRDefault="00B22763" w:rsidP="00B22763">
            <w:pPr>
              <w:pStyle w:val="ListParagraph"/>
              <w:numPr>
                <w:ilvl w:val="0"/>
                <w:numId w:val="3"/>
              </w:numPr>
            </w:pPr>
            <w:r>
              <w:t xml:space="preserve">S17 </w:t>
            </w:r>
            <w:r w:rsidRPr="006355C7">
              <w:t>Persons who must or may be invited to comment on referred project</w:t>
            </w:r>
          </w:p>
        </w:tc>
      </w:tr>
    </w:tbl>
    <w:p w14:paraId="68B5ACB3" w14:textId="77777777" w:rsidR="00AA6863" w:rsidRDefault="00AA6863" w:rsidP="000C0E60"/>
    <w:sectPr w:rsidR="00AA6863" w:rsidSect="00596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06D5F" w14:textId="77777777" w:rsidR="00F64FA4" w:rsidRDefault="00F64FA4" w:rsidP="00A6191C">
      <w:pPr>
        <w:spacing w:after="0" w:line="240" w:lineRule="auto"/>
      </w:pPr>
      <w:r>
        <w:separator/>
      </w:r>
    </w:p>
  </w:endnote>
  <w:endnote w:type="continuationSeparator" w:id="0">
    <w:p w14:paraId="75F0F0F1" w14:textId="77777777" w:rsidR="00F64FA4" w:rsidRDefault="00F64FA4" w:rsidP="00A6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85067" w14:textId="77777777" w:rsidR="00F64FA4" w:rsidRDefault="00F64FA4" w:rsidP="00A6191C">
      <w:pPr>
        <w:spacing w:after="0" w:line="240" w:lineRule="auto"/>
      </w:pPr>
      <w:r>
        <w:separator/>
      </w:r>
    </w:p>
  </w:footnote>
  <w:footnote w:type="continuationSeparator" w:id="0">
    <w:p w14:paraId="04C20446" w14:textId="77777777" w:rsidR="00F64FA4" w:rsidRDefault="00F64FA4" w:rsidP="00A6191C">
      <w:pPr>
        <w:spacing w:after="0" w:line="240" w:lineRule="auto"/>
      </w:pPr>
      <w:r>
        <w:continuationSeparator/>
      </w:r>
    </w:p>
  </w:footnote>
  <w:footnote w:id="1">
    <w:p w14:paraId="42549DD9" w14:textId="567186BA" w:rsidR="000C0E60" w:rsidRPr="000C0E60" w:rsidRDefault="000C0E60">
      <w:pPr>
        <w:pStyle w:val="FootnoteText"/>
        <w:rPr>
          <w:lang w:val="mi-NZ"/>
        </w:rPr>
      </w:pPr>
      <w:r>
        <w:rPr>
          <w:rStyle w:val="FootnoteReference"/>
        </w:rPr>
        <w:footnoteRef/>
      </w:r>
      <w:r>
        <w:t xml:space="preserve"> Pt 1 (pg. 4)</w:t>
      </w:r>
    </w:p>
  </w:footnote>
  <w:footnote w:id="2">
    <w:p w14:paraId="107763CD" w14:textId="5D308B4C" w:rsidR="000C0E60" w:rsidRPr="000C0E60" w:rsidRDefault="000C0E60">
      <w:pPr>
        <w:pStyle w:val="FootnoteText"/>
        <w:rPr>
          <w:lang w:val="mi-NZ"/>
        </w:rPr>
      </w:pPr>
      <w:r>
        <w:rPr>
          <w:rStyle w:val="FootnoteReference"/>
        </w:rPr>
        <w:footnoteRef/>
      </w:r>
      <w:r>
        <w:t xml:space="preserve"> Pt 6 (</w:t>
      </w:r>
      <w:r>
        <w:rPr>
          <w:lang w:val="mi-NZ"/>
        </w:rPr>
        <w:t>pg. 4)</w:t>
      </w:r>
    </w:p>
  </w:footnote>
  <w:footnote w:id="3">
    <w:p w14:paraId="2CFAFDFE" w14:textId="426F52EF" w:rsidR="000C0E60" w:rsidRPr="000C0E60" w:rsidRDefault="000C0E60">
      <w:pPr>
        <w:pStyle w:val="FootnoteText"/>
        <w:rPr>
          <w:lang w:val="mi-NZ"/>
        </w:rPr>
      </w:pPr>
      <w:r>
        <w:rPr>
          <w:rStyle w:val="FootnoteReference"/>
        </w:rPr>
        <w:footnoteRef/>
      </w:r>
      <w:r>
        <w:t xml:space="preserve"> </w:t>
      </w:r>
      <w:r>
        <w:rPr>
          <w:lang w:val="mi-NZ"/>
        </w:rPr>
        <w:t>Pt 3 (pg. 4)</w:t>
      </w:r>
    </w:p>
  </w:footnote>
  <w:footnote w:id="4">
    <w:p w14:paraId="4DBC8D39" w14:textId="77777777" w:rsidR="002C3828" w:rsidRPr="001C338E" w:rsidRDefault="002C3828" w:rsidP="002C3828">
      <w:pPr>
        <w:pStyle w:val="FootnoteText"/>
        <w:rPr>
          <w:lang w:val="mi-NZ"/>
        </w:rPr>
      </w:pPr>
      <w:r>
        <w:rPr>
          <w:rStyle w:val="FootnoteReference"/>
        </w:rPr>
        <w:footnoteRef/>
      </w:r>
      <w:r>
        <w:t xml:space="preserve"> </w:t>
      </w:r>
      <w:r w:rsidRPr="00D42CC5">
        <w:rPr>
          <w:lang w:val="en-GB"/>
        </w:rPr>
        <w:t xml:space="preserve">COVID-19 Recovery (Fast-track Consenting) Bill May 2020 </w:t>
      </w:r>
      <w:hyperlink r:id="rId1" w:history="1">
        <w:r w:rsidRPr="00D42CC5">
          <w:rPr>
            <w:rStyle w:val="Hyperlink"/>
            <w:lang w:val="en-GB"/>
          </w:rPr>
          <w:t>Cabinet Paper</w:t>
        </w:r>
      </w:hyperlink>
      <w:r w:rsidRPr="00D42CC5">
        <w:rPr>
          <w:lang w:val="en-GB"/>
        </w:rPr>
        <w:t>, at paragraph 121.</w:t>
      </w:r>
    </w:p>
  </w:footnote>
  <w:footnote w:id="5">
    <w:p w14:paraId="5D89F381" w14:textId="77777777" w:rsidR="00D6212A" w:rsidRPr="00254B14" w:rsidRDefault="00D6212A" w:rsidP="00D6212A">
      <w:pPr>
        <w:pStyle w:val="FootnoteText"/>
      </w:pPr>
      <w:r w:rsidRPr="004310C5">
        <w:rPr>
          <w:rStyle w:val="FootnoteReference"/>
        </w:rPr>
        <w:footnoteRef/>
      </w:r>
      <w:r w:rsidRPr="004310C5">
        <w:t xml:space="preserve"> See for example UN High Commissioner for Human Rights, </w:t>
      </w:r>
      <w:hyperlink r:id="rId2" w:tgtFrame="_blank" w:tooltip="https://www.ohchr.org/en/newsevents/pages/displaynews.aspx?newsid=25916&amp;langid=e" w:history="1">
        <w:r w:rsidRPr="004310C5">
          <w:rPr>
            <w:rStyle w:val="Hyperlink"/>
            <w:i/>
          </w:rPr>
          <w:t>Disproportionate impact of COVID-19 on racial and ethnic minorities needs to be urgently addressed</w:t>
        </w:r>
      </w:hyperlink>
      <w:r w:rsidRPr="004310C5">
        <w:t>, 2 June 2020. Working Group on discrimination against women and girls</w:t>
      </w:r>
      <w:r w:rsidRPr="004310C5">
        <w:rPr>
          <w:i/>
        </w:rPr>
        <w:t xml:space="preserve">, </w:t>
      </w:r>
      <w:hyperlink r:id="rId3" w:tgtFrame="_blank" w:tooltip="https://www.ohchr.org/en/newsevents/pages/displaynews.aspx?newsid=25809&amp;langid=e" w:history="1">
        <w:r w:rsidRPr="004310C5">
          <w:rPr>
            <w:rStyle w:val="Hyperlink"/>
            <w:i/>
          </w:rPr>
          <w:t>Responses to the Covid-19 could exacerbate pre-existing and deeply entrenched discrimination against women and girls</w:t>
        </w:r>
      </w:hyperlink>
      <w:r w:rsidRPr="004310C5">
        <w:t>, 20 April 2020.</w:t>
      </w:r>
    </w:p>
  </w:footnote>
  <w:footnote w:id="6">
    <w:p w14:paraId="11DBB8AE" w14:textId="77777777" w:rsidR="00A37829" w:rsidRPr="008B1356" w:rsidRDefault="00A37829" w:rsidP="00A37829">
      <w:pPr>
        <w:pStyle w:val="FootnoteText"/>
        <w:rPr>
          <w:lang w:val="mi-NZ"/>
        </w:rPr>
      </w:pPr>
      <w:r>
        <w:rPr>
          <w:rStyle w:val="FootnoteReference"/>
        </w:rPr>
        <w:footnoteRef/>
      </w:r>
      <w:r>
        <w:t xml:space="preserve"> </w:t>
      </w:r>
      <w:r>
        <w:rPr>
          <w:lang w:val="mi-NZ"/>
        </w:rPr>
        <w:t xml:space="preserve">Pt 14 (pg. 5) </w:t>
      </w:r>
    </w:p>
  </w:footnote>
  <w:footnote w:id="7">
    <w:p w14:paraId="3548B8B0" w14:textId="77777777" w:rsidR="00A37829" w:rsidRPr="008B1356" w:rsidRDefault="00A37829" w:rsidP="00A37829">
      <w:pPr>
        <w:pStyle w:val="FootnoteText"/>
        <w:rPr>
          <w:lang w:val="mi-NZ"/>
        </w:rPr>
      </w:pPr>
      <w:r>
        <w:rPr>
          <w:rStyle w:val="FootnoteReference"/>
        </w:rPr>
        <w:footnoteRef/>
      </w:r>
      <w:r>
        <w:t xml:space="preserve"> Ibid</w:t>
      </w:r>
    </w:p>
  </w:footnote>
  <w:footnote w:id="8">
    <w:p w14:paraId="4313C382" w14:textId="5D66EE72" w:rsidR="007610ED" w:rsidRPr="00A37829" w:rsidRDefault="007610ED" w:rsidP="007610ED">
      <w:pPr>
        <w:pStyle w:val="FootnoteText"/>
        <w:rPr>
          <w:lang w:val="mi-NZ"/>
        </w:rPr>
      </w:pPr>
      <w:r>
        <w:rPr>
          <w:rStyle w:val="FootnoteReference"/>
        </w:rPr>
        <w:footnoteRef/>
      </w:r>
      <w:r>
        <w:t xml:space="preserve"> Pt 34 (pg. 8) &amp; </w:t>
      </w:r>
      <w:r>
        <w:rPr>
          <w:lang w:val="mi-NZ"/>
        </w:rPr>
        <w:t>Pt 18 (pg. 6)</w:t>
      </w:r>
      <w:r w:rsidR="000450F2">
        <w:rPr>
          <w:lang w:val="mi-NZ"/>
        </w:rPr>
        <w:t xml:space="preserve"> &amp; Pt 40 (pg. 9)</w:t>
      </w:r>
    </w:p>
  </w:footnote>
  <w:footnote w:id="9">
    <w:p w14:paraId="62D78EDD" w14:textId="191C1481" w:rsidR="000450F2" w:rsidRPr="000450F2" w:rsidRDefault="000450F2">
      <w:pPr>
        <w:pStyle w:val="FootnoteText"/>
        <w:rPr>
          <w:lang w:val="mi-NZ"/>
        </w:rPr>
      </w:pPr>
      <w:r>
        <w:rPr>
          <w:rStyle w:val="FootnoteReference"/>
        </w:rPr>
        <w:footnoteRef/>
      </w:r>
      <w:r>
        <w:t xml:space="preserve"> </w:t>
      </w:r>
      <w:r>
        <w:rPr>
          <w:lang w:val="mi-NZ"/>
        </w:rPr>
        <w:t>Pt 44 (pg. 11)</w:t>
      </w:r>
      <w:r w:rsidR="00E517B9">
        <w:rPr>
          <w:lang w:val="mi-NZ"/>
        </w:rPr>
        <w:t xml:space="preserve"> &amp; Pt 58 (Pg. 13)</w:t>
      </w:r>
    </w:p>
  </w:footnote>
  <w:footnote w:id="10">
    <w:p w14:paraId="2CE5F816" w14:textId="20395509" w:rsidR="000A720C" w:rsidRPr="000A720C" w:rsidRDefault="000A720C">
      <w:pPr>
        <w:pStyle w:val="FootnoteText"/>
        <w:rPr>
          <w:lang w:val="mi-NZ"/>
        </w:rPr>
      </w:pPr>
      <w:r>
        <w:rPr>
          <w:rStyle w:val="FootnoteReference"/>
        </w:rPr>
        <w:footnoteRef/>
      </w:r>
      <w:r>
        <w:t xml:space="preserve"> Pt 32 (pg. 8)</w:t>
      </w:r>
    </w:p>
  </w:footnote>
  <w:footnote w:id="11">
    <w:p w14:paraId="147F5FA5" w14:textId="280AD656" w:rsidR="000A720C" w:rsidRPr="000A720C" w:rsidRDefault="000A720C">
      <w:pPr>
        <w:pStyle w:val="FootnoteText"/>
        <w:rPr>
          <w:lang w:val="mi-NZ"/>
        </w:rPr>
      </w:pPr>
      <w:r>
        <w:rPr>
          <w:rStyle w:val="FootnoteReference"/>
        </w:rPr>
        <w:footnoteRef/>
      </w:r>
      <w:r>
        <w:t xml:space="preserve"> Pt 33 (pg. 8)</w:t>
      </w:r>
    </w:p>
  </w:footnote>
  <w:footnote w:id="12">
    <w:p w14:paraId="7569A7F3" w14:textId="038FB959" w:rsidR="00E83B76" w:rsidRPr="00E83B76" w:rsidRDefault="00E83B76">
      <w:pPr>
        <w:pStyle w:val="FootnoteText"/>
        <w:rPr>
          <w:lang w:val="mi-NZ"/>
        </w:rPr>
      </w:pPr>
      <w:r>
        <w:rPr>
          <w:rStyle w:val="FootnoteReference"/>
        </w:rPr>
        <w:footnoteRef/>
      </w:r>
      <w:r>
        <w:t xml:space="preserve"> Pt 66 (</w:t>
      </w:r>
      <w:r w:rsidR="006B1A43">
        <w:t>p</w:t>
      </w:r>
      <w:r>
        <w:t>g. 66)</w:t>
      </w:r>
    </w:p>
  </w:footnote>
  <w:footnote w:id="13">
    <w:p w14:paraId="0BC4695D" w14:textId="3D19F741" w:rsidR="00E83B76" w:rsidRPr="00E83B76" w:rsidRDefault="00E83B76" w:rsidP="00E83B76">
      <w:pPr>
        <w:pStyle w:val="FootnoteText"/>
        <w:rPr>
          <w:lang w:val="mi-NZ"/>
        </w:rPr>
      </w:pPr>
      <w:r>
        <w:rPr>
          <w:rStyle w:val="FootnoteReference"/>
        </w:rPr>
        <w:footnoteRef/>
      </w:r>
      <w:r>
        <w:t xml:space="preserve"> </w:t>
      </w:r>
      <w:r>
        <w:rPr>
          <w:lang w:val="mi-NZ"/>
        </w:rPr>
        <w:t>Pt 62 (</w:t>
      </w:r>
      <w:r w:rsidR="006B1A43">
        <w:rPr>
          <w:lang w:val="mi-NZ"/>
        </w:rPr>
        <w:t>p</w:t>
      </w:r>
      <w:r>
        <w:rPr>
          <w:lang w:val="mi-NZ"/>
        </w:rPr>
        <w:t>g. 13)</w:t>
      </w:r>
      <w:r w:rsidR="006B1A43">
        <w:rPr>
          <w:lang w:val="mi-NZ"/>
        </w:rPr>
        <w:t xml:space="preserve"> &amp; Pt 67 (Pg. 14)</w:t>
      </w:r>
    </w:p>
  </w:footnote>
  <w:footnote w:id="14">
    <w:p w14:paraId="3C859587" w14:textId="11A73F6C" w:rsidR="006B1A43" w:rsidRPr="006B1A43" w:rsidRDefault="006B1A43">
      <w:pPr>
        <w:pStyle w:val="FootnoteText"/>
        <w:rPr>
          <w:lang w:val="mi-NZ"/>
        </w:rPr>
      </w:pPr>
      <w:r>
        <w:rPr>
          <w:rStyle w:val="FootnoteReference"/>
        </w:rPr>
        <w:footnoteRef/>
      </w:r>
      <w:r>
        <w:t xml:space="preserve"> </w:t>
      </w:r>
      <w:r>
        <w:rPr>
          <w:lang w:val="mi-NZ"/>
        </w:rPr>
        <w:t>Pt 63 (pg.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94FE8"/>
    <w:multiLevelType w:val="hybridMultilevel"/>
    <w:tmpl w:val="806C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75B1F"/>
    <w:multiLevelType w:val="hybridMultilevel"/>
    <w:tmpl w:val="077C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729BE"/>
    <w:multiLevelType w:val="hybridMultilevel"/>
    <w:tmpl w:val="1FD6C01A"/>
    <w:lvl w:ilvl="0" w:tplc="F586C3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009FA"/>
    <w:multiLevelType w:val="hybridMultilevel"/>
    <w:tmpl w:val="8B9C6052"/>
    <w:lvl w:ilvl="0" w:tplc="9D041532">
      <w:start w:val="1"/>
      <w:numFmt w:val="decimal"/>
      <w:pStyle w:val="BodyText"/>
      <w:lvlText w:val="%1."/>
      <w:lvlJc w:val="left"/>
      <w:pPr>
        <w:ind w:left="720" w:hanging="360"/>
      </w:pPr>
      <w:rPr>
        <w:rFonts w:hint="default"/>
        <w:b w:val="0"/>
        <w:bCs w:val="0"/>
        <w:i w:val="0"/>
        <w:iCs w:val="0"/>
        <w:sz w:val="22"/>
        <w:szCs w:val="28"/>
      </w:rPr>
    </w:lvl>
    <w:lvl w:ilvl="1" w:tplc="60064276">
      <w:start w:val="1"/>
      <w:numFmt w:val="lowerLetter"/>
      <w:lvlText w:val="%2."/>
      <w:lvlJc w:val="left"/>
      <w:pPr>
        <w:ind w:left="-2312" w:hanging="360"/>
      </w:pPr>
      <w:rPr>
        <w:b w:val="0"/>
        <w:bCs w:val="0"/>
        <w:i w:val="0"/>
        <w:iCs w:val="0"/>
      </w:rPr>
    </w:lvl>
    <w:lvl w:ilvl="2" w:tplc="1409001B">
      <w:start w:val="1"/>
      <w:numFmt w:val="lowerRoman"/>
      <w:lvlText w:val="%3."/>
      <w:lvlJc w:val="right"/>
      <w:pPr>
        <w:ind w:left="-1592" w:hanging="180"/>
      </w:pPr>
    </w:lvl>
    <w:lvl w:ilvl="3" w:tplc="1409000F">
      <w:start w:val="1"/>
      <w:numFmt w:val="decimal"/>
      <w:lvlText w:val="%4."/>
      <w:lvlJc w:val="left"/>
      <w:pPr>
        <w:ind w:left="-872" w:hanging="360"/>
      </w:pPr>
    </w:lvl>
    <w:lvl w:ilvl="4" w:tplc="14090019">
      <w:start w:val="1"/>
      <w:numFmt w:val="lowerLetter"/>
      <w:lvlText w:val="%5."/>
      <w:lvlJc w:val="left"/>
      <w:pPr>
        <w:ind w:left="-152" w:hanging="360"/>
      </w:pPr>
    </w:lvl>
    <w:lvl w:ilvl="5" w:tplc="1409001B">
      <w:start w:val="1"/>
      <w:numFmt w:val="lowerRoman"/>
      <w:lvlText w:val="%6."/>
      <w:lvlJc w:val="right"/>
      <w:pPr>
        <w:ind w:left="568" w:hanging="180"/>
      </w:pPr>
    </w:lvl>
    <w:lvl w:ilvl="6" w:tplc="1409000F">
      <w:start w:val="1"/>
      <w:numFmt w:val="decimal"/>
      <w:lvlText w:val="%7."/>
      <w:lvlJc w:val="left"/>
      <w:pPr>
        <w:ind w:left="1288" w:hanging="360"/>
      </w:pPr>
    </w:lvl>
    <w:lvl w:ilvl="7" w:tplc="14090019" w:tentative="1">
      <w:start w:val="1"/>
      <w:numFmt w:val="lowerLetter"/>
      <w:lvlText w:val="%8."/>
      <w:lvlJc w:val="left"/>
      <w:pPr>
        <w:ind w:left="2008" w:hanging="360"/>
      </w:pPr>
    </w:lvl>
    <w:lvl w:ilvl="8" w:tplc="1409001B" w:tentative="1">
      <w:start w:val="1"/>
      <w:numFmt w:val="lowerRoman"/>
      <w:lvlText w:val="%9."/>
      <w:lvlJc w:val="right"/>
      <w:pPr>
        <w:ind w:left="27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34"/>
    <w:rsid w:val="000450F2"/>
    <w:rsid w:val="000A720C"/>
    <w:rsid w:val="000C0E60"/>
    <w:rsid w:val="001406BB"/>
    <w:rsid w:val="00143642"/>
    <w:rsid w:val="00180043"/>
    <w:rsid w:val="001C338E"/>
    <w:rsid w:val="00280D33"/>
    <w:rsid w:val="002C3828"/>
    <w:rsid w:val="00374CF5"/>
    <w:rsid w:val="003B3379"/>
    <w:rsid w:val="00433F51"/>
    <w:rsid w:val="004737A6"/>
    <w:rsid w:val="00505615"/>
    <w:rsid w:val="005642FC"/>
    <w:rsid w:val="00571FF6"/>
    <w:rsid w:val="00596534"/>
    <w:rsid w:val="005A6793"/>
    <w:rsid w:val="006355C7"/>
    <w:rsid w:val="006B1A43"/>
    <w:rsid w:val="006D65AC"/>
    <w:rsid w:val="00715E25"/>
    <w:rsid w:val="007372EF"/>
    <w:rsid w:val="007610ED"/>
    <w:rsid w:val="007B33B5"/>
    <w:rsid w:val="00887A22"/>
    <w:rsid w:val="008B1356"/>
    <w:rsid w:val="009D04FF"/>
    <w:rsid w:val="009F1CA6"/>
    <w:rsid w:val="00A15292"/>
    <w:rsid w:val="00A275CA"/>
    <w:rsid w:val="00A37829"/>
    <w:rsid w:val="00A6191C"/>
    <w:rsid w:val="00A743A2"/>
    <w:rsid w:val="00A7774E"/>
    <w:rsid w:val="00AA4377"/>
    <w:rsid w:val="00AA6863"/>
    <w:rsid w:val="00B22763"/>
    <w:rsid w:val="00BC21D4"/>
    <w:rsid w:val="00C31E31"/>
    <w:rsid w:val="00C82A37"/>
    <w:rsid w:val="00CB47B9"/>
    <w:rsid w:val="00D6212A"/>
    <w:rsid w:val="00D63278"/>
    <w:rsid w:val="00DC50FB"/>
    <w:rsid w:val="00DE7ABC"/>
    <w:rsid w:val="00DF3205"/>
    <w:rsid w:val="00E332BB"/>
    <w:rsid w:val="00E517B9"/>
    <w:rsid w:val="00E77017"/>
    <w:rsid w:val="00E83B76"/>
    <w:rsid w:val="00F0367C"/>
    <w:rsid w:val="00F0651B"/>
    <w:rsid w:val="00F6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093B"/>
  <w14:defaultImageDpi w14:val="32767"/>
  <w15:chartTrackingRefBased/>
  <w15:docId w15:val="{3C03C9EE-9166-3E44-9922-89FFFC54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6191C"/>
    <w:pPr>
      <w:spacing w:after="160" w:line="259"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FA Fu,5_, Char"/>
    <w:basedOn w:val="Normal"/>
    <w:link w:val="FootnoteTextChar"/>
    <w:uiPriority w:val="99"/>
    <w:unhideWhenUsed/>
    <w:qFormat/>
    <w:rsid w:val="000C0E60"/>
    <w:pPr>
      <w:spacing w:after="0" w:line="240" w:lineRule="auto"/>
    </w:pPr>
    <w:rPr>
      <w:sz w:val="15"/>
      <w:szCs w:val="20"/>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FA Fu Char,5_ Char"/>
    <w:basedOn w:val="DefaultParagraphFont"/>
    <w:link w:val="FootnoteText"/>
    <w:uiPriority w:val="99"/>
    <w:rsid w:val="000C0E60"/>
    <w:rPr>
      <w:sz w:val="15"/>
      <w:szCs w:val="20"/>
      <w:lang w:val="en-NZ"/>
    </w:rPr>
  </w:style>
  <w:style w:type="character" w:styleId="FootnoteReference">
    <w:name w:val="footnote reference"/>
    <w:aliases w:val="4_G,Footnote Refernece,Footnote number,Footnotes refss,16 Point,Superscript 6 Point"/>
    <w:basedOn w:val="DefaultParagraphFont"/>
    <w:uiPriority w:val="99"/>
    <w:unhideWhenUsed/>
    <w:qFormat/>
    <w:rsid w:val="00A6191C"/>
    <w:rPr>
      <w:vertAlign w:val="superscript"/>
    </w:rPr>
  </w:style>
  <w:style w:type="paragraph" w:styleId="ListParagraph">
    <w:name w:val="List Paragraph"/>
    <w:basedOn w:val="Normal"/>
    <w:link w:val="ListParagraphChar"/>
    <w:uiPriority w:val="34"/>
    <w:qFormat/>
    <w:rsid w:val="00A6191C"/>
    <w:pPr>
      <w:ind w:left="720"/>
      <w:contextualSpacing/>
    </w:pPr>
  </w:style>
  <w:style w:type="character" w:styleId="Hyperlink">
    <w:name w:val="Hyperlink"/>
    <w:basedOn w:val="DefaultParagraphFont"/>
    <w:uiPriority w:val="99"/>
    <w:unhideWhenUsed/>
    <w:rsid w:val="001C338E"/>
    <w:rPr>
      <w:color w:val="0563C1" w:themeColor="hyperlink"/>
      <w:u w:val="single"/>
    </w:rPr>
  </w:style>
  <w:style w:type="character" w:customStyle="1" w:styleId="ListParagraphChar">
    <w:name w:val="List Paragraph Char"/>
    <w:link w:val="ListParagraph"/>
    <w:uiPriority w:val="34"/>
    <w:locked/>
    <w:rsid w:val="008B1356"/>
    <w:rPr>
      <w:sz w:val="22"/>
      <w:szCs w:val="22"/>
      <w:lang w:val="en-NZ"/>
    </w:rPr>
  </w:style>
  <w:style w:type="paragraph" w:styleId="BodyText">
    <w:name w:val="Body Text"/>
    <w:basedOn w:val="Normal"/>
    <w:link w:val="BodyTextChar"/>
    <w:uiPriority w:val="99"/>
    <w:unhideWhenUsed/>
    <w:rsid w:val="008B1356"/>
    <w:pPr>
      <w:numPr>
        <w:numId w:val="2"/>
      </w:numPr>
      <w:spacing w:after="120" w:line="240" w:lineRule="auto"/>
    </w:pPr>
    <w:rPr>
      <w:rFonts w:ascii="Calibri" w:hAnsi="Calibri" w:cs="Calibri"/>
    </w:rPr>
  </w:style>
  <w:style w:type="character" w:customStyle="1" w:styleId="BodyTextChar">
    <w:name w:val="Body Text Char"/>
    <w:basedOn w:val="DefaultParagraphFont"/>
    <w:link w:val="BodyText"/>
    <w:uiPriority w:val="99"/>
    <w:rsid w:val="008B1356"/>
    <w:rPr>
      <w:rFonts w:ascii="Calibri" w:hAnsi="Calibri" w:cs="Calibri"/>
      <w:sz w:val="22"/>
      <w:szCs w:val="22"/>
      <w:lang w:val="en-NZ"/>
    </w:rPr>
  </w:style>
  <w:style w:type="table" w:styleId="TableGrid">
    <w:name w:val="Table Grid"/>
    <w:basedOn w:val="TableNormal"/>
    <w:uiPriority w:val="39"/>
    <w:rsid w:val="00B2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2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42FC"/>
    <w:rPr>
      <w:rFonts w:ascii="Times New Roman" w:hAnsi="Times New Roman" w:cs="Times New Roman"/>
      <w:sz w:val="18"/>
      <w:szCs w:val="18"/>
      <w:lang w:val="en-NZ"/>
    </w:rPr>
  </w:style>
  <w:style w:type="character" w:customStyle="1" w:styleId="apple-converted-space">
    <w:name w:val="apple-converted-space"/>
    <w:basedOn w:val="DefaultParagraphFont"/>
    <w:rsid w:val="0056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2037">
      <w:bodyDiv w:val="1"/>
      <w:marLeft w:val="0"/>
      <w:marRight w:val="0"/>
      <w:marTop w:val="0"/>
      <w:marBottom w:val="0"/>
      <w:divBdr>
        <w:top w:val="none" w:sz="0" w:space="0" w:color="auto"/>
        <w:left w:val="none" w:sz="0" w:space="0" w:color="auto"/>
        <w:bottom w:val="none" w:sz="0" w:space="0" w:color="auto"/>
        <w:right w:val="none" w:sz="0" w:space="0" w:color="auto"/>
      </w:divBdr>
    </w:div>
    <w:div w:id="357975834">
      <w:bodyDiv w:val="1"/>
      <w:marLeft w:val="0"/>
      <w:marRight w:val="0"/>
      <w:marTop w:val="0"/>
      <w:marBottom w:val="0"/>
      <w:divBdr>
        <w:top w:val="none" w:sz="0" w:space="0" w:color="auto"/>
        <w:left w:val="none" w:sz="0" w:space="0" w:color="auto"/>
        <w:bottom w:val="none" w:sz="0" w:space="0" w:color="auto"/>
        <w:right w:val="none" w:sz="0" w:space="0" w:color="auto"/>
      </w:divBdr>
    </w:div>
    <w:div w:id="643506000">
      <w:bodyDiv w:val="1"/>
      <w:marLeft w:val="0"/>
      <w:marRight w:val="0"/>
      <w:marTop w:val="0"/>
      <w:marBottom w:val="0"/>
      <w:divBdr>
        <w:top w:val="none" w:sz="0" w:space="0" w:color="auto"/>
        <w:left w:val="none" w:sz="0" w:space="0" w:color="auto"/>
        <w:bottom w:val="none" w:sz="0" w:space="0" w:color="auto"/>
        <w:right w:val="none" w:sz="0" w:space="0" w:color="auto"/>
      </w:divBdr>
    </w:div>
    <w:div w:id="777338366">
      <w:bodyDiv w:val="1"/>
      <w:marLeft w:val="0"/>
      <w:marRight w:val="0"/>
      <w:marTop w:val="0"/>
      <w:marBottom w:val="0"/>
      <w:divBdr>
        <w:top w:val="none" w:sz="0" w:space="0" w:color="auto"/>
        <w:left w:val="none" w:sz="0" w:space="0" w:color="auto"/>
        <w:bottom w:val="none" w:sz="0" w:space="0" w:color="auto"/>
        <w:right w:val="none" w:sz="0" w:space="0" w:color="auto"/>
      </w:divBdr>
    </w:div>
    <w:div w:id="1337612377">
      <w:bodyDiv w:val="1"/>
      <w:marLeft w:val="0"/>
      <w:marRight w:val="0"/>
      <w:marTop w:val="0"/>
      <w:marBottom w:val="0"/>
      <w:divBdr>
        <w:top w:val="none" w:sz="0" w:space="0" w:color="auto"/>
        <w:left w:val="none" w:sz="0" w:space="0" w:color="auto"/>
        <w:bottom w:val="none" w:sz="0" w:space="0" w:color="auto"/>
        <w:right w:val="none" w:sz="0" w:space="0" w:color="auto"/>
      </w:divBdr>
    </w:div>
    <w:div w:id="14128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NewsEvents/Pages/DisplayNews.aspx?NewsID=25809&amp;LangID=E" TargetMode="External"/><Relationship Id="rId2" Type="http://schemas.openxmlformats.org/officeDocument/2006/relationships/hyperlink" Target="https://www.ohchr.org/EN/NewsEvents/Pages/DisplayNews.aspx?NewsID=25916&amp;LangID=E" TargetMode="External"/><Relationship Id="rId1" Type="http://schemas.openxmlformats.org/officeDocument/2006/relationships/hyperlink" Target="https://www.mfe.govt.nz/more/briefings-cabinet-papers-and-related-material-search/cabinet-papers/covid-19-recovery-f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9F7EF5A7C334497BE9A68EAFDFF78" ma:contentTypeVersion="13" ma:contentTypeDescription="Create a new document." ma:contentTypeScope="" ma:versionID="3387cb36588f20a7c587343476f162b9">
  <xsd:schema xmlns:xsd="http://www.w3.org/2001/XMLSchema" xmlns:xs="http://www.w3.org/2001/XMLSchema" xmlns:p="http://schemas.microsoft.com/office/2006/metadata/properties" xmlns:ns3="81a5b738-99c4-4232-bb03-7d2c06e74f40" xmlns:ns4="cda5d611-c565-41bd-b880-381f7f84f32c" targetNamespace="http://schemas.microsoft.com/office/2006/metadata/properties" ma:root="true" ma:fieldsID="4dd3c7f6051c6d286bfefd7179e6ba2c" ns3:_="" ns4:_="">
    <xsd:import namespace="81a5b738-99c4-4232-bb03-7d2c06e74f40"/>
    <xsd:import namespace="cda5d611-c565-41bd-b880-381f7f84f3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5b738-99c4-4232-bb03-7d2c06e74f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d611-c565-41bd-b880-381f7f84f3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EC06A-46CC-40FB-8DD0-E18191D75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5b738-99c4-4232-bb03-7d2c06e74f40"/>
    <ds:schemaRef ds:uri="cda5d611-c565-41bd-b880-381f7f84f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18BCB-0F86-417C-A2B3-4688D0BF0B49}">
  <ds:schemaRefs>
    <ds:schemaRef ds:uri="http://schemas.microsoft.com/sharepoint/v3/contenttype/forms"/>
  </ds:schemaRefs>
</ds:datastoreItem>
</file>

<file path=customXml/itemProps3.xml><?xml version="1.0" encoding="utf-8"?>
<ds:datastoreItem xmlns:ds="http://schemas.openxmlformats.org/officeDocument/2006/customXml" ds:itemID="{FFCCA996-277F-48E1-8719-CE2D6714F525}">
  <ds:schemaRefs>
    <ds:schemaRef ds:uri="cda5d611-c565-41bd-b880-381f7f84f32c"/>
    <ds:schemaRef ds:uri="http://purl.org/dc/dcmitype/"/>
    <ds:schemaRef ds:uri="http://purl.org/dc/elements/1.1/"/>
    <ds:schemaRef ds:uri="81a5b738-99c4-4232-bb03-7d2c06e74f40"/>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E107ECC-42F8-4BA7-ABED-AB60F57B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 Zealand Human Rights Commission</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Mearns</dc:creator>
  <cp:keywords/>
  <dc:description/>
  <cp:lastModifiedBy>John Hancock</cp:lastModifiedBy>
  <cp:revision>3</cp:revision>
  <dcterms:created xsi:type="dcterms:W3CDTF">2020-06-23T04:01:00Z</dcterms:created>
  <dcterms:modified xsi:type="dcterms:W3CDTF">2020-06-23T04:01:00Z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0x0101009339F7EF5A7C334497BE9A68EAFDFF78</vt:lpwstr>
  </property>
</Properties>
</file>