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FAE2" w14:textId="243DE7F5" w:rsidR="00CE21AE" w:rsidRPr="00E03869" w:rsidRDefault="00AE432B" w:rsidP="00E03869">
      <w:pPr>
        <w:pStyle w:val="Heading1"/>
        <w:rPr>
          <w:rFonts w:ascii="Arial" w:hAnsi="Arial" w:cs="Arial"/>
          <w:b/>
          <w:color w:val="1F3864" w:themeColor="accent1" w:themeShade="80"/>
          <w:sz w:val="36"/>
          <w:lang w:val="en-AU"/>
        </w:rPr>
      </w:pPr>
      <w:r w:rsidRPr="00E03869">
        <w:rPr>
          <w:rFonts w:ascii="Arial" w:hAnsi="Arial" w:cs="Arial"/>
          <w:b/>
          <w:color w:val="1F3864" w:themeColor="accent1" w:themeShade="80"/>
          <w:sz w:val="36"/>
          <w:lang w:val="en-AU"/>
        </w:rPr>
        <w:t>Constitutional and Legislative Framework</w:t>
      </w:r>
      <w:bookmarkStart w:id="0" w:name="_GoBack"/>
      <w:bookmarkEnd w:id="0"/>
    </w:p>
    <w:p w14:paraId="618893D4" w14:textId="77777777" w:rsidR="00D40753" w:rsidRPr="00E03869" w:rsidRDefault="00D40753" w:rsidP="00E03869">
      <w:pPr>
        <w:spacing w:after="0"/>
        <w:jc w:val="center"/>
        <w:rPr>
          <w:rFonts w:ascii="Arial" w:hAnsi="Arial" w:cs="Arial"/>
          <w:lang w:val="en-A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9A7582" w:rsidRPr="00E03869" w14:paraId="34004189" w14:textId="77777777" w:rsidTr="00E03869">
        <w:trPr>
          <w:trHeight w:val="403"/>
        </w:trPr>
        <w:tc>
          <w:tcPr>
            <w:tcW w:w="9924" w:type="dxa"/>
            <w:shd w:val="clear" w:color="auto" w:fill="B4C6E7" w:themeFill="accent1" w:themeFillTint="66"/>
            <w:vAlign w:val="center"/>
          </w:tcPr>
          <w:p w14:paraId="4F9C233A" w14:textId="22D073ED" w:rsidR="00D40753" w:rsidRPr="00E03869" w:rsidRDefault="00D40753" w:rsidP="00E03869">
            <w:pPr>
              <w:spacing w:after="0"/>
              <w:jc w:val="center"/>
              <w:rPr>
                <w:rFonts w:ascii="Arial" w:hAnsi="Arial" w:cs="Arial"/>
                <w:b/>
                <w:color w:val="2F5496" w:themeColor="accent1" w:themeShade="BF"/>
                <w:lang w:val="en-AU"/>
              </w:rPr>
            </w:pPr>
            <w:r w:rsidRPr="00E03869">
              <w:rPr>
                <w:rFonts w:ascii="Arial" w:hAnsi="Arial" w:cs="Arial"/>
                <w:b/>
                <w:color w:val="2F5496" w:themeColor="accent1" w:themeShade="BF"/>
                <w:lang w:val="en-AU"/>
              </w:rPr>
              <w:t>SUMMARY OF KEY ISSUES FROM PREVIOUS UPR CYCLES</w:t>
            </w:r>
          </w:p>
        </w:tc>
      </w:tr>
      <w:tr w:rsidR="00A74633" w:rsidRPr="00E03869" w14:paraId="178AA827" w14:textId="77777777" w:rsidTr="00E03869">
        <w:trPr>
          <w:trHeight w:val="1660"/>
        </w:trPr>
        <w:tc>
          <w:tcPr>
            <w:tcW w:w="9924" w:type="dxa"/>
            <w:shd w:val="clear" w:color="auto" w:fill="D9E2F3" w:themeFill="accent1" w:themeFillTint="33"/>
            <w:vAlign w:val="center"/>
          </w:tcPr>
          <w:p w14:paraId="3C39FC23" w14:textId="7537FFAD" w:rsidR="00DA668D" w:rsidRPr="00E03869" w:rsidRDefault="00CC18BA" w:rsidP="00E03869">
            <w:pPr>
              <w:spacing w:after="0"/>
              <w:rPr>
                <w:rFonts w:ascii="Arial" w:hAnsi="Arial" w:cs="Arial"/>
                <w:lang w:val="en-AU"/>
              </w:rPr>
            </w:pPr>
            <w:r w:rsidRPr="00E03869">
              <w:rPr>
                <w:rFonts w:ascii="Arial" w:hAnsi="Arial" w:cs="Arial"/>
                <w:sz w:val="20"/>
                <w:lang w:val="en-AU"/>
              </w:rPr>
              <w:t>During the second cycle of the Universal Periodic Review (UPR) Togo, Ukraine and Uruguay recommended that the New Zealand Government incorporate economic, social and cultural rights into the New Zealand Bill of Rights Act 1990 (BORA). Similarly, Spain and Vietnam recommended that the Government proceed with the review of the BORA to incorporate these rights.</w:t>
            </w:r>
            <w:r w:rsidR="009837FE" w:rsidRPr="00E03869">
              <w:rPr>
                <w:rFonts w:ascii="Arial" w:hAnsi="Arial" w:cs="Arial"/>
                <w:sz w:val="20"/>
                <w:lang w:val="en-AU"/>
              </w:rPr>
              <w:t xml:space="preserve"> </w:t>
            </w:r>
            <w:r w:rsidR="00A74633" w:rsidRPr="00E03869">
              <w:rPr>
                <w:rFonts w:ascii="Arial" w:hAnsi="Arial" w:cs="Arial"/>
                <w:sz w:val="20"/>
                <w:lang w:val="en-AU"/>
              </w:rPr>
              <w:t xml:space="preserve">Algeria </w:t>
            </w:r>
            <w:r w:rsidR="00BC6180" w:rsidRPr="00E03869">
              <w:rPr>
                <w:rFonts w:ascii="Arial" w:hAnsi="Arial" w:cs="Arial"/>
                <w:sz w:val="20"/>
                <w:lang w:val="en-AU"/>
              </w:rPr>
              <w:t>recommended that the Government</w:t>
            </w:r>
            <w:r w:rsidR="00E03869">
              <w:rPr>
                <w:rFonts w:ascii="Arial" w:hAnsi="Arial" w:cs="Arial"/>
                <w:sz w:val="20"/>
                <w:lang w:val="en-AU"/>
              </w:rPr>
              <w:t xml:space="preserve"> take appropriate measures to bring domestic law into full compliance with the International Covenant for Civil and Political Rights (ICCPR). </w:t>
            </w:r>
            <w:r w:rsidR="00BC6180" w:rsidRPr="00E03869">
              <w:rPr>
                <w:rFonts w:ascii="Arial" w:hAnsi="Arial" w:cs="Arial"/>
                <w:sz w:val="20"/>
                <w:lang w:val="en-AU"/>
              </w:rPr>
              <w:t xml:space="preserve"> </w:t>
            </w:r>
          </w:p>
        </w:tc>
      </w:tr>
    </w:tbl>
    <w:p w14:paraId="6652711E" w14:textId="3AA9F664" w:rsidR="00CE21AE" w:rsidRDefault="00CE21AE" w:rsidP="00E03869">
      <w:pPr>
        <w:spacing w:after="0"/>
        <w:rPr>
          <w:rFonts w:ascii="Arial" w:hAnsi="Arial" w:cs="Arial"/>
          <w:sz w:val="16"/>
          <w:szCs w:val="8"/>
          <w:lang w:val="en-AU"/>
        </w:rPr>
      </w:pPr>
    </w:p>
    <w:p w14:paraId="255E2AE1" w14:textId="77777777" w:rsidR="00E03869" w:rsidRPr="00E03869" w:rsidRDefault="00E03869" w:rsidP="00E03869">
      <w:pPr>
        <w:spacing w:after="0"/>
        <w:rPr>
          <w:rFonts w:ascii="Arial" w:hAnsi="Arial" w:cs="Arial"/>
          <w:sz w:val="16"/>
          <w:szCs w:val="8"/>
          <w:lang w:val="en-A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2203"/>
        <w:gridCol w:w="7721"/>
      </w:tblGrid>
      <w:tr w:rsidR="009A7582" w:rsidRPr="00E03869" w14:paraId="733F1FF9" w14:textId="77777777" w:rsidTr="00E03869">
        <w:trPr>
          <w:trHeight w:val="403"/>
        </w:trPr>
        <w:tc>
          <w:tcPr>
            <w:tcW w:w="2203" w:type="dxa"/>
            <w:tcBorders>
              <w:bottom w:val="single" w:sz="4" w:space="0" w:color="auto"/>
              <w:right w:val="single" w:sz="4" w:space="0" w:color="auto"/>
            </w:tcBorders>
            <w:shd w:val="clear" w:color="auto" w:fill="B4C6E7" w:themeFill="accent1" w:themeFillTint="66"/>
            <w:vAlign w:val="center"/>
          </w:tcPr>
          <w:p w14:paraId="03CA6C1C" w14:textId="77777777" w:rsidR="00D40753" w:rsidRPr="00E03869" w:rsidRDefault="00D40753" w:rsidP="00E03869">
            <w:pPr>
              <w:spacing w:after="0"/>
              <w:jc w:val="center"/>
              <w:rPr>
                <w:rFonts w:ascii="Arial" w:hAnsi="Arial" w:cs="Arial"/>
                <w:b/>
                <w:color w:val="2F5496" w:themeColor="accent1" w:themeShade="BF"/>
                <w:lang w:val="en-AU"/>
              </w:rPr>
            </w:pPr>
            <w:r w:rsidRPr="00E03869">
              <w:rPr>
                <w:rFonts w:ascii="Arial" w:hAnsi="Arial" w:cs="Arial"/>
                <w:b/>
                <w:color w:val="2F5496" w:themeColor="accent1" w:themeShade="BF"/>
                <w:lang w:val="en-AU"/>
              </w:rPr>
              <w:t>CHALLENGE</w:t>
            </w:r>
          </w:p>
        </w:tc>
        <w:tc>
          <w:tcPr>
            <w:tcW w:w="7721" w:type="dxa"/>
            <w:tcBorders>
              <w:left w:val="single" w:sz="4" w:space="0" w:color="auto"/>
              <w:bottom w:val="single" w:sz="4" w:space="0" w:color="auto"/>
            </w:tcBorders>
            <w:shd w:val="clear" w:color="auto" w:fill="B4C6E7" w:themeFill="accent1" w:themeFillTint="66"/>
            <w:vAlign w:val="center"/>
          </w:tcPr>
          <w:p w14:paraId="07A22A58" w14:textId="77777777" w:rsidR="00D40753" w:rsidRPr="00E03869" w:rsidRDefault="00D40753" w:rsidP="00E03869">
            <w:pPr>
              <w:spacing w:after="0"/>
              <w:jc w:val="center"/>
              <w:rPr>
                <w:rFonts w:ascii="Arial" w:hAnsi="Arial" w:cs="Arial"/>
                <w:b/>
                <w:color w:val="2F5496" w:themeColor="accent1" w:themeShade="BF"/>
                <w:lang w:val="en-AU"/>
              </w:rPr>
            </w:pPr>
            <w:r w:rsidRPr="00E03869">
              <w:rPr>
                <w:rFonts w:ascii="Arial" w:hAnsi="Arial" w:cs="Arial"/>
                <w:b/>
                <w:color w:val="2F5496" w:themeColor="accent1" w:themeShade="BF"/>
                <w:lang w:val="en-AU"/>
              </w:rPr>
              <w:t>IMPACT</w:t>
            </w:r>
          </w:p>
        </w:tc>
      </w:tr>
      <w:tr w:rsidR="008D5955" w:rsidRPr="00E03869" w14:paraId="51177C2E" w14:textId="77777777" w:rsidTr="00E03869">
        <w:trPr>
          <w:trHeight w:val="2290"/>
        </w:trPr>
        <w:tc>
          <w:tcPr>
            <w:tcW w:w="2203" w:type="dxa"/>
            <w:tcBorders>
              <w:right w:val="single" w:sz="4" w:space="0" w:color="auto"/>
            </w:tcBorders>
            <w:shd w:val="clear" w:color="auto" w:fill="D9E2F3" w:themeFill="accent1" w:themeFillTint="33"/>
          </w:tcPr>
          <w:p w14:paraId="498E3F35" w14:textId="0DEF1D2B" w:rsidR="008D5955" w:rsidRPr="00E03869" w:rsidRDefault="008D5955" w:rsidP="00E03869">
            <w:pPr>
              <w:rPr>
                <w:rFonts w:ascii="Arial" w:hAnsi="Arial" w:cs="Arial"/>
                <w:b/>
                <w:bCs/>
                <w:sz w:val="20"/>
                <w:lang w:val="en-AU"/>
              </w:rPr>
            </w:pPr>
            <w:r w:rsidRPr="00E03869">
              <w:rPr>
                <w:rFonts w:ascii="Arial" w:hAnsi="Arial" w:cs="Arial"/>
                <w:b/>
                <w:bCs/>
                <w:sz w:val="20"/>
                <w:lang w:val="en-AU"/>
              </w:rPr>
              <w:t xml:space="preserve">Lack of human rights impact assessments </w:t>
            </w:r>
          </w:p>
        </w:tc>
        <w:tc>
          <w:tcPr>
            <w:tcW w:w="7721" w:type="dxa"/>
            <w:tcBorders>
              <w:left w:val="single" w:sz="4" w:space="0" w:color="auto"/>
            </w:tcBorders>
            <w:shd w:val="clear" w:color="auto" w:fill="D9E2F3" w:themeFill="accent1" w:themeFillTint="33"/>
          </w:tcPr>
          <w:p w14:paraId="711BC312" w14:textId="00B6B500" w:rsidR="008D5955" w:rsidRPr="00E03869" w:rsidRDefault="008D5955" w:rsidP="00E03869">
            <w:pPr>
              <w:spacing w:after="0"/>
              <w:rPr>
                <w:rFonts w:ascii="Arial" w:hAnsi="Arial" w:cs="Arial"/>
                <w:sz w:val="20"/>
                <w:lang w:val="en-AU"/>
              </w:rPr>
            </w:pPr>
            <w:r w:rsidRPr="00E03869">
              <w:rPr>
                <w:rFonts w:ascii="Arial" w:hAnsi="Arial" w:cs="Arial"/>
                <w:sz w:val="20"/>
                <w:lang w:val="en-AU"/>
              </w:rPr>
              <w:t>The Government currently applies an inconsistent approach to ensuring that legislation</w:t>
            </w:r>
            <w:r w:rsidR="00E03869">
              <w:rPr>
                <w:rFonts w:ascii="Arial" w:hAnsi="Arial" w:cs="Arial"/>
                <w:sz w:val="20"/>
                <w:lang w:val="en-AU"/>
              </w:rPr>
              <w:t xml:space="preserve"> and </w:t>
            </w:r>
            <w:r w:rsidRPr="00E03869">
              <w:rPr>
                <w:rFonts w:ascii="Arial" w:hAnsi="Arial" w:cs="Arial"/>
                <w:sz w:val="20"/>
                <w:lang w:val="en-AU"/>
              </w:rPr>
              <w:t>policy decisions conform with international human rights standards. Both the Cabinet Manual and the Legislative Design and Advisory Guidelines require that new legislation must comply with New Zealand’s international human rights treaty obligations.</w:t>
            </w:r>
            <w:r w:rsidR="00B87E00" w:rsidRPr="00E03869">
              <w:rPr>
                <w:rFonts w:ascii="Arial" w:hAnsi="Arial" w:cs="Arial"/>
                <w:sz w:val="20"/>
                <w:lang w:val="en-AU"/>
              </w:rPr>
              <w:t xml:space="preserve"> However, this is a statement of policy, not law, and mechanisms for ensuring compliance are ad hoc. </w:t>
            </w:r>
            <w:r w:rsidRPr="00E03869">
              <w:rPr>
                <w:rFonts w:ascii="Arial" w:hAnsi="Arial" w:cs="Arial"/>
                <w:sz w:val="20"/>
                <w:lang w:val="en-AU"/>
              </w:rPr>
              <w:t>The Commission considers the implementation of a standard procedural mechanism such as a human rights impact assessment process would help ensure that all Government policy and legislation complies with, and is informed by, human rights principles.</w:t>
            </w:r>
          </w:p>
        </w:tc>
      </w:tr>
      <w:tr w:rsidR="008D5955" w:rsidRPr="00E03869" w14:paraId="03AE3A63" w14:textId="77777777" w:rsidTr="00E03869">
        <w:trPr>
          <w:trHeight w:val="1975"/>
        </w:trPr>
        <w:tc>
          <w:tcPr>
            <w:tcW w:w="2203" w:type="dxa"/>
            <w:tcBorders>
              <w:right w:val="single" w:sz="4" w:space="0" w:color="auto"/>
            </w:tcBorders>
            <w:shd w:val="clear" w:color="auto" w:fill="D9E2F3" w:themeFill="accent1" w:themeFillTint="33"/>
          </w:tcPr>
          <w:p w14:paraId="571A5850" w14:textId="6BA9E402" w:rsidR="008D5955" w:rsidRPr="00E03869" w:rsidRDefault="008D5955" w:rsidP="00E03869">
            <w:pPr>
              <w:pStyle w:val="ListParagraph"/>
              <w:spacing w:after="0" w:line="276" w:lineRule="auto"/>
              <w:ind w:left="0"/>
              <w:rPr>
                <w:rFonts w:ascii="Arial" w:hAnsi="Arial" w:cs="Arial"/>
                <w:b/>
                <w:sz w:val="20"/>
                <w:lang w:val="en-AU"/>
              </w:rPr>
            </w:pPr>
            <w:r w:rsidRPr="00E03869">
              <w:rPr>
                <w:rFonts w:ascii="Arial" w:hAnsi="Arial" w:cs="Arial"/>
                <w:b/>
                <w:sz w:val="20"/>
                <w:lang w:val="en-AU"/>
              </w:rPr>
              <w:t xml:space="preserve">Not all human rights </w:t>
            </w:r>
            <w:r w:rsidR="00E03869" w:rsidRPr="00E03869">
              <w:rPr>
                <w:rFonts w:ascii="Arial" w:hAnsi="Arial" w:cs="Arial"/>
                <w:b/>
                <w:sz w:val="20"/>
                <w:lang w:val="en-AU"/>
              </w:rPr>
              <w:t>are contained</w:t>
            </w:r>
            <w:r w:rsidRPr="00E03869">
              <w:rPr>
                <w:rFonts w:ascii="Arial" w:hAnsi="Arial" w:cs="Arial"/>
                <w:b/>
                <w:sz w:val="20"/>
                <w:lang w:val="en-AU"/>
              </w:rPr>
              <w:t xml:space="preserve"> in New Zealand Bill of Rights Act 1990</w:t>
            </w:r>
          </w:p>
          <w:p w14:paraId="07B485A2" w14:textId="77777777" w:rsidR="008D5955" w:rsidRPr="00E03869" w:rsidRDefault="008D5955" w:rsidP="00E03869">
            <w:pPr>
              <w:rPr>
                <w:rFonts w:ascii="Arial" w:hAnsi="Arial" w:cs="Arial"/>
                <w:bCs/>
                <w:sz w:val="20"/>
                <w:lang w:val="en-AU"/>
              </w:rPr>
            </w:pPr>
          </w:p>
        </w:tc>
        <w:tc>
          <w:tcPr>
            <w:tcW w:w="7721" w:type="dxa"/>
            <w:tcBorders>
              <w:left w:val="single" w:sz="4" w:space="0" w:color="auto"/>
            </w:tcBorders>
            <w:shd w:val="clear" w:color="auto" w:fill="D9E2F3" w:themeFill="accent1" w:themeFillTint="33"/>
          </w:tcPr>
          <w:p w14:paraId="337752BF" w14:textId="7F4FFD00" w:rsidR="008D5955" w:rsidRPr="00E03869" w:rsidRDefault="008D5955" w:rsidP="00E03869">
            <w:pPr>
              <w:rPr>
                <w:rFonts w:ascii="Arial" w:hAnsi="Arial" w:cs="Arial"/>
                <w:sz w:val="20"/>
                <w:lang w:val="en-AU"/>
              </w:rPr>
            </w:pPr>
            <w:r w:rsidRPr="00E03869">
              <w:rPr>
                <w:rFonts w:ascii="Arial" w:hAnsi="Arial" w:cs="Arial"/>
                <w:sz w:val="20"/>
                <w:lang w:val="en-AU"/>
              </w:rPr>
              <w:t xml:space="preserve">New Zealand does not have a written constitution that entrenches into law a set of inviolable rights. Our charter of human rights is set out in the BORA, an ordinary statute that can be repealed by a simple parliamentary majority. While the BORA contains most of the human rights contained in the </w:t>
            </w:r>
            <w:r w:rsidR="00E03869">
              <w:rPr>
                <w:rFonts w:ascii="Arial" w:hAnsi="Arial" w:cs="Arial"/>
                <w:sz w:val="20"/>
                <w:lang w:val="en-AU"/>
              </w:rPr>
              <w:t>ICCPR</w:t>
            </w:r>
            <w:r w:rsidRPr="00E03869">
              <w:rPr>
                <w:rFonts w:ascii="Arial" w:hAnsi="Arial" w:cs="Arial"/>
                <w:sz w:val="20"/>
                <w:lang w:val="en-AU"/>
              </w:rPr>
              <w:t xml:space="preserve">, it does not include </w:t>
            </w:r>
            <w:proofErr w:type="gramStart"/>
            <w:r w:rsidRPr="00E03869">
              <w:rPr>
                <w:rFonts w:ascii="Arial" w:hAnsi="Arial" w:cs="Arial"/>
                <w:sz w:val="20"/>
                <w:lang w:val="en-AU"/>
              </w:rPr>
              <w:t>all of</w:t>
            </w:r>
            <w:proofErr w:type="gramEnd"/>
            <w:r w:rsidRPr="00E03869">
              <w:rPr>
                <w:rFonts w:ascii="Arial" w:hAnsi="Arial" w:cs="Arial"/>
                <w:sz w:val="20"/>
                <w:lang w:val="en-AU"/>
              </w:rPr>
              <w:t xml:space="preserve"> these rights, such as the right to privacy. Nor does it include any of the rights set out in the International Covenant on Economic, Social and Cultural Rights, such as the right to health, education, and housing.</w:t>
            </w:r>
          </w:p>
        </w:tc>
      </w:tr>
      <w:tr w:rsidR="008D5955" w:rsidRPr="00E03869" w14:paraId="23CD57E6" w14:textId="77777777" w:rsidTr="00E03869">
        <w:trPr>
          <w:trHeight w:val="1089"/>
        </w:trPr>
        <w:tc>
          <w:tcPr>
            <w:tcW w:w="2203" w:type="dxa"/>
            <w:tcBorders>
              <w:right w:val="single" w:sz="4" w:space="0" w:color="auto"/>
            </w:tcBorders>
            <w:shd w:val="clear" w:color="auto" w:fill="D9E2F3" w:themeFill="accent1" w:themeFillTint="33"/>
          </w:tcPr>
          <w:p w14:paraId="3BC0E23D" w14:textId="52A45A7B" w:rsidR="008D5955" w:rsidRPr="00E03869" w:rsidRDefault="008D5955" w:rsidP="00E03869">
            <w:pPr>
              <w:pStyle w:val="ListParagraph"/>
              <w:spacing w:after="0" w:line="276" w:lineRule="auto"/>
              <w:ind w:left="0"/>
              <w:rPr>
                <w:rFonts w:ascii="Arial" w:hAnsi="Arial" w:cs="Arial"/>
                <w:b/>
                <w:sz w:val="20"/>
                <w:lang w:val="en-AU"/>
              </w:rPr>
            </w:pPr>
            <w:r w:rsidRPr="00E03869">
              <w:rPr>
                <w:rFonts w:ascii="Arial" w:hAnsi="Arial" w:cs="Arial"/>
                <w:b/>
                <w:sz w:val="20"/>
                <w:lang w:val="en-AU"/>
              </w:rPr>
              <w:t xml:space="preserve">Lack of </w:t>
            </w:r>
            <w:r w:rsidR="00E03869" w:rsidRPr="00E03869">
              <w:rPr>
                <w:rFonts w:ascii="Arial" w:hAnsi="Arial" w:cs="Arial"/>
                <w:b/>
                <w:sz w:val="20"/>
                <w:lang w:val="en-AU"/>
              </w:rPr>
              <w:t>c</w:t>
            </w:r>
            <w:r w:rsidRPr="00E03869">
              <w:rPr>
                <w:rFonts w:ascii="Arial" w:hAnsi="Arial" w:cs="Arial"/>
                <w:b/>
                <w:sz w:val="20"/>
                <w:lang w:val="en-AU"/>
              </w:rPr>
              <w:t xml:space="preserve">oordinated policy to meet </w:t>
            </w:r>
            <w:r w:rsidR="00E03869" w:rsidRPr="00E03869">
              <w:rPr>
                <w:rFonts w:ascii="Arial" w:hAnsi="Arial" w:cs="Arial"/>
                <w:b/>
                <w:sz w:val="20"/>
                <w:lang w:val="en-AU"/>
              </w:rPr>
              <w:t>the</w:t>
            </w:r>
            <w:r w:rsidRPr="00E03869">
              <w:rPr>
                <w:rFonts w:ascii="Arial" w:hAnsi="Arial" w:cs="Arial"/>
                <w:b/>
                <w:sz w:val="20"/>
                <w:lang w:val="en-AU"/>
              </w:rPr>
              <w:t xml:space="preserve"> Sustainable Development Goals </w:t>
            </w:r>
          </w:p>
        </w:tc>
        <w:tc>
          <w:tcPr>
            <w:tcW w:w="7721" w:type="dxa"/>
            <w:tcBorders>
              <w:left w:val="single" w:sz="4" w:space="0" w:color="auto"/>
            </w:tcBorders>
            <w:shd w:val="clear" w:color="auto" w:fill="D9E2F3" w:themeFill="accent1" w:themeFillTint="33"/>
          </w:tcPr>
          <w:p w14:paraId="71B40FC1" w14:textId="30F95BA6" w:rsidR="008D5955" w:rsidRPr="00E03869" w:rsidRDefault="008D5955" w:rsidP="00E03869">
            <w:pPr>
              <w:spacing w:after="0"/>
              <w:rPr>
                <w:rFonts w:ascii="Arial" w:hAnsi="Arial" w:cs="Arial"/>
                <w:sz w:val="20"/>
                <w:lang w:val="en-AU"/>
              </w:rPr>
            </w:pPr>
            <w:r w:rsidRPr="00E03869">
              <w:rPr>
                <w:rFonts w:ascii="Arial" w:hAnsi="Arial" w:cs="Arial"/>
                <w:sz w:val="20"/>
                <w:lang w:val="en-AU"/>
              </w:rPr>
              <w:t xml:space="preserve">The Commission welcomes the recent work of the Government towards the 2030 SDG Targets. This includes the development of an Indicator Framework and the submission of a Voluntary National Review report on SDG progress at the 2019 UN High Level Political Forum. The Commission considers that a high level, </w:t>
            </w:r>
            <w:r w:rsidR="00E03869" w:rsidRPr="00E03869">
              <w:rPr>
                <w:rFonts w:ascii="Arial" w:hAnsi="Arial" w:cs="Arial"/>
                <w:sz w:val="20"/>
                <w:lang w:val="en-AU"/>
              </w:rPr>
              <w:t>visible</w:t>
            </w:r>
            <w:r w:rsidRPr="00E03869">
              <w:rPr>
                <w:rFonts w:ascii="Arial" w:hAnsi="Arial" w:cs="Arial"/>
                <w:sz w:val="20"/>
                <w:lang w:val="en-AU"/>
              </w:rPr>
              <w:t xml:space="preserve"> political and policy commitment will be essential in ensuring that momentum towards meeting the 2030 targets is maintained.</w:t>
            </w:r>
          </w:p>
        </w:tc>
      </w:tr>
    </w:tbl>
    <w:p w14:paraId="2A27BA8C" w14:textId="7C4A67E2" w:rsidR="000805B1" w:rsidRDefault="000805B1" w:rsidP="00E03869">
      <w:pPr>
        <w:tabs>
          <w:tab w:val="left" w:pos="3857"/>
        </w:tabs>
        <w:rPr>
          <w:rFonts w:ascii="Arial" w:hAnsi="Arial" w:cs="Arial"/>
          <w:sz w:val="4"/>
          <w:lang w:val="en-AU"/>
        </w:rPr>
      </w:pPr>
    </w:p>
    <w:p w14:paraId="4D8053B8" w14:textId="77777777" w:rsidR="00E03869" w:rsidRPr="00E03869" w:rsidRDefault="00E03869" w:rsidP="00E03869">
      <w:pPr>
        <w:tabs>
          <w:tab w:val="left" w:pos="3857"/>
        </w:tabs>
        <w:rPr>
          <w:rFonts w:ascii="Arial" w:hAnsi="Arial" w:cs="Arial"/>
          <w:sz w:val="4"/>
          <w:lang w:val="en-AU"/>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442659" w:rsidRPr="00E03869" w14:paraId="2CC93118" w14:textId="77777777" w:rsidTr="00E03869">
        <w:trPr>
          <w:trHeight w:val="403"/>
        </w:trPr>
        <w:tc>
          <w:tcPr>
            <w:tcW w:w="9924" w:type="dxa"/>
            <w:shd w:val="clear" w:color="auto" w:fill="B4C6E7" w:themeFill="accent1" w:themeFillTint="66"/>
            <w:vAlign w:val="center"/>
          </w:tcPr>
          <w:p w14:paraId="512C5517" w14:textId="77777777" w:rsidR="00442659" w:rsidRPr="00E03869" w:rsidRDefault="00442659" w:rsidP="00E03869">
            <w:pPr>
              <w:tabs>
                <w:tab w:val="left" w:pos="3857"/>
              </w:tabs>
              <w:spacing w:after="0"/>
              <w:jc w:val="center"/>
              <w:rPr>
                <w:rFonts w:ascii="Arial" w:hAnsi="Arial" w:cs="Arial"/>
                <w:b/>
                <w:highlight w:val="yellow"/>
                <w:lang w:val="en-AU"/>
              </w:rPr>
            </w:pPr>
            <w:r w:rsidRPr="00E03869">
              <w:rPr>
                <w:rFonts w:ascii="Arial" w:hAnsi="Arial" w:cs="Arial"/>
                <w:b/>
                <w:color w:val="2F5496" w:themeColor="accent1" w:themeShade="BF"/>
                <w:lang w:val="en-AU"/>
              </w:rPr>
              <w:t>RECOMMENDATIONS</w:t>
            </w:r>
          </w:p>
        </w:tc>
      </w:tr>
      <w:tr w:rsidR="00A74633" w:rsidRPr="00E03869" w14:paraId="53621A29" w14:textId="77777777" w:rsidTr="00E03869">
        <w:trPr>
          <w:trHeight w:val="705"/>
        </w:trPr>
        <w:tc>
          <w:tcPr>
            <w:tcW w:w="9924" w:type="dxa"/>
            <w:shd w:val="clear" w:color="auto" w:fill="D9E2F3" w:themeFill="accent1" w:themeFillTint="33"/>
          </w:tcPr>
          <w:p w14:paraId="1EC27573" w14:textId="464AC02E" w:rsidR="00E66FD0" w:rsidRPr="00E03869" w:rsidRDefault="00E66FD0" w:rsidP="00E03869">
            <w:pPr>
              <w:numPr>
                <w:ilvl w:val="0"/>
                <w:numId w:val="4"/>
              </w:numPr>
              <w:autoSpaceDE w:val="0"/>
              <w:autoSpaceDN w:val="0"/>
              <w:adjustRightInd w:val="0"/>
              <w:spacing w:after="0"/>
              <w:jc w:val="both"/>
              <w:rPr>
                <w:rFonts w:ascii="Arial" w:hAnsi="Arial" w:cs="Arial"/>
                <w:sz w:val="20"/>
                <w:lang w:val="en-AU" w:eastAsia="fr-CH"/>
              </w:rPr>
            </w:pPr>
            <w:r w:rsidRPr="00E03869">
              <w:rPr>
                <w:rFonts w:ascii="Arial" w:hAnsi="Arial" w:cs="Arial"/>
                <w:bCs/>
                <w:sz w:val="20"/>
                <w:lang w:val="en-AU"/>
              </w:rPr>
              <w:t>Implement a standard human rights impact assessment process for assessing all prospective policies, and legislation for consistency with domestic and international human rights obligations.</w:t>
            </w:r>
          </w:p>
          <w:p w14:paraId="3CBB86CB" w14:textId="77777777" w:rsidR="00B87E00" w:rsidRPr="00E03869" w:rsidRDefault="00B87E00" w:rsidP="00E03869">
            <w:pPr>
              <w:autoSpaceDE w:val="0"/>
              <w:autoSpaceDN w:val="0"/>
              <w:adjustRightInd w:val="0"/>
              <w:spacing w:after="0"/>
              <w:jc w:val="both"/>
              <w:rPr>
                <w:rFonts w:ascii="Arial" w:hAnsi="Arial" w:cs="Arial"/>
                <w:sz w:val="10"/>
                <w:lang w:val="en-AU" w:eastAsia="fr-CH"/>
              </w:rPr>
            </w:pPr>
          </w:p>
          <w:p w14:paraId="69AD11B4" w14:textId="191FEE5F" w:rsidR="00E66FD0" w:rsidRPr="00E03869" w:rsidRDefault="006972E2" w:rsidP="00E03869">
            <w:pPr>
              <w:numPr>
                <w:ilvl w:val="0"/>
                <w:numId w:val="4"/>
              </w:numPr>
              <w:autoSpaceDE w:val="0"/>
              <w:autoSpaceDN w:val="0"/>
              <w:adjustRightInd w:val="0"/>
              <w:spacing w:after="0"/>
              <w:jc w:val="both"/>
              <w:rPr>
                <w:rFonts w:ascii="Arial" w:hAnsi="Arial" w:cs="Arial"/>
                <w:sz w:val="20"/>
                <w:lang w:val="en-AU" w:eastAsia="fr-CH"/>
              </w:rPr>
            </w:pPr>
            <w:r w:rsidRPr="00E03869">
              <w:rPr>
                <w:rFonts w:ascii="Arial" w:hAnsi="Arial" w:cs="Arial"/>
                <w:sz w:val="20"/>
                <w:lang w:val="en-AU"/>
              </w:rPr>
              <w:t xml:space="preserve">Implement the recommendations of the </w:t>
            </w:r>
            <w:r w:rsidR="00E03869" w:rsidRPr="00E03869">
              <w:rPr>
                <w:rFonts w:ascii="Arial" w:hAnsi="Arial" w:cs="Arial"/>
                <w:sz w:val="20"/>
                <w:lang w:val="en-AU"/>
              </w:rPr>
              <w:t>Constitutional</w:t>
            </w:r>
            <w:r w:rsidRPr="00E03869">
              <w:rPr>
                <w:rFonts w:ascii="Arial" w:hAnsi="Arial" w:cs="Arial"/>
                <w:sz w:val="20"/>
                <w:lang w:val="en-AU"/>
              </w:rPr>
              <w:t xml:space="preserve"> Advisory Panel to amend the New Zeala</w:t>
            </w:r>
            <w:r w:rsidR="00E03869">
              <w:rPr>
                <w:rFonts w:ascii="Arial" w:hAnsi="Arial" w:cs="Arial"/>
                <w:sz w:val="20"/>
                <w:lang w:val="en-AU"/>
              </w:rPr>
              <w:t>n</w:t>
            </w:r>
            <w:r w:rsidRPr="00E03869">
              <w:rPr>
                <w:rFonts w:ascii="Arial" w:hAnsi="Arial" w:cs="Arial"/>
                <w:sz w:val="20"/>
                <w:lang w:val="en-AU"/>
              </w:rPr>
              <w:t>d Bill of Rights Act 1990 to incorporate all rights in the International Covenant for Civil and Political Rights and the International Covenant for Economic, Social and Cultural Rights</w:t>
            </w:r>
            <w:r w:rsidR="00E66FD0" w:rsidRPr="00E03869">
              <w:rPr>
                <w:rFonts w:ascii="Arial" w:hAnsi="Arial" w:cs="Arial"/>
                <w:sz w:val="20"/>
                <w:lang w:val="en-AU"/>
              </w:rPr>
              <w:t>.</w:t>
            </w:r>
          </w:p>
          <w:p w14:paraId="7FED828D" w14:textId="77777777" w:rsidR="00B87E00" w:rsidRPr="00E03869" w:rsidRDefault="00B87E00" w:rsidP="00E03869">
            <w:pPr>
              <w:autoSpaceDE w:val="0"/>
              <w:autoSpaceDN w:val="0"/>
              <w:adjustRightInd w:val="0"/>
              <w:spacing w:after="0"/>
              <w:jc w:val="both"/>
              <w:rPr>
                <w:rFonts w:ascii="Arial" w:hAnsi="Arial" w:cs="Arial"/>
                <w:sz w:val="10"/>
                <w:lang w:val="en-AU" w:eastAsia="fr-CH"/>
              </w:rPr>
            </w:pPr>
          </w:p>
          <w:p w14:paraId="2F8D1B6E" w14:textId="77777777" w:rsidR="00AD524B" w:rsidRPr="00E03869" w:rsidRDefault="00E66FD0" w:rsidP="00E03869">
            <w:pPr>
              <w:numPr>
                <w:ilvl w:val="0"/>
                <w:numId w:val="4"/>
              </w:numPr>
              <w:autoSpaceDE w:val="0"/>
              <w:autoSpaceDN w:val="0"/>
              <w:adjustRightInd w:val="0"/>
              <w:spacing w:after="0"/>
              <w:jc w:val="both"/>
              <w:rPr>
                <w:rFonts w:ascii="Arial" w:hAnsi="Arial" w:cs="Arial"/>
                <w:lang w:val="en-AU" w:eastAsia="fr-CH"/>
              </w:rPr>
            </w:pPr>
            <w:r w:rsidRPr="00E03869">
              <w:rPr>
                <w:rFonts w:ascii="Arial" w:hAnsi="Arial" w:cs="Arial"/>
                <w:sz w:val="20"/>
                <w:lang w:val="en-AU"/>
              </w:rPr>
              <w:t xml:space="preserve">Appoint a lead Minister on the Sustainable Development Goals and take immediate steps towards implementing a cross-government policy and data strategy to meet New Zealand’s commitments under the SDGs. </w:t>
            </w:r>
          </w:p>
        </w:tc>
      </w:tr>
    </w:tbl>
    <w:p w14:paraId="75927081" w14:textId="29E00A7D" w:rsidR="00F9357B" w:rsidRPr="00E03869" w:rsidRDefault="00F9357B" w:rsidP="00E03869">
      <w:pPr>
        <w:tabs>
          <w:tab w:val="left" w:pos="3857"/>
        </w:tabs>
        <w:rPr>
          <w:rFonts w:ascii="Arial" w:hAnsi="Arial" w:cs="Arial"/>
          <w:lang w:val="en-AU"/>
        </w:rPr>
      </w:pPr>
    </w:p>
    <w:sectPr w:rsidR="00F9357B" w:rsidRPr="00E03869" w:rsidSect="000805B1">
      <w:headerReference w:type="default" r:id="rId8"/>
      <w:pgSz w:w="11906" w:h="16838"/>
      <w:pgMar w:top="1417" w:right="1417" w:bottom="1417" w:left="1417" w:header="708" w:footer="708" w:gutter="0"/>
      <w:cols w:space="708"/>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83BADE" w14:textId="77777777" w:rsidR="001023D2" w:rsidRDefault="001023D2" w:rsidP="00CE21AE">
      <w:pPr>
        <w:spacing w:after="0" w:line="240" w:lineRule="auto"/>
      </w:pPr>
      <w:r>
        <w:separator/>
      </w:r>
    </w:p>
  </w:endnote>
  <w:endnote w:type="continuationSeparator" w:id="0">
    <w:p w14:paraId="368CE5B1" w14:textId="77777777" w:rsidR="001023D2" w:rsidRDefault="001023D2" w:rsidP="00CE2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A96BCF" w14:textId="77777777" w:rsidR="001023D2" w:rsidRDefault="001023D2" w:rsidP="00CE21AE">
      <w:pPr>
        <w:spacing w:after="0" w:line="240" w:lineRule="auto"/>
      </w:pPr>
      <w:r>
        <w:separator/>
      </w:r>
    </w:p>
  </w:footnote>
  <w:footnote w:type="continuationSeparator" w:id="0">
    <w:p w14:paraId="4C2A089E" w14:textId="77777777" w:rsidR="001023D2" w:rsidRDefault="001023D2" w:rsidP="00CE2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F47F9" w14:textId="3CA0FCD3" w:rsidR="00051CBF" w:rsidRPr="00360813" w:rsidRDefault="009837FE">
    <w:pPr>
      <w:pStyle w:val="Header"/>
      <w:rPr>
        <w:rFonts w:ascii="Arial" w:hAnsi="Arial" w:cs="Arial"/>
        <w:b/>
        <w:color w:val="8EAADB" w:themeColor="accent1" w:themeTint="99"/>
        <w:lang w:val="en-GB"/>
      </w:rPr>
    </w:pPr>
    <w:r w:rsidRPr="00360813">
      <w:rPr>
        <w:rFonts w:ascii="Arial" w:hAnsi="Arial" w:cs="Arial"/>
        <w:b/>
        <w:noProof/>
        <w:color w:val="8EAADB" w:themeColor="accent1" w:themeTint="99"/>
        <w:lang w:val="en-GB"/>
      </w:rPr>
      <w:drawing>
        <wp:anchor distT="0" distB="0" distL="114300" distR="114300" simplePos="0" relativeHeight="251658240" behindDoc="1" locked="0" layoutInCell="1" allowOverlap="1" wp14:anchorId="1C61FB04" wp14:editId="308C5B27">
          <wp:simplePos x="0" y="0"/>
          <wp:positionH relativeFrom="column">
            <wp:posOffset>4348480</wp:posOffset>
          </wp:positionH>
          <wp:positionV relativeFrom="paragraph">
            <wp:posOffset>-85756</wp:posOffset>
          </wp:positionV>
          <wp:extent cx="1470660" cy="661035"/>
          <wp:effectExtent l="0" t="0" r="0" b="0"/>
          <wp:wrapTight wrapText="bothSides">
            <wp:wrapPolygon edited="0">
              <wp:start x="4104" y="1245"/>
              <wp:lineTo x="2798" y="2490"/>
              <wp:lineTo x="933" y="6225"/>
              <wp:lineTo x="933" y="13280"/>
              <wp:lineTo x="5223" y="15354"/>
              <wp:lineTo x="11005" y="15354"/>
              <wp:lineTo x="11192" y="19089"/>
              <wp:lineTo x="16974" y="19919"/>
              <wp:lineTo x="17720" y="19919"/>
              <wp:lineTo x="20518" y="18259"/>
              <wp:lineTo x="20332" y="15769"/>
              <wp:lineTo x="18839" y="15354"/>
              <wp:lineTo x="20332" y="13280"/>
              <wp:lineTo x="20145" y="5395"/>
              <wp:lineTo x="14549" y="2490"/>
              <wp:lineTo x="7834" y="1245"/>
              <wp:lineTo x="4104" y="1245"/>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C-Logo.png"/>
                  <pic:cNvPicPr/>
                </pic:nvPicPr>
                <pic:blipFill>
                  <a:blip r:embed="rId1">
                    <a:extLst>
                      <a:ext uri="{28A0092B-C50C-407E-A947-70E740481C1C}">
                        <a14:useLocalDpi xmlns:a14="http://schemas.microsoft.com/office/drawing/2010/main" val="0"/>
                      </a:ext>
                    </a:extLst>
                  </a:blip>
                  <a:stretch>
                    <a:fillRect/>
                  </a:stretch>
                </pic:blipFill>
                <pic:spPr>
                  <a:xfrm>
                    <a:off x="0" y="0"/>
                    <a:ext cx="1470660" cy="661035"/>
                  </a:xfrm>
                  <a:prstGeom prst="rect">
                    <a:avLst/>
                  </a:prstGeom>
                </pic:spPr>
              </pic:pic>
            </a:graphicData>
          </a:graphic>
          <wp14:sizeRelH relativeFrom="page">
            <wp14:pctWidth>0</wp14:pctWidth>
          </wp14:sizeRelH>
          <wp14:sizeRelV relativeFrom="page">
            <wp14:pctHeight>0</wp14:pctHeight>
          </wp14:sizeRelV>
        </wp:anchor>
      </w:drawing>
    </w:r>
    <w:r w:rsidR="00051CBF" w:rsidRPr="00360813">
      <w:rPr>
        <w:rFonts w:ascii="Arial" w:hAnsi="Arial" w:cs="Arial"/>
        <w:b/>
        <w:color w:val="8EAADB" w:themeColor="accent1" w:themeTint="99"/>
        <w:lang w:val="en-GB"/>
      </w:rPr>
      <w:t>FACTSHEET – UPR 201</w:t>
    </w:r>
    <w:r w:rsidR="00DC0179" w:rsidRPr="00360813">
      <w:rPr>
        <w:rFonts w:ascii="Arial" w:hAnsi="Arial" w:cs="Arial"/>
        <w:b/>
        <w:color w:val="8EAADB" w:themeColor="accent1" w:themeTint="99"/>
        <w:lang w:val="en-GB"/>
      </w:rPr>
      <w:t>8</w:t>
    </w:r>
    <w:r w:rsidR="00051CBF" w:rsidRPr="00360813">
      <w:rPr>
        <w:rFonts w:ascii="Arial" w:hAnsi="Arial" w:cs="Arial"/>
        <w:b/>
        <w:color w:val="8EAADB" w:themeColor="accent1" w:themeTint="99"/>
        <w:lang w:val="en-GB"/>
      </w:rPr>
      <w:t xml:space="preserve"> – </w:t>
    </w:r>
    <w:r w:rsidR="00DC0179" w:rsidRPr="00360813">
      <w:rPr>
        <w:rFonts w:ascii="Arial" w:hAnsi="Arial" w:cs="Arial"/>
        <w:b/>
        <w:color w:val="8EAADB" w:themeColor="accent1" w:themeTint="99"/>
        <w:lang w:val="en-GB"/>
      </w:rPr>
      <w:t>New Zealand</w:t>
    </w:r>
    <w:r w:rsidR="00051CBF" w:rsidRPr="00360813">
      <w:rPr>
        <w:rFonts w:ascii="Arial" w:hAnsi="Arial" w:cs="Arial"/>
        <w:b/>
        <w:color w:val="8EAADB" w:themeColor="accent1" w:themeTint="99"/>
        <w:lang w:val="en-GB"/>
      </w:rPr>
      <w:tab/>
    </w:r>
    <w:r w:rsidR="00051CBF" w:rsidRPr="00360813">
      <w:rPr>
        <w:rFonts w:ascii="Arial" w:hAnsi="Arial" w:cs="Arial"/>
        <w:b/>
        <w:color w:val="8EAADB" w:themeColor="accent1" w:themeTint="99"/>
        <w:lang w:val="en-GB"/>
      </w:rPr>
      <w:tab/>
    </w:r>
  </w:p>
  <w:p w14:paraId="0D18D6BB" w14:textId="77777777" w:rsidR="00051CBF" w:rsidRPr="00360813" w:rsidRDefault="00051CBF">
    <w:pPr>
      <w:pStyle w:val="Header"/>
      <w:rPr>
        <w:rFonts w:ascii="Arial" w:hAnsi="Arial" w:cs="Arial"/>
        <w:b/>
        <w:color w:val="8EAADB" w:themeColor="accent1" w:themeTint="99"/>
      </w:rPr>
    </w:pPr>
    <w:r w:rsidRPr="00360813">
      <w:rPr>
        <w:rFonts w:ascii="Arial" w:hAnsi="Arial" w:cs="Arial"/>
        <w:b/>
        <w:color w:val="8EAADB" w:themeColor="accent1" w:themeTint="99"/>
      </w:rPr>
      <w:t>3rd CYCLE UNIVERSAL PERIODIC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B3D"/>
    <w:multiLevelType w:val="hybridMultilevel"/>
    <w:tmpl w:val="DF02E8D0"/>
    <w:lvl w:ilvl="0" w:tplc="BE486190">
      <w:start w:val="1"/>
      <w:numFmt w:val="decimal"/>
      <w:lvlText w:val="%1."/>
      <w:lvlJc w:val="left"/>
      <w:pPr>
        <w:ind w:left="397" w:hanging="397"/>
      </w:pPr>
      <w:rPr>
        <w:rFonts w:hint="default"/>
        <w:b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3657725F"/>
    <w:multiLevelType w:val="hybridMultilevel"/>
    <w:tmpl w:val="E7FC3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FE667DA"/>
    <w:multiLevelType w:val="hybridMultilevel"/>
    <w:tmpl w:val="CDA261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B1912D0"/>
    <w:multiLevelType w:val="hybridMultilevel"/>
    <w:tmpl w:val="B0DC9D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6E2181D"/>
    <w:multiLevelType w:val="hybridMultilevel"/>
    <w:tmpl w:val="53DE05C8"/>
    <w:lvl w:ilvl="0" w:tplc="303CCA80">
      <w:start w:val="1"/>
      <w:numFmt w:val="decimal"/>
      <w:lvlText w:val="%1."/>
      <w:lvlJc w:val="left"/>
      <w:pPr>
        <w:ind w:left="720" w:hanging="360"/>
      </w:pPr>
      <w:rPr>
        <w:color w:val="auto"/>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79726A77"/>
    <w:multiLevelType w:val="hybridMultilevel"/>
    <w:tmpl w:val="74EE35C4"/>
    <w:lvl w:ilvl="0" w:tplc="27A2CB9C">
      <w:start w:val="1"/>
      <w:numFmt w:val="decimal"/>
      <w:lvlText w:val="%1."/>
      <w:lvlJc w:val="left"/>
      <w:pPr>
        <w:ind w:left="360" w:hanging="360"/>
      </w:pPr>
      <w:rPr>
        <w:rFonts w:hint="default"/>
        <w:i w:val="0"/>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fr-CH"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4096" w:nlCheck="1" w:checkStyle="0"/>
  <w:activeWritingStyle w:appName="MSWord" w:lang="fr-CH" w:vendorID="64" w:dllVersion="0" w:nlCheck="1" w:checkStyle="0"/>
  <w:activeWritingStyle w:appName="MSWord" w:lang="en-AU" w:vendorID="64" w:dllVersion="0" w:nlCheck="1" w:checkStyle="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CC"/>
    <w:rsid w:val="0000708F"/>
    <w:rsid w:val="00051CBF"/>
    <w:rsid w:val="00066BBF"/>
    <w:rsid w:val="000805B1"/>
    <w:rsid w:val="000816D1"/>
    <w:rsid w:val="000E5591"/>
    <w:rsid w:val="000F3DE7"/>
    <w:rsid w:val="001023D2"/>
    <w:rsid w:val="001052FC"/>
    <w:rsid w:val="00142B06"/>
    <w:rsid w:val="001D4C10"/>
    <w:rsid w:val="001D60AB"/>
    <w:rsid w:val="00220575"/>
    <w:rsid w:val="00271AF6"/>
    <w:rsid w:val="002F24DE"/>
    <w:rsid w:val="003323CC"/>
    <w:rsid w:val="0035058B"/>
    <w:rsid w:val="003505B6"/>
    <w:rsid w:val="00360813"/>
    <w:rsid w:val="00373F33"/>
    <w:rsid w:val="00415733"/>
    <w:rsid w:val="00442659"/>
    <w:rsid w:val="004602CB"/>
    <w:rsid w:val="004D5301"/>
    <w:rsid w:val="004E1791"/>
    <w:rsid w:val="00555822"/>
    <w:rsid w:val="00563DF9"/>
    <w:rsid w:val="005826A0"/>
    <w:rsid w:val="005F1761"/>
    <w:rsid w:val="00623AA4"/>
    <w:rsid w:val="00641C8F"/>
    <w:rsid w:val="00675A5D"/>
    <w:rsid w:val="006823A7"/>
    <w:rsid w:val="00685D1B"/>
    <w:rsid w:val="006972C0"/>
    <w:rsid w:val="006972E2"/>
    <w:rsid w:val="00712C22"/>
    <w:rsid w:val="0072023C"/>
    <w:rsid w:val="00740703"/>
    <w:rsid w:val="00755E55"/>
    <w:rsid w:val="00767CF9"/>
    <w:rsid w:val="007B1AC0"/>
    <w:rsid w:val="007C169E"/>
    <w:rsid w:val="007C4C5A"/>
    <w:rsid w:val="00836FEF"/>
    <w:rsid w:val="0084114E"/>
    <w:rsid w:val="008D5955"/>
    <w:rsid w:val="0091249E"/>
    <w:rsid w:val="00975B66"/>
    <w:rsid w:val="009837FE"/>
    <w:rsid w:val="009A7582"/>
    <w:rsid w:val="00A55A75"/>
    <w:rsid w:val="00A66BB6"/>
    <w:rsid w:val="00A74633"/>
    <w:rsid w:val="00A82D7F"/>
    <w:rsid w:val="00A909E1"/>
    <w:rsid w:val="00AD524B"/>
    <w:rsid w:val="00AE432B"/>
    <w:rsid w:val="00AF2B3C"/>
    <w:rsid w:val="00B247F9"/>
    <w:rsid w:val="00B70547"/>
    <w:rsid w:val="00B87E00"/>
    <w:rsid w:val="00B87EE9"/>
    <w:rsid w:val="00BC6180"/>
    <w:rsid w:val="00BE3ACC"/>
    <w:rsid w:val="00BE3D11"/>
    <w:rsid w:val="00BF6A2E"/>
    <w:rsid w:val="00C30530"/>
    <w:rsid w:val="00C31E70"/>
    <w:rsid w:val="00C54924"/>
    <w:rsid w:val="00C65709"/>
    <w:rsid w:val="00CC18BA"/>
    <w:rsid w:val="00CC319C"/>
    <w:rsid w:val="00CC69EC"/>
    <w:rsid w:val="00CD0A50"/>
    <w:rsid w:val="00CE21AE"/>
    <w:rsid w:val="00D11387"/>
    <w:rsid w:val="00D12471"/>
    <w:rsid w:val="00D154B0"/>
    <w:rsid w:val="00D40753"/>
    <w:rsid w:val="00D44439"/>
    <w:rsid w:val="00D74EA5"/>
    <w:rsid w:val="00DA2540"/>
    <w:rsid w:val="00DA668D"/>
    <w:rsid w:val="00DC0179"/>
    <w:rsid w:val="00E03869"/>
    <w:rsid w:val="00E6292F"/>
    <w:rsid w:val="00E66FD0"/>
    <w:rsid w:val="00E7372A"/>
    <w:rsid w:val="00E76453"/>
    <w:rsid w:val="00F9357B"/>
    <w:rsid w:val="00F95E3F"/>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32817"/>
  <w15:chartTrackingRefBased/>
  <w15:docId w15:val="{21812B1C-CD5B-4A47-B195-2DF6A4B9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05B1"/>
    <w:pPr>
      <w:spacing w:after="200" w:line="276" w:lineRule="auto"/>
    </w:pPr>
    <w:rPr>
      <w:sz w:val="22"/>
      <w:szCs w:val="22"/>
      <w:lang w:val="fr-CH"/>
    </w:rPr>
  </w:style>
  <w:style w:type="paragraph" w:styleId="Heading1">
    <w:name w:val="heading 1"/>
    <w:basedOn w:val="Normal"/>
    <w:next w:val="Normal"/>
    <w:link w:val="Heading1Char"/>
    <w:uiPriority w:val="9"/>
    <w:qFormat/>
    <w:rsid w:val="009837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1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21AE"/>
  </w:style>
  <w:style w:type="paragraph" w:styleId="Footer">
    <w:name w:val="footer"/>
    <w:basedOn w:val="Normal"/>
    <w:link w:val="FooterChar"/>
    <w:uiPriority w:val="99"/>
    <w:unhideWhenUsed/>
    <w:rsid w:val="00CE21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21AE"/>
  </w:style>
  <w:style w:type="table" w:styleId="TableGrid">
    <w:name w:val="Table Grid"/>
    <w:basedOn w:val="TableNormal"/>
    <w:uiPriority w:val="59"/>
    <w:rsid w:val="00CE2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1A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21AE"/>
    <w:rPr>
      <w:rFonts w:ascii="Tahoma" w:hAnsi="Tahoma" w:cs="Tahoma"/>
      <w:sz w:val="16"/>
      <w:szCs w:val="16"/>
    </w:rPr>
  </w:style>
  <w:style w:type="paragraph" w:styleId="ListParagraph">
    <w:name w:val="List Paragraph"/>
    <w:basedOn w:val="Normal"/>
    <w:link w:val="ListParagraphChar"/>
    <w:uiPriority w:val="34"/>
    <w:qFormat/>
    <w:rsid w:val="00AE432B"/>
    <w:pPr>
      <w:spacing w:after="160" w:line="259" w:lineRule="auto"/>
      <w:ind w:left="720"/>
      <w:contextualSpacing/>
    </w:pPr>
    <w:rPr>
      <w:lang w:val="en-NZ"/>
    </w:rPr>
  </w:style>
  <w:style w:type="character" w:styleId="Hyperlink">
    <w:name w:val="Hyperlink"/>
    <w:uiPriority w:val="99"/>
    <w:unhideWhenUsed/>
    <w:rsid w:val="006972E2"/>
    <w:rPr>
      <w:color w:val="0563C1"/>
      <w:u w:val="single"/>
    </w:rPr>
  </w:style>
  <w:style w:type="character" w:customStyle="1" w:styleId="ListParagraphChar">
    <w:name w:val="List Paragraph Char"/>
    <w:link w:val="ListParagraph"/>
    <w:uiPriority w:val="34"/>
    <w:locked/>
    <w:rsid w:val="006972E2"/>
    <w:rPr>
      <w:sz w:val="22"/>
      <w:szCs w:val="22"/>
      <w:lang w:eastAsia="en-US"/>
    </w:rPr>
  </w:style>
  <w:style w:type="paragraph" w:styleId="EndnoteText">
    <w:name w:val="endnote text"/>
    <w:basedOn w:val="Normal"/>
    <w:link w:val="EndnoteTextChar"/>
    <w:uiPriority w:val="99"/>
    <w:semiHidden/>
    <w:unhideWhenUsed/>
    <w:rsid w:val="006972E2"/>
    <w:pPr>
      <w:spacing w:after="0" w:line="240" w:lineRule="auto"/>
    </w:pPr>
    <w:rPr>
      <w:rFonts w:cs="Calibri"/>
      <w:sz w:val="20"/>
      <w:szCs w:val="20"/>
      <w:lang w:val="en-NZ"/>
    </w:rPr>
  </w:style>
  <w:style w:type="character" w:customStyle="1" w:styleId="EndnoteTextChar">
    <w:name w:val="Endnote Text Char"/>
    <w:link w:val="EndnoteText"/>
    <w:uiPriority w:val="99"/>
    <w:semiHidden/>
    <w:rsid w:val="006972E2"/>
    <w:rPr>
      <w:rFonts w:cs="Calibri"/>
      <w:lang w:eastAsia="en-US"/>
    </w:rPr>
  </w:style>
  <w:style w:type="character" w:styleId="EndnoteReference">
    <w:name w:val="endnote reference"/>
    <w:uiPriority w:val="99"/>
    <w:semiHidden/>
    <w:unhideWhenUsed/>
    <w:rsid w:val="006972E2"/>
    <w:rPr>
      <w:vertAlign w:val="superscript"/>
    </w:rPr>
  </w:style>
  <w:style w:type="paragraph" w:styleId="Title">
    <w:name w:val="Title"/>
    <w:basedOn w:val="Normal"/>
    <w:next w:val="Normal"/>
    <w:link w:val="TitleChar"/>
    <w:uiPriority w:val="10"/>
    <w:qFormat/>
    <w:rsid w:val="009837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7FE"/>
    <w:rPr>
      <w:rFonts w:asciiTheme="majorHAnsi" w:eastAsiaTheme="majorEastAsia" w:hAnsiTheme="majorHAnsi" w:cstheme="majorBidi"/>
      <w:spacing w:val="-10"/>
      <w:kern w:val="28"/>
      <w:sz w:val="56"/>
      <w:szCs w:val="56"/>
      <w:lang w:val="fr-CH"/>
    </w:rPr>
  </w:style>
  <w:style w:type="character" w:customStyle="1" w:styleId="Heading1Char">
    <w:name w:val="Heading 1 Char"/>
    <w:basedOn w:val="DefaultParagraphFont"/>
    <w:link w:val="Heading1"/>
    <w:uiPriority w:val="9"/>
    <w:rsid w:val="009837FE"/>
    <w:rPr>
      <w:rFonts w:asciiTheme="majorHAnsi" w:eastAsiaTheme="majorEastAsia" w:hAnsiTheme="majorHAnsi" w:cstheme="majorBidi"/>
      <w:color w:val="2F5496" w:themeColor="accent1" w:themeShade="BF"/>
      <w:sz w:val="32"/>
      <w:szCs w:val="32"/>
      <w:lang w:val="fr-CH"/>
    </w:rPr>
  </w:style>
  <w:style w:type="paragraph" w:styleId="FootnoteText">
    <w:name w:val="footnote text"/>
    <w:basedOn w:val="Normal"/>
    <w:link w:val="FootnoteTextChar"/>
    <w:uiPriority w:val="99"/>
    <w:semiHidden/>
    <w:unhideWhenUsed/>
    <w:rsid w:val="00B87E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7E00"/>
    <w:rPr>
      <w:lang w:val="fr-CH"/>
    </w:rPr>
  </w:style>
  <w:style w:type="character" w:styleId="FootnoteReference">
    <w:name w:val="footnote reference"/>
    <w:basedOn w:val="DefaultParagraphFont"/>
    <w:uiPriority w:val="99"/>
    <w:semiHidden/>
    <w:unhideWhenUsed/>
    <w:rsid w:val="00B87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9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Synobox\BNHRA%20Follow-up\Sri%20Lanka\Step%202%2001\Sri%20Lanka%20UPR%20Advocacy%20Factshee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19C18-17AF-4552-9EB7-454CBBF6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Sri Lanka UPR Advocacy Factsheets</Template>
  <TotalTime>17</TotalTime>
  <Pages>1</Pages>
  <Words>478</Words>
  <Characters>2728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3200</CharactersWithSpaces>
  <SharedDoc>false</SharedDoc>
  <HLinks>
    <vt:vector size="6" baseType="variant">
      <vt:variant>
        <vt:i4>65559</vt:i4>
      </vt:variant>
      <vt:variant>
        <vt:i4>0</vt:i4>
      </vt:variant>
      <vt:variant>
        <vt:i4>0</vt:i4>
      </vt:variant>
      <vt:variant>
        <vt:i4>5</vt:i4>
      </vt:variant>
      <vt:variant>
        <vt:lpwstr>https://www.msd.govt.nz/about-msd-and-our-work/publications-resources/resources/child-impact-assessment.html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cp:lastModifiedBy>Eleanor Vermunt</cp:lastModifiedBy>
  <cp:revision>2</cp:revision>
  <cp:lastPrinted>2018-10-25T05:14:00Z</cp:lastPrinted>
  <dcterms:created xsi:type="dcterms:W3CDTF">2018-10-25T05:31:00Z</dcterms:created>
  <dcterms:modified xsi:type="dcterms:W3CDTF">2018-10-25T05:31:00Z</dcterms:modified>
</cp:coreProperties>
</file>