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EF6A" w14:textId="77777777" w:rsidR="0005728E" w:rsidRPr="0009348F" w:rsidRDefault="008D54E7" w:rsidP="0005728E">
      <w:pPr>
        <w:rPr>
          <w:rFonts w:cs="Calibri"/>
          <w:lang w:val="en-GB"/>
        </w:rPr>
      </w:pPr>
      <w:bookmarkStart w:id="0" w:name="_GoBack"/>
      <w:bookmarkEnd w:id="0"/>
      <w:r w:rsidRPr="0009348F">
        <w:rPr>
          <w:noProof/>
        </w:rPr>
        <w:drawing>
          <wp:anchor distT="0" distB="0" distL="114300" distR="114300" simplePos="0" relativeHeight="251659264" behindDoc="1" locked="1" layoutInCell="1" allowOverlap="1" wp14:anchorId="14BD6416" wp14:editId="40B56287">
            <wp:simplePos x="0" y="0"/>
            <wp:positionH relativeFrom="page">
              <wp:posOffset>4838700</wp:posOffset>
            </wp:positionH>
            <wp:positionV relativeFrom="page">
              <wp:posOffset>650875</wp:posOffset>
            </wp:positionV>
            <wp:extent cx="2127250" cy="719455"/>
            <wp:effectExtent l="0" t="0" r="6350" b="4445"/>
            <wp:wrapTight wrapText="bothSides">
              <wp:wrapPolygon edited="0">
                <wp:start x="0" y="0"/>
                <wp:lineTo x="0" y="21162"/>
                <wp:lineTo x="21471" y="21162"/>
                <wp:lineTo x="21471" y="0"/>
                <wp:lineTo x="0" y="0"/>
              </wp:wrapPolygon>
            </wp:wrapTight>
            <wp:docPr id="4" name="Picture 4" descr="WCM_Leg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M_Legal_Logo"/>
                    <pic:cNvPicPr>
                      <a:picLocks noChangeAspect="1" noChangeArrowheads="1"/>
                    </pic:cNvPicPr>
                  </pic:nvPicPr>
                  <pic:blipFill>
                    <a:blip r:embed="rId7" cstate="print">
                      <a:extLst>
                        <a:ext uri="{28A0092B-C50C-407E-A947-70E740481C1C}">
                          <a14:useLocalDpi xmlns:a14="http://schemas.microsoft.com/office/drawing/2010/main" val="0"/>
                        </a:ext>
                      </a:extLst>
                    </a:blip>
                    <a:srcRect l="3535" r="2962"/>
                    <a:stretch>
                      <a:fillRect/>
                    </a:stretch>
                  </pic:blipFill>
                  <pic:spPr bwMode="auto">
                    <a:xfrm>
                      <a:off x="0" y="0"/>
                      <a:ext cx="212725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D9B1E" w14:textId="77777777" w:rsidR="008D54E7" w:rsidRPr="0009348F" w:rsidRDefault="008D54E7" w:rsidP="0005728E">
      <w:pPr>
        <w:rPr>
          <w:rFonts w:cs="Calibri"/>
          <w:b/>
          <w:sz w:val="24"/>
          <w:lang w:val="en-GB"/>
        </w:rPr>
      </w:pPr>
    </w:p>
    <w:p w14:paraId="56A47DB4" w14:textId="77777777" w:rsidR="008D54E7" w:rsidRPr="0009348F" w:rsidRDefault="008D54E7" w:rsidP="0005728E">
      <w:pPr>
        <w:rPr>
          <w:rFonts w:cs="Calibri"/>
          <w:b/>
          <w:sz w:val="24"/>
          <w:lang w:val="en-GB"/>
        </w:rPr>
      </w:pPr>
    </w:p>
    <w:p w14:paraId="7F7737E1" w14:textId="77777777" w:rsidR="0005728E" w:rsidRPr="0009348F" w:rsidRDefault="006973D8" w:rsidP="0005728E">
      <w:pPr>
        <w:rPr>
          <w:rFonts w:cs="Calibri"/>
          <w:b/>
          <w:i/>
          <w:sz w:val="24"/>
          <w:lang w:val="en-GB"/>
        </w:rPr>
      </w:pPr>
      <w:r w:rsidRPr="0009348F">
        <w:rPr>
          <w:rFonts w:cs="Calibri"/>
          <w:b/>
          <w:sz w:val="24"/>
          <w:lang w:val="en-GB"/>
        </w:rPr>
        <w:t xml:space="preserve">The UNGP Protect, Respect and Remedy Framework as a Best </w:t>
      </w:r>
      <w:r w:rsidR="00ED63B3" w:rsidRPr="0009348F">
        <w:rPr>
          <w:rFonts w:cs="Calibri"/>
          <w:b/>
          <w:sz w:val="24"/>
          <w:lang w:val="en-GB"/>
        </w:rPr>
        <w:t>Practice</w:t>
      </w:r>
      <w:r w:rsidRPr="0009348F">
        <w:rPr>
          <w:rFonts w:cs="Calibri"/>
          <w:b/>
          <w:sz w:val="24"/>
          <w:lang w:val="en-GB"/>
        </w:rPr>
        <w:t xml:space="preserve"> Model for Dispute Resolution in the Context of Natural Disasters</w:t>
      </w:r>
    </w:p>
    <w:p w14:paraId="1BA7BC9C" w14:textId="77777777" w:rsidR="0005728E" w:rsidRPr="0009348F" w:rsidRDefault="0005728E" w:rsidP="0005728E">
      <w:pPr>
        <w:spacing w:after="0" w:line="240" w:lineRule="auto"/>
        <w:jc w:val="center"/>
        <w:rPr>
          <w:rFonts w:cs="Calibri"/>
          <w:lang w:val="en-G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05728E" w:rsidRPr="0009348F" w14:paraId="23E654FE" w14:textId="77777777" w:rsidTr="00F325CA">
        <w:trPr>
          <w:trHeight w:val="429"/>
        </w:trPr>
        <w:tc>
          <w:tcPr>
            <w:tcW w:w="9924" w:type="dxa"/>
          </w:tcPr>
          <w:p w14:paraId="0CFB688B" w14:textId="77777777" w:rsidR="0005728E" w:rsidRPr="0009348F" w:rsidRDefault="0005728E" w:rsidP="00F325CA">
            <w:pPr>
              <w:spacing w:after="0" w:line="240" w:lineRule="auto"/>
              <w:jc w:val="center"/>
              <w:rPr>
                <w:rFonts w:cs="Calibri"/>
                <w:b/>
                <w:lang w:val="en-GB"/>
              </w:rPr>
            </w:pPr>
            <w:r w:rsidRPr="0009348F">
              <w:rPr>
                <w:rFonts w:cs="Calibri"/>
                <w:b/>
                <w:lang w:val="en-GB"/>
              </w:rPr>
              <w:t>SUMMARY OF KEY ISSUES FROM PREVIOUS UPR CYCLES</w:t>
            </w:r>
          </w:p>
        </w:tc>
      </w:tr>
      <w:tr w:rsidR="0005728E" w:rsidRPr="0009348F" w14:paraId="72E8E30D" w14:textId="77777777" w:rsidTr="00F325CA">
        <w:trPr>
          <w:trHeight w:val="836"/>
        </w:trPr>
        <w:tc>
          <w:tcPr>
            <w:tcW w:w="9924" w:type="dxa"/>
          </w:tcPr>
          <w:p w14:paraId="56576C77" w14:textId="77777777" w:rsidR="0005728E" w:rsidRPr="0009348F" w:rsidRDefault="006973D8" w:rsidP="006973D8">
            <w:pPr>
              <w:tabs>
                <w:tab w:val="left" w:pos="1483"/>
              </w:tabs>
              <w:spacing w:after="0" w:line="240" w:lineRule="auto"/>
              <w:rPr>
                <w:rFonts w:cs="Calibri"/>
                <w:lang w:val="en-GB"/>
              </w:rPr>
            </w:pPr>
            <w:r w:rsidRPr="0009348F">
              <w:rPr>
                <w:rFonts w:cs="Calibri"/>
                <w:lang w:val="en-GB"/>
              </w:rPr>
              <w:t xml:space="preserve">“Speed up the rebuilding and compensation process in the aftermath of the Canterbury earthquakes </w:t>
            </w:r>
            <w:proofErr w:type="gramStart"/>
            <w:r w:rsidRPr="0009348F">
              <w:rPr>
                <w:rFonts w:cs="Calibri"/>
                <w:lang w:val="en-GB"/>
              </w:rPr>
              <w:t>“ (</w:t>
            </w:r>
            <w:proofErr w:type="gramEnd"/>
            <w:r w:rsidRPr="0009348F">
              <w:rPr>
                <w:rFonts w:cs="Calibri"/>
                <w:lang w:val="en-GB"/>
              </w:rPr>
              <w:t>Germany).  “Facilitate the realization of economic, social and cultural rights through the reconstruction of the areas affected by earthquakes in 2010 and 2011” (Algeria).  In other words, make better progress on rebuild and recovery efforts.</w:t>
            </w:r>
          </w:p>
        </w:tc>
      </w:tr>
    </w:tbl>
    <w:p w14:paraId="6B5B510C" w14:textId="77777777" w:rsidR="0005728E" w:rsidRPr="0009348F" w:rsidRDefault="0005728E" w:rsidP="0005728E">
      <w:pPr>
        <w:spacing w:after="0" w:line="240" w:lineRule="auto"/>
        <w:jc w:val="center"/>
        <w:rPr>
          <w:rFonts w:cs="Calibri"/>
          <w:lang w:val="en-GB"/>
        </w:rPr>
      </w:pPr>
    </w:p>
    <w:p w14:paraId="294125C8" w14:textId="77777777" w:rsidR="0005728E" w:rsidRPr="0009348F" w:rsidRDefault="0005728E" w:rsidP="0005728E">
      <w:pPr>
        <w:spacing w:after="0" w:line="240" w:lineRule="auto"/>
        <w:jc w:val="center"/>
        <w:rPr>
          <w:rFonts w:cs="Calibri"/>
          <w:lang w:val="en-G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05728E" w:rsidRPr="0009348F" w14:paraId="6B5FBBAB" w14:textId="77777777" w:rsidTr="00F325CA">
        <w:trPr>
          <w:trHeight w:val="352"/>
        </w:trPr>
        <w:tc>
          <w:tcPr>
            <w:tcW w:w="9924" w:type="dxa"/>
          </w:tcPr>
          <w:p w14:paraId="43533D34" w14:textId="77777777" w:rsidR="0005728E" w:rsidRPr="0009348F" w:rsidRDefault="0005728E" w:rsidP="00F325CA">
            <w:pPr>
              <w:spacing w:after="0" w:line="240" w:lineRule="auto"/>
              <w:jc w:val="center"/>
              <w:rPr>
                <w:rFonts w:cs="Calibri"/>
                <w:b/>
                <w:lang w:val="en-GB"/>
              </w:rPr>
            </w:pPr>
            <w:r w:rsidRPr="0009348F">
              <w:rPr>
                <w:rFonts w:cs="Calibri"/>
                <w:b/>
                <w:lang w:val="en-GB"/>
              </w:rPr>
              <w:t>NATIONAL FRAMEWORK</w:t>
            </w:r>
          </w:p>
        </w:tc>
      </w:tr>
      <w:tr w:rsidR="0005728E" w:rsidRPr="0009348F" w14:paraId="342B7420" w14:textId="77777777" w:rsidTr="00F325CA">
        <w:trPr>
          <w:trHeight w:val="489"/>
        </w:trPr>
        <w:tc>
          <w:tcPr>
            <w:tcW w:w="9924" w:type="dxa"/>
          </w:tcPr>
          <w:p w14:paraId="52AF8FC6" w14:textId="77777777" w:rsidR="0005728E" w:rsidRPr="0009348F" w:rsidRDefault="006973D8" w:rsidP="006973D8">
            <w:pPr>
              <w:autoSpaceDE w:val="0"/>
              <w:autoSpaceDN w:val="0"/>
              <w:adjustRightInd w:val="0"/>
              <w:spacing w:after="0" w:line="240" w:lineRule="auto"/>
              <w:rPr>
                <w:rFonts w:cs="Calibri"/>
                <w:lang w:val="en-GB"/>
              </w:rPr>
            </w:pPr>
            <w:r w:rsidRPr="0009348F">
              <w:rPr>
                <w:rFonts w:cs="Calibri"/>
                <w:lang w:val="en-GB"/>
              </w:rPr>
              <w:t xml:space="preserve">There is no national framework.  EQC’s obligations are governed by the Earthquake Commission Act 1993.  The obligations of private insurers are governed by contracts of insurance which provided for full insurance cover.  </w:t>
            </w:r>
            <w:r w:rsidR="00C84154">
              <w:rPr>
                <w:rFonts w:cs="Calibri"/>
                <w:lang w:val="en-GB"/>
              </w:rPr>
              <w:t>I</w:t>
            </w:r>
            <w:r w:rsidRPr="0009348F">
              <w:rPr>
                <w:rFonts w:cs="Calibri"/>
                <w:lang w:val="en-GB"/>
              </w:rPr>
              <w:t xml:space="preserve">nsurers </w:t>
            </w:r>
            <w:r w:rsidR="00C84154">
              <w:rPr>
                <w:rFonts w:cs="Calibri"/>
                <w:lang w:val="en-GB"/>
              </w:rPr>
              <w:t>have adopted a system of self-regulation and are generally expected to</w:t>
            </w:r>
            <w:r w:rsidRPr="0009348F">
              <w:rPr>
                <w:rFonts w:cs="Calibri"/>
                <w:lang w:val="en-GB"/>
              </w:rPr>
              <w:t xml:space="preserve"> comply with </w:t>
            </w:r>
            <w:r w:rsidR="00C84154">
              <w:rPr>
                <w:rFonts w:cs="Calibri"/>
                <w:lang w:val="en-GB"/>
              </w:rPr>
              <w:t>minimum standards contained in the Fair Insurance Code 2016.</w:t>
            </w:r>
          </w:p>
        </w:tc>
      </w:tr>
    </w:tbl>
    <w:p w14:paraId="0212B743" w14:textId="77777777" w:rsidR="0005728E" w:rsidRPr="0009348F" w:rsidRDefault="0005728E" w:rsidP="0005728E">
      <w:pPr>
        <w:spacing w:after="0" w:line="240" w:lineRule="auto"/>
        <w:jc w:val="center"/>
        <w:rPr>
          <w:rFonts w:cs="Calibri"/>
          <w:lang w:val="en-GB"/>
        </w:rPr>
      </w:pPr>
    </w:p>
    <w:p w14:paraId="230D2B55" w14:textId="77777777" w:rsidR="0005728E" w:rsidRPr="0009348F" w:rsidRDefault="0005728E" w:rsidP="0005728E">
      <w:pPr>
        <w:spacing w:after="0" w:line="240" w:lineRule="auto"/>
        <w:jc w:val="center"/>
        <w:rPr>
          <w:rFonts w:cs="Calibri"/>
          <w:lang w:val="en-G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5000"/>
      </w:tblGrid>
      <w:tr w:rsidR="0005728E" w:rsidRPr="0009348F" w14:paraId="2BDFB37C" w14:textId="77777777" w:rsidTr="00F325CA">
        <w:trPr>
          <w:trHeight w:val="369"/>
        </w:trPr>
        <w:tc>
          <w:tcPr>
            <w:tcW w:w="4924" w:type="dxa"/>
            <w:tcBorders>
              <w:bottom w:val="single" w:sz="4" w:space="0" w:color="auto"/>
              <w:right w:val="nil"/>
            </w:tcBorders>
          </w:tcPr>
          <w:p w14:paraId="4B4412E1" w14:textId="77777777" w:rsidR="0005728E" w:rsidRPr="0009348F" w:rsidRDefault="0005728E" w:rsidP="00F325CA">
            <w:pPr>
              <w:spacing w:after="0" w:line="240" w:lineRule="auto"/>
              <w:jc w:val="center"/>
              <w:rPr>
                <w:rFonts w:cs="Calibri"/>
                <w:b/>
                <w:lang w:val="en-GB"/>
              </w:rPr>
            </w:pPr>
            <w:r w:rsidRPr="0009348F">
              <w:rPr>
                <w:rFonts w:cs="Calibri"/>
                <w:b/>
                <w:lang w:val="en-GB"/>
              </w:rPr>
              <w:t>CHALLENGES</w:t>
            </w:r>
          </w:p>
        </w:tc>
        <w:tc>
          <w:tcPr>
            <w:tcW w:w="5000" w:type="dxa"/>
            <w:tcBorders>
              <w:left w:val="nil"/>
              <w:bottom w:val="single" w:sz="4" w:space="0" w:color="auto"/>
            </w:tcBorders>
          </w:tcPr>
          <w:p w14:paraId="0D9518A9" w14:textId="77777777" w:rsidR="0005728E" w:rsidRPr="0009348F" w:rsidRDefault="0005728E" w:rsidP="00F325CA">
            <w:pPr>
              <w:spacing w:after="0" w:line="240" w:lineRule="auto"/>
              <w:jc w:val="center"/>
              <w:rPr>
                <w:rFonts w:cs="Calibri"/>
                <w:b/>
                <w:lang w:val="en-GB"/>
              </w:rPr>
            </w:pPr>
            <w:r w:rsidRPr="0009348F">
              <w:rPr>
                <w:rFonts w:cs="Calibri"/>
                <w:b/>
                <w:lang w:val="en-GB"/>
              </w:rPr>
              <w:t>IMPACT</w:t>
            </w:r>
          </w:p>
        </w:tc>
      </w:tr>
      <w:tr w:rsidR="0005728E" w:rsidRPr="0009348F" w14:paraId="35CA5E8F" w14:textId="77777777" w:rsidTr="00F325CA">
        <w:trPr>
          <w:trHeight w:val="1089"/>
        </w:trPr>
        <w:tc>
          <w:tcPr>
            <w:tcW w:w="4924" w:type="dxa"/>
            <w:tcBorders>
              <w:right w:val="nil"/>
            </w:tcBorders>
          </w:tcPr>
          <w:p w14:paraId="3FF55657" w14:textId="77777777" w:rsidR="006973D8" w:rsidRPr="0009348F" w:rsidRDefault="006973D8" w:rsidP="00F325CA">
            <w:pPr>
              <w:spacing w:after="0" w:line="240" w:lineRule="auto"/>
              <w:rPr>
                <w:rFonts w:cs="Calibri"/>
                <w:i/>
                <w:lang w:val="en-GB"/>
              </w:rPr>
            </w:pPr>
            <w:r w:rsidRPr="0009348F">
              <w:rPr>
                <w:rFonts w:cs="Calibri"/>
                <w:i/>
                <w:lang w:val="en-GB"/>
              </w:rPr>
              <w:t>Critical human rights challenges include:</w:t>
            </w:r>
          </w:p>
          <w:p w14:paraId="41FE2D95" w14:textId="77777777" w:rsidR="00F51DEC" w:rsidRPr="0009348F" w:rsidRDefault="00F51DEC" w:rsidP="00F325CA">
            <w:pPr>
              <w:spacing w:after="0" w:line="240" w:lineRule="auto"/>
              <w:rPr>
                <w:rFonts w:cs="Calibri"/>
                <w:i/>
                <w:lang w:val="en-GB"/>
              </w:rPr>
            </w:pPr>
          </w:p>
          <w:p w14:paraId="4F278F22" w14:textId="77777777" w:rsidR="006973D8" w:rsidRPr="0009348F" w:rsidRDefault="005F65C1" w:rsidP="006973D8">
            <w:pPr>
              <w:pStyle w:val="ListParagraph"/>
              <w:numPr>
                <w:ilvl w:val="0"/>
                <w:numId w:val="2"/>
              </w:numPr>
              <w:spacing w:after="0" w:line="240" w:lineRule="auto"/>
              <w:rPr>
                <w:rFonts w:cs="Calibri"/>
                <w:i/>
                <w:lang w:val="en-GB"/>
              </w:rPr>
            </w:pPr>
            <w:r w:rsidRPr="0009348F">
              <w:rPr>
                <w:rFonts w:cs="Calibri"/>
                <w:i/>
                <w:lang w:val="en-GB"/>
              </w:rPr>
              <w:t>Failure to c</w:t>
            </w:r>
            <w:r w:rsidR="006973D8" w:rsidRPr="0009348F">
              <w:rPr>
                <w:rFonts w:cs="Calibri"/>
                <w:i/>
                <w:lang w:val="en-GB"/>
              </w:rPr>
              <w:t>ommitting to adopt</w:t>
            </w:r>
            <w:r w:rsidRPr="0009348F">
              <w:rPr>
                <w:rFonts w:cs="Calibri"/>
                <w:i/>
                <w:lang w:val="en-GB"/>
              </w:rPr>
              <w:t>ion of</w:t>
            </w:r>
            <w:r w:rsidR="006973D8" w:rsidRPr="0009348F">
              <w:rPr>
                <w:rFonts w:cs="Calibri"/>
                <w:i/>
                <w:lang w:val="en-GB"/>
              </w:rPr>
              <w:t xml:space="preserve"> the Protect, Respect and Remedy Framework.</w:t>
            </w:r>
          </w:p>
          <w:p w14:paraId="3BAAFBAB" w14:textId="77777777" w:rsidR="00F51DEC" w:rsidRPr="0009348F" w:rsidRDefault="00F51DEC" w:rsidP="00F51DEC">
            <w:pPr>
              <w:pStyle w:val="ListParagraph"/>
              <w:spacing w:after="0" w:line="240" w:lineRule="auto"/>
              <w:rPr>
                <w:rFonts w:cs="Calibri"/>
                <w:i/>
                <w:lang w:val="en-GB"/>
              </w:rPr>
            </w:pPr>
          </w:p>
          <w:p w14:paraId="2985B3AD" w14:textId="77777777" w:rsidR="006973D8" w:rsidRPr="0009348F" w:rsidRDefault="005F65C1" w:rsidP="006973D8">
            <w:pPr>
              <w:pStyle w:val="ListParagraph"/>
              <w:numPr>
                <w:ilvl w:val="0"/>
                <w:numId w:val="2"/>
              </w:numPr>
              <w:spacing w:after="0" w:line="240" w:lineRule="auto"/>
              <w:rPr>
                <w:rFonts w:cs="Calibri"/>
                <w:i/>
                <w:lang w:val="en-GB"/>
              </w:rPr>
            </w:pPr>
            <w:r w:rsidRPr="0009348F">
              <w:rPr>
                <w:rFonts w:cs="Calibri"/>
                <w:i/>
                <w:lang w:val="en-GB"/>
              </w:rPr>
              <w:t>Failure to adopt</w:t>
            </w:r>
            <w:r w:rsidR="006973D8" w:rsidRPr="0009348F">
              <w:rPr>
                <w:rFonts w:cs="Calibri"/>
                <w:i/>
                <w:lang w:val="en-GB"/>
              </w:rPr>
              <w:t xml:space="preserve"> a human rights approach to managing earthquake claims.</w:t>
            </w:r>
          </w:p>
          <w:p w14:paraId="094AC48D" w14:textId="77777777" w:rsidR="00F51DEC" w:rsidRPr="0009348F" w:rsidRDefault="00F51DEC" w:rsidP="00F51DEC">
            <w:pPr>
              <w:pStyle w:val="ListParagraph"/>
              <w:rPr>
                <w:rFonts w:cs="Calibri"/>
                <w:i/>
                <w:lang w:val="en-GB"/>
              </w:rPr>
            </w:pPr>
          </w:p>
          <w:p w14:paraId="1462FA64" w14:textId="77777777" w:rsidR="00F51DEC" w:rsidRDefault="005F65C1" w:rsidP="00C84154">
            <w:pPr>
              <w:pStyle w:val="ListParagraph"/>
              <w:numPr>
                <w:ilvl w:val="0"/>
                <w:numId w:val="2"/>
              </w:numPr>
              <w:spacing w:after="0" w:line="240" w:lineRule="auto"/>
              <w:rPr>
                <w:rFonts w:cs="Calibri"/>
                <w:i/>
                <w:lang w:val="en-GB"/>
              </w:rPr>
            </w:pPr>
            <w:r w:rsidRPr="0009348F">
              <w:rPr>
                <w:rFonts w:cs="Calibri"/>
                <w:i/>
                <w:lang w:val="en-GB"/>
              </w:rPr>
              <w:t>Failure to adopt</w:t>
            </w:r>
            <w:r w:rsidR="006973D8" w:rsidRPr="0009348F">
              <w:rPr>
                <w:rFonts w:cs="Calibri"/>
                <w:i/>
                <w:lang w:val="en-GB"/>
              </w:rPr>
              <w:t xml:space="preserve"> human rights due diligence programmes.</w:t>
            </w:r>
          </w:p>
          <w:p w14:paraId="342C8567" w14:textId="77777777" w:rsidR="00C84154" w:rsidRPr="00C84154" w:rsidRDefault="00C84154" w:rsidP="00C84154">
            <w:pPr>
              <w:pStyle w:val="ListParagraph"/>
              <w:rPr>
                <w:rFonts w:cs="Calibri"/>
                <w:i/>
                <w:lang w:val="en-GB"/>
              </w:rPr>
            </w:pPr>
          </w:p>
          <w:p w14:paraId="2B06874D" w14:textId="77777777" w:rsidR="005F65C1" w:rsidRPr="0009348F" w:rsidRDefault="005F65C1" w:rsidP="006973D8">
            <w:pPr>
              <w:pStyle w:val="ListParagraph"/>
              <w:numPr>
                <w:ilvl w:val="0"/>
                <w:numId w:val="2"/>
              </w:numPr>
              <w:spacing w:after="0" w:line="240" w:lineRule="auto"/>
              <w:rPr>
                <w:rFonts w:cs="Calibri"/>
                <w:i/>
                <w:lang w:val="en-GB"/>
              </w:rPr>
            </w:pPr>
            <w:r w:rsidRPr="0009348F">
              <w:rPr>
                <w:rFonts w:cs="Calibri"/>
                <w:i/>
                <w:lang w:val="en-GB"/>
              </w:rPr>
              <w:t>Failure to address the inherent imbalance in power between affected people and their insurers.</w:t>
            </w:r>
          </w:p>
          <w:p w14:paraId="3481685E" w14:textId="77777777" w:rsidR="0005728E" w:rsidRPr="0009348F" w:rsidRDefault="0005728E" w:rsidP="00F325CA">
            <w:pPr>
              <w:spacing w:after="0" w:line="240" w:lineRule="auto"/>
              <w:rPr>
                <w:rFonts w:cs="Calibri"/>
                <w:lang w:eastAsia="fr-CH"/>
              </w:rPr>
            </w:pPr>
          </w:p>
          <w:p w14:paraId="638DBE5B" w14:textId="77777777" w:rsidR="0005728E" w:rsidRPr="0009348F" w:rsidRDefault="0005728E" w:rsidP="00F325CA">
            <w:pPr>
              <w:tabs>
                <w:tab w:val="left" w:pos="3857"/>
              </w:tabs>
              <w:spacing w:after="0" w:line="240" w:lineRule="auto"/>
              <w:rPr>
                <w:rFonts w:cs="Calibri"/>
                <w:i/>
                <w:lang w:val="en-GB"/>
              </w:rPr>
            </w:pPr>
          </w:p>
        </w:tc>
        <w:tc>
          <w:tcPr>
            <w:tcW w:w="5000" w:type="dxa"/>
            <w:tcBorders>
              <w:left w:val="nil"/>
            </w:tcBorders>
          </w:tcPr>
          <w:p w14:paraId="4FCC8B97" w14:textId="77777777" w:rsidR="00F51DEC" w:rsidRDefault="005F65C1" w:rsidP="00F325CA">
            <w:pPr>
              <w:tabs>
                <w:tab w:val="left" w:pos="3857"/>
              </w:tabs>
              <w:spacing w:after="0" w:line="240" w:lineRule="auto"/>
              <w:rPr>
                <w:rFonts w:cs="Calibri"/>
                <w:i/>
                <w:lang w:val="en-GB"/>
              </w:rPr>
            </w:pPr>
            <w:proofErr w:type="gramStart"/>
            <w:r w:rsidRPr="0009348F">
              <w:rPr>
                <w:rFonts w:cs="Calibri"/>
                <w:i/>
                <w:lang w:val="en-GB"/>
              </w:rPr>
              <w:t>As a result of</w:t>
            </w:r>
            <w:proofErr w:type="gramEnd"/>
            <w:r w:rsidRPr="0009348F">
              <w:rPr>
                <w:rFonts w:cs="Calibri"/>
                <w:i/>
                <w:lang w:val="en-GB"/>
              </w:rPr>
              <w:t xml:space="preserve"> the failure to adopt the UNGP Framework, dispute resolution mechanisms have been piecemeal, ad hoc and inadequate.  </w:t>
            </w:r>
          </w:p>
          <w:p w14:paraId="7513F439" w14:textId="77777777" w:rsidR="00C84154" w:rsidRPr="0009348F" w:rsidRDefault="00C84154" w:rsidP="00F325CA">
            <w:pPr>
              <w:tabs>
                <w:tab w:val="left" w:pos="3857"/>
              </w:tabs>
              <w:spacing w:after="0" w:line="240" w:lineRule="auto"/>
              <w:rPr>
                <w:rFonts w:cs="Calibri"/>
                <w:i/>
                <w:lang w:val="en-GB"/>
              </w:rPr>
            </w:pPr>
          </w:p>
          <w:p w14:paraId="198D1CC8" w14:textId="77777777" w:rsidR="00F51DEC" w:rsidRDefault="00F51DEC" w:rsidP="00F325CA">
            <w:pPr>
              <w:tabs>
                <w:tab w:val="left" w:pos="3857"/>
              </w:tabs>
              <w:spacing w:after="0" w:line="240" w:lineRule="auto"/>
              <w:rPr>
                <w:rFonts w:cs="Calibri"/>
                <w:i/>
                <w:lang w:val="en-GB"/>
              </w:rPr>
            </w:pPr>
            <w:r w:rsidRPr="0009348F">
              <w:rPr>
                <w:rFonts w:cs="Calibri"/>
                <w:i/>
                <w:lang w:val="en-GB"/>
              </w:rPr>
              <w:t>In m</w:t>
            </w:r>
            <w:r w:rsidR="00C84154">
              <w:rPr>
                <w:rFonts w:cs="Calibri"/>
                <w:i/>
                <w:lang w:val="en-GB"/>
              </w:rPr>
              <w:t>ost</w:t>
            </w:r>
            <w:r w:rsidRPr="0009348F">
              <w:rPr>
                <w:rFonts w:cs="Calibri"/>
                <w:i/>
                <w:lang w:val="en-GB"/>
              </w:rPr>
              <w:t xml:space="preserve"> cases, </w:t>
            </w:r>
            <w:r w:rsidR="00C84154">
              <w:rPr>
                <w:rFonts w:cs="Calibri"/>
                <w:i/>
                <w:lang w:val="en-GB"/>
              </w:rPr>
              <w:t>government insurers</w:t>
            </w:r>
            <w:r w:rsidRPr="0009348F">
              <w:rPr>
                <w:rFonts w:cs="Calibri"/>
                <w:i/>
                <w:lang w:val="en-GB"/>
              </w:rPr>
              <w:t xml:space="preserve"> have failed to provide opportunities for affected people to participate in decision-making regarding their claims and how they will be managed.  They have failed to adopt a flexible approach.  </w:t>
            </w:r>
          </w:p>
          <w:p w14:paraId="5595D1B0" w14:textId="77777777" w:rsidR="00C84154" w:rsidRPr="0009348F" w:rsidRDefault="00C84154" w:rsidP="00F325CA">
            <w:pPr>
              <w:tabs>
                <w:tab w:val="left" w:pos="3857"/>
              </w:tabs>
              <w:spacing w:after="0" w:line="240" w:lineRule="auto"/>
              <w:rPr>
                <w:rFonts w:cs="Calibri"/>
                <w:i/>
                <w:lang w:val="en-GB"/>
              </w:rPr>
            </w:pPr>
          </w:p>
          <w:p w14:paraId="6F9A2D25" w14:textId="77777777" w:rsidR="0009348F" w:rsidRDefault="00F51DEC" w:rsidP="00F325CA">
            <w:pPr>
              <w:tabs>
                <w:tab w:val="left" w:pos="3857"/>
              </w:tabs>
              <w:spacing w:after="0" w:line="240" w:lineRule="auto"/>
              <w:rPr>
                <w:rFonts w:cs="Calibri"/>
                <w:i/>
                <w:lang w:val="en-GB"/>
              </w:rPr>
            </w:pPr>
            <w:r w:rsidRPr="0009348F">
              <w:rPr>
                <w:rFonts w:cs="Calibri"/>
                <w:i/>
                <w:lang w:val="en-GB"/>
              </w:rPr>
              <w:t xml:space="preserve">The lack of a human rights discourse has resulted in many affected people feeling like they do not </w:t>
            </w:r>
            <w:proofErr w:type="gramStart"/>
            <w:r w:rsidRPr="0009348F">
              <w:rPr>
                <w:rFonts w:cs="Calibri"/>
                <w:i/>
                <w:lang w:val="en-GB"/>
              </w:rPr>
              <w:t>matter</w:t>
            </w:r>
            <w:proofErr w:type="gramEnd"/>
            <w:r w:rsidRPr="0009348F">
              <w:rPr>
                <w:rFonts w:cs="Calibri"/>
                <w:i/>
                <w:lang w:val="en-GB"/>
              </w:rPr>
              <w:t xml:space="preserve"> and they have no</w:t>
            </w:r>
            <w:r w:rsidR="00C84154">
              <w:rPr>
                <w:rFonts w:cs="Calibri"/>
                <w:i/>
                <w:lang w:val="en-GB"/>
              </w:rPr>
              <w:t xml:space="preserve"> say in their earthquake claims.</w:t>
            </w:r>
          </w:p>
          <w:p w14:paraId="08C2C6FA" w14:textId="77777777" w:rsidR="00C84154" w:rsidRPr="0009348F" w:rsidRDefault="00C84154" w:rsidP="00F325CA">
            <w:pPr>
              <w:tabs>
                <w:tab w:val="left" w:pos="3857"/>
              </w:tabs>
              <w:spacing w:after="0" w:line="240" w:lineRule="auto"/>
              <w:rPr>
                <w:rFonts w:cs="Calibri"/>
                <w:i/>
                <w:lang w:val="en-GB"/>
              </w:rPr>
            </w:pPr>
          </w:p>
          <w:p w14:paraId="335812E7" w14:textId="77777777" w:rsidR="0020309F" w:rsidRPr="0009348F" w:rsidRDefault="0020309F" w:rsidP="00F325CA">
            <w:pPr>
              <w:tabs>
                <w:tab w:val="left" w:pos="3857"/>
              </w:tabs>
              <w:spacing w:after="0" w:line="240" w:lineRule="auto"/>
              <w:rPr>
                <w:rFonts w:cs="Calibri"/>
                <w:i/>
                <w:lang w:val="en-GB"/>
              </w:rPr>
            </w:pPr>
          </w:p>
          <w:p w14:paraId="54D9F697" w14:textId="77777777" w:rsidR="005D2920" w:rsidRPr="0009348F" w:rsidRDefault="005D2920" w:rsidP="00F325CA">
            <w:pPr>
              <w:tabs>
                <w:tab w:val="left" w:pos="3857"/>
              </w:tabs>
              <w:spacing w:after="0" w:line="240" w:lineRule="auto"/>
              <w:rPr>
                <w:rFonts w:cs="Calibri"/>
                <w:i/>
                <w:lang w:val="en-GB"/>
              </w:rPr>
            </w:pPr>
          </w:p>
          <w:p w14:paraId="48D5F46B" w14:textId="77777777" w:rsidR="00C0281F" w:rsidRPr="0009348F" w:rsidRDefault="00C0281F" w:rsidP="00F325CA">
            <w:pPr>
              <w:tabs>
                <w:tab w:val="left" w:pos="3857"/>
              </w:tabs>
              <w:spacing w:after="0" w:line="240" w:lineRule="auto"/>
              <w:rPr>
                <w:rFonts w:cs="Calibri"/>
                <w:i/>
                <w:lang w:val="en-GB"/>
              </w:rPr>
            </w:pPr>
          </w:p>
          <w:p w14:paraId="530E867C" w14:textId="77777777" w:rsidR="0005728E" w:rsidRPr="0009348F" w:rsidRDefault="0005728E" w:rsidP="00F325CA">
            <w:pPr>
              <w:autoSpaceDE w:val="0"/>
              <w:autoSpaceDN w:val="0"/>
              <w:adjustRightInd w:val="0"/>
              <w:spacing w:after="0" w:line="240" w:lineRule="auto"/>
              <w:rPr>
                <w:rFonts w:cs="Calibri"/>
                <w:i/>
                <w:lang w:val="en-GB" w:eastAsia="fr-CH"/>
              </w:rPr>
            </w:pPr>
          </w:p>
          <w:p w14:paraId="6F4A262D" w14:textId="77777777" w:rsidR="0005728E" w:rsidRPr="0009348F" w:rsidRDefault="0005728E" w:rsidP="00F325CA">
            <w:pPr>
              <w:autoSpaceDE w:val="0"/>
              <w:autoSpaceDN w:val="0"/>
              <w:adjustRightInd w:val="0"/>
              <w:spacing w:after="0" w:line="240" w:lineRule="auto"/>
              <w:rPr>
                <w:rFonts w:cs="Calibri"/>
                <w:i/>
                <w:lang w:eastAsia="fr-CH"/>
              </w:rPr>
            </w:pPr>
            <w:r w:rsidRPr="0009348F">
              <w:rPr>
                <w:rFonts w:cs="Calibri"/>
                <w:i/>
                <w:lang w:eastAsia="fr-CH"/>
              </w:rPr>
              <w:t>…</w:t>
            </w:r>
          </w:p>
          <w:p w14:paraId="0AA7721B" w14:textId="77777777" w:rsidR="0005728E" w:rsidRPr="0009348F" w:rsidRDefault="0005728E" w:rsidP="00F325CA">
            <w:pPr>
              <w:autoSpaceDE w:val="0"/>
              <w:autoSpaceDN w:val="0"/>
              <w:adjustRightInd w:val="0"/>
              <w:spacing w:after="0" w:line="240" w:lineRule="auto"/>
              <w:rPr>
                <w:rFonts w:cs="Calibri"/>
                <w:i/>
                <w:lang w:eastAsia="fr-CH"/>
              </w:rPr>
            </w:pPr>
          </w:p>
          <w:p w14:paraId="54D11CB2" w14:textId="77777777" w:rsidR="0005728E" w:rsidRPr="0009348F" w:rsidRDefault="0005728E" w:rsidP="00F325CA">
            <w:pPr>
              <w:autoSpaceDE w:val="0"/>
              <w:autoSpaceDN w:val="0"/>
              <w:adjustRightInd w:val="0"/>
              <w:spacing w:after="0" w:line="240" w:lineRule="auto"/>
              <w:rPr>
                <w:rFonts w:cs="Calibri"/>
                <w:i/>
                <w:lang w:eastAsia="fr-CH"/>
              </w:rPr>
            </w:pPr>
            <w:r w:rsidRPr="0009348F">
              <w:rPr>
                <w:rFonts w:cs="Calibri"/>
                <w:i/>
                <w:lang w:eastAsia="fr-CH"/>
              </w:rPr>
              <w:t>…</w:t>
            </w:r>
          </w:p>
          <w:p w14:paraId="7546BCEA" w14:textId="77777777" w:rsidR="0005728E" w:rsidRPr="0009348F" w:rsidRDefault="0005728E" w:rsidP="00F325CA">
            <w:pPr>
              <w:autoSpaceDE w:val="0"/>
              <w:autoSpaceDN w:val="0"/>
              <w:adjustRightInd w:val="0"/>
              <w:spacing w:after="0" w:line="240" w:lineRule="auto"/>
              <w:rPr>
                <w:rFonts w:cs="Calibri"/>
                <w:i/>
                <w:lang w:val="en-GB"/>
              </w:rPr>
            </w:pPr>
          </w:p>
        </w:tc>
      </w:tr>
    </w:tbl>
    <w:p w14:paraId="2F9A700A" w14:textId="77777777" w:rsidR="00B71B46" w:rsidRPr="0009348F" w:rsidRDefault="00B71B46" w:rsidP="0005728E">
      <w:pPr>
        <w:tabs>
          <w:tab w:val="left" w:pos="3857"/>
        </w:tabs>
        <w:rPr>
          <w:rFonts w:cs="Calibri"/>
          <w:lang w:val="en-GB"/>
        </w:rPr>
      </w:pPr>
    </w:p>
    <w:p w14:paraId="52C8EC2D" w14:textId="77777777" w:rsidR="00B71B46" w:rsidRPr="0009348F" w:rsidRDefault="00B71B46">
      <w:pPr>
        <w:spacing w:after="160" w:line="259" w:lineRule="auto"/>
        <w:rPr>
          <w:rFonts w:cs="Calibri"/>
          <w:lang w:val="en-GB"/>
        </w:rPr>
      </w:pPr>
      <w:r w:rsidRPr="0009348F">
        <w:rPr>
          <w:rFonts w:cs="Calibri"/>
          <w:lang w:val="en-GB"/>
        </w:rPr>
        <w:br w:type="page"/>
      </w:r>
    </w:p>
    <w:p w14:paraId="01194B33" w14:textId="77777777" w:rsidR="0005728E" w:rsidRPr="0009348F" w:rsidRDefault="0005728E" w:rsidP="0005728E">
      <w:pPr>
        <w:tabs>
          <w:tab w:val="left" w:pos="3857"/>
        </w:tabs>
        <w:rPr>
          <w:rFonts w:cs="Calibri"/>
          <w:lang w:val="en-G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05728E" w:rsidRPr="0009348F" w14:paraId="74AD73AE" w14:textId="77777777" w:rsidTr="00F325CA">
        <w:trPr>
          <w:trHeight w:val="387"/>
        </w:trPr>
        <w:tc>
          <w:tcPr>
            <w:tcW w:w="9924" w:type="dxa"/>
          </w:tcPr>
          <w:p w14:paraId="426696A1" w14:textId="77777777" w:rsidR="0005728E" w:rsidRPr="0009348F" w:rsidRDefault="0005728E" w:rsidP="00F325CA">
            <w:pPr>
              <w:tabs>
                <w:tab w:val="left" w:pos="3857"/>
              </w:tabs>
              <w:spacing w:after="0" w:line="240" w:lineRule="auto"/>
              <w:jc w:val="center"/>
              <w:rPr>
                <w:rFonts w:cs="Calibri"/>
                <w:b/>
                <w:lang w:val="en-GB"/>
              </w:rPr>
            </w:pPr>
            <w:r w:rsidRPr="0009348F">
              <w:rPr>
                <w:rFonts w:cs="Calibri"/>
                <w:b/>
                <w:lang w:val="en-GB"/>
              </w:rPr>
              <w:t>RECOMMENDATIONS</w:t>
            </w:r>
          </w:p>
        </w:tc>
      </w:tr>
      <w:tr w:rsidR="0005728E" w:rsidRPr="0009348F" w14:paraId="1ED1C32E" w14:textId="77777777" w:rsidTr="00F325CA">
        <w:trPr>
          <w:trHeight w:val="705"/>
        </w:trPr>
        <w:tc>
          <w:tcPr>
            <w:tcW w:w="9924" w:type="dxa"/>
          </w:tcPr>
          <w:p w14:paraId="3D3BD3AC" w14:textId="77777777" w:rsidR="00B71B46" w:rsidRPr="0009348F" w:rsidRDefault="00B71B46" w:rsidP="00B71B46">
            <w:pPr>
              <w:spacing w:after="160" w:line="259" w:lineRule="auto"/>
            </w:pPr>
            <w:r w:rsidRPr="0009348F">
              <w:t xml:space="preserve">WCM Legal </w:t>
            </w:r>
            <w:proofErr w:type="spellStart"/>
            <w:proofErr w:type="gramStart"/>
            <w:r w:rsidRPr="0009348F">
              <w:t>recommends</w:t>
            </w:r>
            <w:proofErr w:type="spellEnd"/>
            <w:r w:rsidRPr="0009348F">
              <w:t xml:space="preserve">  </w:t>
            </w:r>
            <w:proofErr w:type="spellStart"/>
            <w:r w:rsidRPr="0009348F">
              <w:t>that</w:t>
            </w:r>
            <w:proofErr w:type="spellEnd"/>
            <w:proofErr w:type="gramEnd"/>
            <w:r w:rsidRPr="0009348F">
              <w:t xml:space="preserve"> the New Zealand </w:t>
            </w:r>
            <w:proofErr w:type="spellStart"/>
            <w:r w:rsidRPr="0009348F">
              <w:t>government</w:t>
            </w:r>
            <w:proofErr w:type="spellEnd"/>
            <w:r w:rsidRPr="0009348F">
              <w:t xml:space="preserve"> must:</w:t>
            </w:r>
          </w:p>
          <w:p w14:paraId="3B3431E5" w14:textId="77777777" w:rsidR="00B71B46" w:rsidRPr="0009348F" w:rsidRDefault="00B71B46" w:rsidP="00B71B46">
            <w:pPr>
              <w:pStyle w:val="ListParagraph"/>
            </w:pPr>
          </w:p>
          <w:p w14:paraId="5C6AF1CF" w14:textId="77777777" w:rsidR="00B71B46" w:rsidRPr="0009348F" w:rsidRDefault="00B71B46" w:rsidP="00B71B46">
            <w:pPr>
              <w:pStyle w:val="ListParagraph"/>
              <w:numPr>
                <w:ilvl w:val="1"/>
                <w:numId w:val="4"/>
              </w:numPr>
              <w:spacing w:after="160" w:line="259" w:lineRule="auto"/>
            </w:pPr>
            <w:proofErr w:type="spellStart"/>
            <w:r w:rsidRPr="0009348F">
              <w:t>Urgently</w:t>
            </w:r>
            <w:proofErr w:type="spellEnd"/>
            <w:r w:rsidRPr="0009348F">
              <w:t xml:space="preserve"> </w:t>
            </w:r>
            <w:proofErr w:type="spellStart"/>
            <w:r w:rsidRPr="0009348F">
              <w:t>implement</w:t>
            </w:r>
            <w:proofErr w:type="spellEnd"/>
            <w:r w:rsidRPr="0009348F">
              <w:t xml:space="preserve"> </w:t>
            </w:r>
            <w:proofErr w:type="spellStart"/>
            <w:proofErr w:type="gramStart"/>
            <w:r w:rsidRPr="0009348F">
              <w:t>Recommendation</w:t>
            </w:r>
            <w:proofErr w:type="spellEnd"/>
            <w:r w:rsidRPr="0009348F">
              <w:t xml:space="preserve">  17</w:t>
            </w:r>
            <w:proofErr w:type="gramEnd"/>
            <w:r w:rsidRPr="0009348F">
              <w:t xml:space="preserve"> made by the UN Committee on </w:t>
            </w:r>
            <w:proofErr w:type="spellStart"/>
            <w:r w:rsidRPr="0009348F">
              <w:t>Economic</w:t>
            </w:r>
            <w:proofErr w:type="spellEnd"/>
            <w:r w:rsidRPr="0009348F">
              <w:t xml:space="preserve">, Social and Cultural </w:t>
            </w:r>
            <w:proofErr w:type="spellStart"/>
            <w:r w:rsidRPr="0009348F">
              <w:t>Rights</w:t>
            </w:r>
            <w:proofErr w:type="spellEnd"/>
            <w:r w:rsidRPr="0009348F">
              <w:t xml:space="preserve"> in </w:t>
            </w:r>
            <w:proofErr w:type="spellStart"/>
            <w:r w:rsidRPr="0009348F">
              <w:t>its</w:t>
            </w:r>
            <w:proofErr w:type="spellEnd"/>
            <w:r w:rsidRPr="0009348F">
              <w:t xml:space="preserve"> </w:t>
            </w:r>
            <w:proofErr w:type="spellStart"/>
            <w:r w:rsidRPr="0009348F">
              <w:t>Concluding</w:t>
            </w:r>
            <w:proofErr w:type="spellEnd"/>
            <w:r w:rsidRPr="0009348F">
              <w:t xml:space="preserve"> Observations on the </w:t>
            </w:r>
            <w:proofErr w:type="spellStart"/>
            <w:r w:rsidRPr="0009348F">
              <w:t>Fourth</w:t>
            </w:r>
            <w:proofErr w:type="spellEnd"/>
            <w:r w:rsidRPr="0009348F">
              <w:t xml:space="preserve"> </w:t>
            </w:r>
            <w:proofErr w:type="spellStart"/>
            <w:r w:rsidRPr="0009348F">
              <w:t>Periodic</w:t>
            </w:r>
            <w:proofErr w:type="spellEnd"/>
            <w:r w:rsidRPr="0009348F">
              <w:t xml:space="preserve"> Report of New Zealand to </w:t>
            </w:r>
            <w:proofErr w:type="spellStart"/>
            <w:r w:rsidRPr="0009348F">
              <w:t>adopt</w:t>
            </w:r>
            <w:proofErr w:type="spellEnd"/>
            <w:r w:rsidRPr="0009348F">
              <w:t xml:space="preserve"> a national plan of action to </w:t>
            </w:r>
            <w:proofErr w:type="spellStart"/>
            <w:r w:rsidRPr="0009348F">
              <w:t>implement</w:t>
            </w:r>
            <w:proofErr w:type="spellEnd"/>
            <w:r w:rsidRPr="0009348F">
              <w:t xml:space="preserve"> the </w:t>
            </w:r>
            <w:proofErr w:type="spellStart"/>
            <w:r w:rsidRPr="0009348F">
              <w:t>UN’s</w:t>
            </w:r>
            <w:proofErr w:type="spellEnd"/>
            <w:r w:rsidRPr="0009348F">
              <w:t xml:space="preserve"> “</w:t>
            </w:r>
            <w:proofErr w:type="spellStart"/>
            <w:r w:rsidRPr="0009348F">
              <w:t>Protect</w:t>
            </w:r>
            <w:proofErr w:type="spellEnd"/>
            <w:r w:rsidRPr="0009348F">
              <w:t xml:space="preserve">, Respect and </w:t>
            </w:r>
            <w:proofErr w:type="spellStart"/>
            <w:r w:rsidRPr="0009348F">
              <w:t>Remedy</w:t>
            </w:r>
            <w:proofErr w:type="spellEnd"/>
            <w:r w:rsidRPr="0009348F">
              <w:t>” Framework;</w:t>
            </w:r>
            <w:r w:rsidRPr="0009348F">
              <w:rPr>
                <w:rStyle w:val="FootnoteReference"/>
              </w:rPr>
              <w:footnoteReference w:id="1"/>
            </w:r>
          </w:p>
          <w:p w14:paraId="0DCB8751" w14:textId="77777777" w:rsidR="00B71B46" w:rsidRPr="0009348F" w:rsidRDefault="00B71B46" w:rsidP="00B71B46">
            <w:pPr>
              <w:pStyle w:val="ListParagraph"/>
              <w:ind w:left="1440"/>
            </w:pPr>
          </w:p>
          <w:p w14:paraId="5412DE3B" w14:textId="77777777" w:rsidR="00B71B46" w:rsidRPr="0009348F" w:rsidRDefault="00B71B46" w:rsidP="00B71B46">
            <w:pPr>
              <w:pStyle w:val="ListParagraph"/>
              <w:numPr>
                <w:ilvl w:val="1"/>
                <w:numId w:val="4"/>
              </w:numPr>
              <w:spacing w:after="160" w:line="259" w:lineRule="auto"/>
            </w:pPr>
            <w:proofErr w:type="spellStart"/>
            <w:r w:rsidRPr="0009348F">
              <w:t>Ensure</w:t>
            </w:r>
            <w:proofErr w:type="spellEnd"/>
            <w:r w:rsidRPr="0009348F">
              <w:t xml:space="preserve"> </w:t>
            </w:r>
            <w:proofErr w:type="spellStart"/>
            <w:r w:rsidRPr="0009348F">
              <w:t>that</w:t>
            </w:r>
            <w:proofErr w:type="spellEnd"/>
            <w:r w:rsidRPr="0009348F">
              <w:t xml:space="preserve"> </w:t>
            </w:r>
            <w:proofErr w:type="spellStart"/>
            <w:r w:rsidR="009C54FE">
              <w:t>immediate</w:t>
            </w:r>
            <w:proofErr w:type="spellEnd"/>
            <w:r w:rsidR="009C54FE">
              <w:t xml:space="preserve"> </w:t>
            </w:r>
            <w:r w:rsidRPr="0009348F">
              <w:t xml:space="preserve">adoption of a </w:t>
            </w:r>
            <w:proofErr w:type="spellStart"/>
            <w:r w:rsidRPr="0009348F">
              <w:t>human</w:t>
            </w:r>
            <w:proofErr w:type="spellEnd"/>
            <w:r w:rsidRPr="0009348F">
              <w:t xml:space="preserve"> </w:t>
            </w:r>
            <w:proofErr w:type="spellStart"/>
            <w:r w:rsidRPr="0009348F">
              <w:t>rights</w:t>
            </w:r>
            <w:proofErr w:type="spellEnd"/>
            <w:r w:rsidRPr="0009348F">
              <w:t xml:space="preserve"> </w:t>
            </w:r>
            <w:proofErr w:type="spellStart"/>
            <w:r w:rsidRPr="0009348F">
              <w:t>approach</w:t>
            </w:r>
            <w:proofErr w:type="spellEnd"/>
            <w:r w:rsidRPr="0009348F">
              <w:t xml:space="preserve"> </w:t>
            </w:r>
            <w:proofErr w:type="spellStart"/>
            <w:r w:rsidRPr="0009348F">
              <w:t>should</w:t>
            </w:r>
            <w:proofErr w:type="spellEnd"/>
            <w:r w:rsidRPr="0009348F">
              <w:t xml:space="preserve"> </w:t>
            </w:r>
            <w:proofErr w:type="spellStart"/>
            <w:r w:rsidRPr="0009348F">
              <w:t>be</w:t>
            </w:r>
            <w:proofErr w:type="spellEnd"/>
            <w:r w:rsidRPr="0009348F">
              <w:t xml:space="preserve"> </w:t>
            </w:r>
            <w:proofErr w:type="spellStart"/>
            <w:r w:rsidRPr="0009348F">
              <w:t>mandatory</w:t>
            </w:r>
            <w:proofErr w:type="spellEnd"/>
            <w:r w:rsidRPr="0009348F">
              <w:t xml:space="preserve"> for EQC and </w:t>
            </w:r>
            <w:proofErr w:type="spellStart"/>
            <w:r w:rsidRPr="0009348F">
              <w:t>insurers</w:t>
            </w:r>
            <w:proofErr w:type="spellEnd"/>
            <w:r w:rsidRPr="0009348F">
              <w:t>.</w:t>
            </w:r>
          </w:p>
          <w:p w14:paraId="72E452ED" w14:textId="77777777" w:rsidR="00B71B46" w:rsidRPr="0009348F" w:rsidRDefault="00B71B46" w:rsidP="00B71B46">
            <w:pPr>
              <w:pStyle w:val="ListParagraph"/>
              <w:ind w:left="1440"/>
            </w:pPr>
          </w:p>
          <w:p w14:paraId="3C4E319A" w14:textId="77777777" w:rsidR="0005728E" w:rsidRPr="00C84154" w:rsidRDefault="00B71B46" w:rsidP="00C84154">
            <w:pPr>
              <w:pStyle w:val="ListParagraph"/>
              <w:numPr>
                <w:ilvl w:val="1"/>
                <w:numId w:val="4"/>
              </w:numPr>
              <w:spacing w:after="160" w:line="259" w:lineRule="auto"/>
            </w:pPr>
            <w:proofErr w:type="spellStart"/>
            <w:r w:rsidRPr="0009348F">
              <w:t>Ensure</w:t>
            </w:r>
            <w:proofErr w:type="spellEnd"/>
            <w:r w:rsidRPr="0009348F">
              <w:t xml:space="preserve"> </w:t>
            </w:r>
            <w:proofErr w:type="spellStart"/>
            <w:r w:rsidRPr="0009348F">
              <w:t>that</w:t>
            </w:r>
            <w:proofErr w:type="spellEnd"/>
            <w:r w:rsidRPr="0009348F">
              <w:t xml:space="preserve"> </w:t>
            </w:r>
            <w:r w:rsidR="00521898">
              <w:t xml:space="preserve">EQC and </w:t>
            </w:r>
            <w:proofErr w:type="spellStart"/>
            <w:r w:rsidR="00521898">
              <w:t>insurers</w:t>
            </w:r>
            <w:proofErr w:type="spellEnd"/>
            <w:r w:rsidR="00521898">
              <w:t xml:space="preserve"> must </w:t>
            </w:r>
            <w:r w:rsidRPr="0009348F">
              <w:t xml:space="preserve">carry out </w:t>
            </w:r>
            <w:proofErr w:type="spellStart"/>
            <w:r w:rsidRPr="0009348F">
              <w:t>human</w:t>
            </w:r>
            <w:proofErr w:type="spellEnd"/>
            <w:r w:rsidRPr="0009348F">
              <w:t xml:space="preserve"> </w:t>
            </w:r>
            <w:proofErr w:type="spellStart"/>
            <w:r w:rsidRPr="0009348F">
              <w:t>rights</w:t>
            </w:r>
            <w:proofErr w:type="spellEnd"/>
            <w:r w:rsidRPr="0009348F">
              <w:t xml:space="preserve"> due diligence </w:t>
            </w:r>
            <w:proofErr w:type="spellStart"/>
            <w:r w:rsidRPr="0009348F">
              <w:t>which</w:t>
            </w:r>
            <w:proofErr w:type="spellEnd"/>
            <w:r w:rsidRPr="0009348F">
              <w:t xml:space="preserve"> </w:t>
            </w:r>
            <w:proofErr w:type="spellStart"/>
            <w:r w:rsidRPr="0009348F">
              <w:t>includes</w:t>
            </w:r>
            <w:proofErr w:type="spellEnd"/>
            <w:r w:rsidRPr="0009348F">
              <w:t xml:space="preserve"> (1) </w:t>
            </w:r>
            <w:proofErr w:type="spellStart"/>
            <w:r w:rsidRPr="0009348F">
              <w:t>identifying</w:t>
            </w:r>
            <w:proofErr w:type="spellEnd"/>
            <w:r w:rsidRPr="0009348F">
              <w:t xml:space="preserve"> adverse </w:t>
            </w:r>
            <w:proofErr w:type="spellStart"/>
            <w:r w:rsidRPr="0009348F">
              <w:t>human</w:t>
            </w:r>
            <w:proofErr w:type="spellEnd"/>
            <w:r w:rsidRPr="0009348F">
              <w:t xml:space="preserve"> </w:t>
            </w:r>
            <w:proofErr w:type="spellStart"/>
            <w:r w:rsidRPr="0009348F">
              <w:t>rights</w:t>
            </w:r>
            <w:proofErr w:type="spellEnd"/>
            <w:r w:rsidRPr="0009348F">
              <w:t xml:space="preserve"> impacts, (2) </w:t>
            </w:r>
            <w:proofErr w:type="spellStart"/>
            <w:r w:rsidRPr="0009348F">
              <w:t>addressing</w:t>
            </w:r>
            <w:proofErr w:type="spellEnd"/>
            <w:r w:rsidRPr="0009348F">
              <w:t xml:space="preserve"> adverse </w:t>
            </w:r>
            <w:proofErr w:type="spellStart"/>
            <w:r w:rsidRPr="0009348F">
              <w:t>human</w:t>
            </w:r>
            <w:proofErr w:type="spellEnd"/>
            <w:r w:rsidRPr="0009348F">
              <w:t xml:space="preserve"> </w:t>
            </w:r>
            <w:proofErr w:type="spellStart"/>
            <w:r w:rsidRPr="0009348F">
              <w:t>rights</w:t>
            </w:r>
            <w:proofErr w:type="spellEnd"/>
            <w:r w:rsidRPr="0009348F">
              <w:t xml:space="preserve"> impacts, (3) monitoring adverse </w:t>
            </w:r>
            <w:proofErr w:type="spellStart"/>
            <w:r w:rsidRPr="0009348F">
              <w:t>human</w:t>
            </w:r>
            <w:proofErr w:type="spellEnd"/>
            <w:r w:rsidRPr="0009348F">
              <w:t xml:space="preserve"> </w:t>
            </w:r>
            <w:proofErr w:type="spellStart"/>
            <w:r w:rsidRPr="0009348F">
              <w:t>rights</w:t>
            </w:r>
            <w:proofErr w:type="spellEnd"/>
            <w:r w:rsidRPr="0009348F">
              <w:t xml:space="preserve"> impacts and (4) </w:t>
            </w:r>
            <w:proofErr w:type="spellStart"/>
            <w:r w:rsidRPr="0009348F">
              <w:t>reporting</w:t>
            </w:r>
            <w:proofErr w:type="spellEnd"/>
            <w:r w:rsidRPr="0009348F">
              <w:t xml:space="preserve"> on adverse </w:t>
            </w:r>
            <w:proofErr w:type="spellStart"/>
            <w:r w:rsidRPr="0009348F">
              <w:t>human</w:t>
            </w:r>
            <w:proofErr w:type="spellEnd"/>
            <w:r w:rsidRPr="0009348F">
              <w:t xml:space="preserve"> </w:t>
            </w:r>
            <w:proofErr w:type="spellStart"/>
            <w:r w:rsidRPr="0009348F">
              <w:t>rights</w:t>
            </w:r>
            <w:proofErr w:type="spellEnd"/>
            <w:r w:rsidRPr="0009348F">
              <w:t xml:space="preserve"> impacts </w:t>
            </w:r>
            <w:proofErr w:type="spellStart"/>
            <w:r w:rsidRPr="0009348F">
              <w:t>should</w:t>
            </w:r>
            <w:proofErr w:type="spellEnd"/>
            <w:r w:rsidRPr="0009348F">
              <w:t xml:space="preserve"> </w:t>
            </w:r>
            <w:proofErr w:type="spellStart"/>
            <w:r w:rsidRPr="0009348F">
              <w:t>be</w:t>
            </w:r>
            <w:proofErr w:type="spellEnd"/>
            <w:r w:rsidRPr="0009348F">
              <w:t xml:space="preserve"> </w:t>
            </w:r>
            <w:proofErr w:type="spellStart"/>
            <w:r w:rsidRPr="0009348F">
              <w:t>mandatory</w:t>
            </w:r>
            <w:proofErr w:type="spellEnd"/>
            <w:r w:rsidRPr="0009348F">
              <w:t xml:space="preserve"> for EQC and </w:t>
            </w:r>
            <w:proofErr w:type="spellStart"/>
            <w:r w:rsidRPr="0009348F">
              <w:t>insurers</w:t>
            </w:r>
            <w:proofErr w:type="spellEnd"/>
            <w:r w:rsidR="009C54FE">
              <w:t xml:space="preserve"> </w:t>
            </w:r>
            <w:proofErr w:type="spellStart"/>
            <w:r w:rsidR="009C54FE">
              <w:t>within</w:t>
            </w:r>
            <w:proofErr w:type="spellEnd"/>
            <w:r w:rsidR="009C54FE">
              <w:t xml:space="preserve"> 12 </w:t>
            </w:r>
            <w:proofErr w:type="spellStart"/>
            <w:r w:rsidR="009C54FE">
              <w:t>months</w:t>
            </w:r>
            <w:proofErr w:type="spellEnd"/>
            <w:r w:rsidRPr="0009348F">
              <w:t>.</w:t>
            </w:r>
          </w:p>
        </w:tc>
      </w:tr>
    </w:tbl>
    <w:p w14:paraId="70397434" w14:textId="77777777" w:rsidR="00521898" w:rsidRDefault="00521898" w:rsidP="00521898">
      <w:pPr>
        <w:tabs>
          <w:tab w:val="left" w:pos="3857"/>
        </w:tabs>
        <w:rPr>
          <w:rFonts w:cs="Calibri"/>
          <w:lang w:val="en-GB"/>
        </w:rPr>
      </w:pPr>
    </w:p>
    <w:p w14:paraId="672BED71" w14:textId="77777777" w:rsidR="00521898" w:rsidRPr="0009348F" w:rsidRDefault="00521898" w:rsidP="00521898">
      <w:pPr>
        <w:tabs>
          <w:tab w:val="left" w:pos="3857"/>
        </w:tabs>
        <w:rPr>
          <w:rFonts w:cs="Calibri"/>
          <w:lang w:val="en-GB"/>
        </w:rPr>
      </w:pPr>
      <w:r w:rsidRPr="0009348F">
        <w:rPr>
          <w:rFonts w:cs="Calibri"/>
          <w:lang w:val="en-GB"/>
        </w:rPr>
        <w:t>References/sources:</w:t>
      </w:r>
    </w:p>
    <w:p w14:paraId="1B410050" w14:textId="77777777" w:rsidR="00521898" w:rsidRPr="0009348F" w:rsidRDefault="00521898" w:rsidP="00521898">
      <w:pPr>
        <w:pStyle w:val="ListParagraph"/>
        <w:numPr>
          <w:ilvl w:val="0"/>
          <w:numId w:val="3"/>
        </w:numPr>
        <w:tabs>
          <w:tab w:val="left" w:pos="3857"/>
        </w:tabs>
        <w:rPr>
          <w:rFonts w:cs="Calibri"/>
          <w:lang w:val="en-GB"/>
        </w:rPr>
      </w:pPr>
      <w:r w:rsidRPr="0009348F">
        <w:rPr>
          <w:rFonts w:cs="Calibri"/>
          <w:lang w:val="en-GB"/>
        </w:rPr>
        <w:t>OECD “OECD Due Diligence for Responsible Business Conduct” (2018).</w:t>
      </w:r>
    </w:p>
    <w:p w14:paraId="27B5C4FF" w14:textId="77777777" w:rsidR="00521898" w:rsidRPr="0009348F" w:rsidRDefault="00521898" w:rsidP="00521898">
      <w:pPr>
        <w:pStyle w:val="ListParagraph"/>
        <w:numPr>
          <w:ilvl w:val="0"/>
          <w:numId w:val="3"/>
        </w:numPr>
        <w:tabs>
          <w:tab w:val="left" w:pos="3857"/>
        </w:tabs>
        <w:rPr>
          <w:rFonts w:cs="Calibri"/>
          <w:lang w:val="en-GB"/>
        </w:rPr>
      </w:pPr>
      <w:r w:rsidRPr="0009348F">
        <w:rPr>
          <w:rFonts w:cs="Calibri"/>
          <w:lang w:val="en-GB"/>
        </w:rPr>
        <w:t>United Nations “Guiding Principles on Business and Human Rights: Implementing the United Nations ‘Protect, Respect and Remedy’ Framework” (United Nations, New York and Geneva, 2011).</w:t>
      </w:r>
    </w:p>
    <w:p w14:paraId="03532C81" w14:textId="77777777" w:rsidR="00521898" w:rsidRPr="0009348F" w:rsidRDefault="00521898" w:rsidP="00521898">
      <w:pPr>
        <w:pStyle w:val="ListParagraph"/>
        <w:numPr>
          <w:ilvl w:val="0"/>
          <w:numId w:val="3"/>
        </w:numPr>
        <w:tabs>
          <w:tab w:val="left" w:pos="3857"/>
        </w:tabs>
        <w:rPr>
          <w:rFonts w:cs="Calibri"/>
          <w:lang w:val="en-GB"/>
        </w:rPr>
      </w:pPr>
      <w:r w:rsidRPr="0009348F">
        <w:rPr>
          <w:rFonts w:cs="Calibri"/>
          <w:lang w:val="en-GB"/>
        </w:rPr>
        <w:t>Earthquake Commission Act 1993.</w:t>
      </w:r>
    </w:p>
    <w:p w14:paraId="28DEF761" w14:textId="77777777" w:rsidR="00521898" w:rsidRPr="0009348F" w:rsidRDefault="00521898" w:rsidP="00521898">
      <w:pPr>
        <w:pStyle w:val="ListParagraph"/>
        <w:numPr>
          <w:ilvl w:val="0"/>
          <w:numId w:val="3"/>
        </w:numPr>
        <w:tabs>
          <w:tab w:val="left" w:pos="3857"/>
        </w:tabs>
        <w:rPr>
          <w:rFonts w:cs="Calibri"/>
          <w:lang w:val="en-GB"/>
        </w:rPr>
      </w:pPr>
      <w:r w:rsidRPr="0009348F">
        <w:rPr>
          <w:rFonts w:cs="Calibri"/>
          <w:lang w:val="en-GB"/>
        </w:rPr>
        <w:t>Fair Insurance Code 2016.</w:t>
      </w:r>
    </w:p>
    <w:p w14:paraId="0CC505A8" w14:textId="77777777" w:rsidR="00521898" w:rsidRPr="0009348F" w:rsidRDefault="00521898" w:rsidP="00521898">
      <w:pPr>
        <w:pStyle w:val="ListParagraph"/>
        <w:numPr>
          <w:ilvl w:val="0"/>
          <w:numId w:val="3"/>
        </w:numPr>
        <w:tabs>
          <w:tab w:val="left" w:pos="3857"/>
        </w:tabs>
        <w:rPr>
          <w:rFonts w:cs="Calibri"/>
          <w:lang w:val="en-GB"/>
        </w:rPr>
      </w:pPr>
      <w:r w:rsidRPr="0009348F">
        <w:rPr>
          <w:rFonts w:cs="Calibri"/>
          <w:lang w:val="en-GB"/>
        </w:rPr>
        <w:t xml:space="preserve">Human Rights Commission </w:t>
      </w:r>
      <w:r w:rsidRPr="0009348F">
        <w:rPr>
          <w:rFonts w:cs="Calibri"/>
          <w:i/>
          <w:lang w:val="en-GB"/>
        </w:rPr>
        <w:t xml:space="preserve">Monitoring Human Rights in the Canterbury Earthquake Recovery: A Report by the Human Rights Commission </w:t>
      </w:r>
      <w:r w:rsidRPr="0009348F">
        <w:rPr>
          <w:rFonts w:cs="Calibri"/>
          <w:lang w:val="en-GB"/>
        </w:rPr>
        <w:t>(Human Rights Commission, 2013).</w:t>
      </w:r>
    </w:p>
    <w:p w14:paraId="7D76B819" w14:textId="77777777" w:rsidR="00521898" w:rsidRPr="0009348F" w:rsidRDefault="00521898" w:rsidP="00521898">
      <w:pPr>
        <w:pStyle w:val="ListParagraph"/>
        <w:numPr>
          <w:ilvl w:val="0"/>
          <w:numId w:val="3"/>
        </w:numPr>
        <w:tabs>
          <w:tab w:val="left" w:pos="3857"/>
        </w:tabs>
        <w:rPr>
          <w:rFonts w:cs="Calibri"/>
          <w:lang w:val="en-GB"/>
        </w:rPr>
      </w:pPr>
      <w:r w:rsidRPr="0009348F">
        <w:rPr>
          <w:rFonts w:cs="Calibri"/>
          <w:lang w:val="en-GB"/>
        </w:rPr>
        <w:t xml:space="preserve">United Nations Economic and Social </w:t>
      </w:r>
      <w:proofErr w:type="gramStart"/>
      <w:r w:rsidRPr="0009348F">
        <w:rPr>
          <w:rFonts w:cs="Calibri"/>
          <w:lang w:val="en-GB"/>
        </w:rPr>
        <w:t xml:space="preserve">Council  </w:t>
      </w:r>
      <w:r w:rsidRPr="0009348F">
        <w:rPr>
          <w:rFonts w:cs="Calibri"/>
          <w:i/>
          <w:lang w:val="en-GB"/>
        </w:rPr>
        <w:t>Concluding</w:t>
      </w:r>
      <w:proofErr w:type="gramEnd"/>
      <w:r w:rsidRPr="0009348F">
        <w:rPr>
          <w:rFonts w:cs="Calibri"/>
          <w:i/>
          <w:lang w:val="en-GB"/>
        </w:rPr>
        <w:t xml:space="preserve"> Observations on the Fourth Periodic Report of New Zealand</w:t>
      </w:r>
      <w:r w:rsidRPr="0009348F">
        <w:rPr>
          <w:rFonts w:cs="Calibri"/>
          <w:lang w:val="en-GB"/>
        </w:rPr>
        <w:t xml:space="preserve"> (United Nations, E/C.12/NZL/CO/4, May 2018).</w:t>
      </w:r>
    </w:p>
    <w:p w14:paraId="4E818E84" w14:textId="77777777" w:rsidR="00521898" w:rsidRPr="00DA2540" w:rsidRDefault="00521898" w:rsidP="00521898">
      <w:pPr>
        <w:tabs>
          <w:tab w:val="left" w:pos="3857"/>
        </w:tabs>
        <w:rPr>
          <w:rFonts w:cs="Calibri"/>
          <w:lang w:val="en-GB"/>
        </w:rPr>
      </w:pPr>
    </w:p>
    <w:p w14:paraId="5B454C79" w14:textId="77777777" w:rsidR="00B71B46" w:rsidRPr="0009348F" w:rsidRDefault="00B71B46">
      <w:pPr>
        <w:spacing w:after="160" w:line="259" w:lineRule="auto"/>
        <w:rPr>
          <w:rFonts w:cs="Calibri"/>
          <w:lang w:val="en-GB"/>
        </w:rPr>
      </w:pPr>
    </w:p>
    <w:p w14:paraId="0C9394BA" w14:textId="77777777" w:rsidR="00CF17C4" w:rsidRDefault="00CF17C4"/>
    <w:sectPr w:rsidR="00CF17C4" w:rsidSect="000805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0E34A" w14:textId="77777777" w:rsidR="005377CC" w:rsidRDefault="005377CC" w:rsidP="006973D8">
      <w:pPr>
        <w:spacing w:after="0" w:line="240" w:lineRule="auto"/>
      </w:pPr>
      <w:r>
        <w:separator/>
      </w:r>
    </w:p>
  </w:endnote>
  <w:endnote w:type="continuationSeparator" w:id="0">
    <w:p w14:paraId="00E0D3F3" w14:textId="77777777" w:rsidR="005377CC" w:rsidRDefault="005377CC" w:rsidP="0069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AEB1" w14:textId="77777777" w:rsidR="00051CBF" w:rsidRPr="00442659" w:rsidRDefault="00D51775">
    <w:pPr>
      <w:pStyle w:val="Footer"/>
      <w:pBdr>
        <w:top w:val="thinThickSmallGap" w:sz="24" w:space="1" w:color="622423"/>
      </w:pBdr>
      <w:rPr>
        <w:sz w:val="20"/>
      </w:rPr>
    </w:pPr>
    <w:r w:rsidRPr="00442659">
      <w:rPr>
        <w:sz w:val="20"/>
      </w:rPr>
      <w:t>NAME</w:t>
    </w:r>
    <w:r w:rsidRPr="00442659">
      <w:rPr>
        <w:sz w:val="20"/>
      </w:rPr>
      <w:tab/>
    </w:r>
    <w:r w:rsidRPr="00442659">
      <w:rPr>
        <w:sz w:val="20"/>
      </w:rPr>
      <w:tab/>
      <w:t>FACTSHEET 1</w:t>
    </w:r>
  </w:p>
  <w:p w14:paraId="209CA487" w14:textId="77777777" w:rsidR="00051CBF" w:rsidRDefault="003F0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BA46" w14:textId="77777777" w:rsidR="005377CC" w:rsidRDefault="005377CC" w:rsidP="006973D8">
      <w:pPr>
        <w:spacing w:after="0" w:line="240" w:lineRule="auto"/>
      </w:pPr>
      <w:r>
        <w:separator/>
      </w:r>
    </w:p>
  </w:footnote>
  <w:footnote w:type="continuationSeparator" w:id="0">
    <w:p w14:paraId="45C095B3" w14:textId="77777777" w:rsidR="005377CC" w:rsidRDefault="005377CC" w:rsidP="006973D8">
      <w:pPr>
        <w:spacing w:after="0" w:line="240" w:lineRule="auto"/>
      </w:pPr>
      <w:r>
        <w:continuationSeparator/>
      </w:r>
    </w:p>
  </w:footnote>
  <w:footnote w:id="1">
    <w:p w14:paraId="3770713C" w14:textId="77777777" w:rsidR="00B71B46" w:rsidRPr="005F327E" w:rsidRDefault="00B71B46" w:rsidP="00B71B46">
      <w:pPr>
        <w:pStyle w:val="FootnoteText"/>
        <w:rPr>
          <w:i/>
          <w:lang w:val="en-US"/>
        </w:rPr>
      </w:pPr>
      <w:r>
        <w:rPr>
          <w:rStyle w:val="FootnoteReference"/>
        </w:rPr>
        <w:footnoteRef/>
      </w:r>
      <w:r>
        <w:t xml:space="preserve"> United Nations Economic and Social Council </w:t>
      </w:r>
      <w:r>
        <w:rPr>
          <w:i/>
        </w:rPr>
        <w:t xml:space="preserve"> Concluding Observations on the Fourth Periodic Report of New Zealand </w:t>
      </w:r>
      <w:r>
        <w:t>(United Nations, May 2018).</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2957B" w14:textId="77777777" w:rsidR="006973D8" w:rsidRPr="00442659" w:rsidRDefault="00D51775">
    <w:pPr>
      <w:pStyle w:val="Header"/>
      <w:rPr>
        <w:b/>
        <w:lang w:val="en-GB"/>
      </w:rPr>
    </w:pPr>
    <w:r w:rsidRPr="00442659">
      <w:rPr>
        <w:b/>
        <w:lang w:val="en-GB"/>
      </w:rPr>
      <w:t>FACTSHEET – UPR 201</w:t>
    </w:r>
    <w:r>
      <w:rPr>
        <w:b/>
        <w:lang w:val="en-GB"/>
      </w:rPr>
      <w:t>8</w:t>
    </w:r>
    <w:r w:rsidRPr="00442659">
      <w:rPr>
        <w:b/>
        <w:lang w:val="en-GB"/>
      </w:rPr>
      <w:t xml:space="preserve"> – </w:t>
    </w:r>
    <w:r>
      <w:rPr>
        <w:b/>
        <w:lang w:val="en-GB"/>
      </w:rPr>
      <w:t>New Zealand</w:t>
    </w:r>
    <w:r w:rsidRPr="00442659">
      <w:rPr>
        <w:b/>
        <w:lang w:val="en-GB"/>
      </w:rPr>
      <w:tab/>
    </w:r>
    <w:r w:rsidRPr="00442659">
      <w:rPr>
        <w:b/>
        <w:lang w:val="en-GB"/>
      </w:rPr>
      <w:tab/>
    </w:r>
    <w:r w:rsidR="006973D8">
      <w:rPr>
        <w:b/>
        <w:lang w:val="en-GB"/>
      </w:rPr>
      <w:t>John Goddard WCM Legal</w:t>
    </w:r>
  </w:p>
  <w:p w14:paraId="18AD670D" w14:textId="77777777" w:rsidR="00051CBF" w:rsidRPr="00442659" w:rsidRDefault="00D51775">
    <w:pPr>
      <w:pStyle w:val="Header"/>
      <w:rPr>
        <w:b/>
      </w:rPr>
    </w:pPr>
    <w:r w:rsidRPr="00442659">
      <w:rPr>
        <w:b/>
      </w:rPr>
      <w:t>3rd CYCLE UNIVERSAL PERIODIC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B11"/>
    <w:multiLevelType w:val="hybridMultilevel"/>
    <w:tmpl w:val="9638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8527B"/>
    <w:multiLevelType w:val="hybridMultilevel"/>
    <w:tmpl w:val="7F68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70ECC"/>
    <w:multiLevelType w:val="hybridMultilevel"/>
    <w:tmpl w:val="D3D64AD2"/>
    <w:lvl w:ilvl="0" w:tplc="EF1A388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2181D"/>
    <w:multiLevelType w:val="hybridMultilevel"/>
    <w:tmpl w:val="53DE05C8"/>
    <w:lvl w:ilvl="0" w:tplc="303CCA80">
      <w:start w:val="1"/>
      <w:numFmt w:val="decimal"/>
      <w:lvlText w:val="%1."/>
      <w:lvlJc w:val="left"/>
      <w:pPr>
        <w:ind w:left="720" w:hanging="360"/>
      </w:pPr>
      <w:rPr>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8E"/>
    <w:rsid w:val="00002444"/>
    <w:rsid w:val="0005728E"/>
    <w:rsid w:val="0009348F"/>
    <w:rsid w:val="0009376F"/>
    <w:rsid w:val="001D5244"/>
    <w:rsid w:val="0020309F"/>
    <w:rsid w:val="003F023F"/>
    <w:rsid w:val="00494D7B"/>
    <w:rsid w:val="00521898"/>
    <w:rsid w:val="005377CC"/>
    <w:rsid w:val="005D2920"/>
    <w:rsid w:val="005F65C1"/>
    <w:rsid w:val="006558E8"/>
    <w:rsid w:val="006973D8"/>
    <w:rsid w:val="006D5643"/>
    <w:rsid w:val="008D54E7"/>
    <w:rsid w:val="009C54FE"/>
    <w:rsid w:val="00B71B46"/>
    <w:rsid w:val="00C0281F"/>
    <w:rsid w:val="00C84154"/>
    <w:rsid w:val="00CF17C4"/>
    <w:rsid w:val="00D51775"/>
    <w:rsid w:val="00DA5C93"/>
    <w:rsid w:val="00ED63B3"/>
    <w:rsid w:val="00F51D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0F92"/>
  <w15:chartTrackingRefBased/>
  <w15:docId w15:val="{326EE252-8BA1-4FDF-A9D8-76A6A1E7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28E"/>
    <w:pPr>
      <w:spacing w:after="200" w:line="276" w:lineRule="auto"/>
    </w:pPr>
    <w:rPr>
      <w:rFonts w:ascii="Calibri" w:eastAsia="Calibri" w:hAnsi="Calibri" w:cs="Times New Roman"/>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2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728E"/>
    <w:rPr>
      <w:rFonts w:ascii="Calibri" w:eastAsia="Calibri" w:hAnsi="Calibri" w:cs="Times New Roman"/>
      <w:lang w:val="fr-CH"/>
    </w:rPr>
  </w:style>
  <w:style w:type="paragraph" w:styleId="Footer">
    <w:name w:val="footer"/>
    <w:basedOn w:val="Normal"/>
    <w:link w:val="FooterChar"/>
    <w:uiPriority w:val="99"/>
    <w:unhideWhenUsed/>
    <w:rsid w:val="000572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728E"/>
    <w:rPr>
      <w:rFonts w:ascii="Calibri" w:eastAsia="Calibri" w:hAnsi="Calibri" w:cs="Times New Roman"/>
      <w:lang w:val="fr-CH"/>
    </w:rPr>
  </w:style>
  <w:style w:type="paragraph" w:styleId="ListParagraph">
    <w:name w:val="List Paragraph"/>
    <w:basedOn w:val="Normal"/>
    <w:uiPriority w:val="34"/>
    <w:qFormat/>
    <w:rsid w:val="006973D8"/>
    <w:pPr>
      <w:ind w:left="720"/>
      <w:contextualSpacing/>
    </w:pPr>
  </w:style>
  <w:style w:type="character" w:styleId="Hyperlink">
    <w:name w:val="Hyperlink"/>
    <w:basedOn w:val="DefaultParagraphFont"/>
    <w:uiPriority w:val="99"/>
    <w:unhideWhenUsed/>
    <w:rsid w:val="00DA5C93"/>
    <w:rPr>
      <w:color w:val="0563C1" w:themeColor="hyperlink"/>
      <w:u w:val="single"/>
    </w:rPr>
  </w:style>
  <w:style w:type="character" w:styleId="UnresolvedMention">
    <w:name w:val="Unresolved Mention"/>
    <w:basedOn w:val="DefaultParagraphFont"/>
    <w:uiPriority w:val="99"/>
    <w:semiHidden/>
    <w:unhideWhenUsed/>
    <w:rsid w:val="00DA5C93"/>
    <w:rPr>
      <w:color w:val="808080"/>
      <w:shd w:val="clear" w:color="auto" w:fill="E6E6E6"/>
    </w:rPr>
  </w:style>
  <w:style w:type="paragraph" w:styleId="FootnoteText">
    <w:name w:val="footnote text"/>
    <w:basedOn w:val="Normal"/>
    <w:link w:val="FootnoteTextChar"/>
    <w:uiPriority w:val="99"/>
    <w:semiHidden/>
    <w:unhideWhenUsed/>
    <w:rsid w:val="00B71B46"/>
    <w:pPr>
      <w:spacing w:after="0" w:line="240" w:lineRule="auto"/>
    </w:pPr>
    <w:rPr>
      <w:rFonts w:asciiTheme="minorHAnsi" w:eastAsiaTheme="minorHAnsi" w:hAnsiTheme="minorHAnsi" w:cstheme="minorBidi"/>
      <w:sz w:val="20"/>
      <w:szCs w:val="20"/>
      <w:lang w:val="en-NZ"/>
    </w:rPr>
  </w:style>
  <w:style w:type="character" w:customStyle="1" w:styleId="FootnoteTextChar">
    <w:name w:val="Footnote Text Char"/>
    <w:basedOn w:val="DefaultParagraphFont"/>
    <w:link w:val="FootnoteText"/>
    <w:uiPriority w:val="99"/>
    <w:semiHidden/>
    <w:rsid w:val="00B71B46"/>
    <w:rPr>
      <w:sz w:val="20"/>
      <w:szCs w:val="20"/>
    </w:rPr>
  </w:style>
  <w:style w:type="character" w:styleId="FootnoteReference">
    <w:name w:val="footnote reference"/>
    <w:basedOn w:val="DefaultParagraphFont"/>
    <w:uiPriority w:val="99"/>
    <w:semiHidden/>
    <w:unhideWhenUsed/>
    <w:rsid w:val="00B71B46"/>
    <w:rPr>
      <w:vertAlign w:val="superscript"/>
    </w:rPr>
  </w:style>
  <w:style w:type="paragraph" w:styleId="BalloonText">
    <w:name w:val="Balloon Text"/>
    <w:basedOn w:val="Normal"/>
    <w:link w:val="BalloonTextChar"/>
    <w:uiPriority w:val="99"/>
    <w:semiHidden/>
    <w:unhideWhenUsed/>
    <w:rsid w:val="008D5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4E7"/>
    <w:rPr>
      <w:rFonts w:ascii="Segoe UI" w:eastAsia="Calibri"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Goddard</dc:creator>
  <cp:keywords/>
  <dc:description/>
  <cp:lastModifiedBy>Eleanor Vermunt</cp:lastModifiedBy>
  <cp:revision>2</cp:revision>
  <cp:lastPrinted>2018-10-19T02:39:00Z</cp:lastPrinted>
  <dcterms:created xsi:type="dcterms:W3CDTF">2018-10-29T21:20:00Z</dcterms:created>
  <dcterms:modified xsi:type="dcterms:W3CDTF">2018-10-29T21:20:00Z</dcterms:modified>
</cp:coreProperties>
</file>