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DBD" w:rsidRDefault="00D32843" w:rsidP="00C05066">
      <w:pPr>
        <w:tabs>
          <w:tab w:val="left" w:pos="5730"/>
        </w:tabs>
        <w:rPr>
          <w:b/>
          <w:sz w:val="28"/>
          <w:szCs w:val="28"/>
        </w:rPr>
      </w:pPr>
      <w:r>
        <w:rPr>
          <w:b/>
          <w:sz w:val="28"/>
          <w:szCs w:val="28"/>
        </w:rPr>
        <w:t>Indigenous Juridicial Systems and Access to Justice for indigenous Women, Children and Youth and Persons with Disabilities</w:t>
      </w:r>
    </w:p>
    <w:p w:rsidR="00332947" w:rsidRDefault="00332947" w:rsidP="00C05066">
      <w:pPr>
        <w:tabs>
          <w:tab w:val="left" w:pos="5730"/>
        </w:tabs>
        <w:rPr>
          <w:b/>
          <w:sz w:val="28"/>
          <w:szCs w:val="28"/>
        </w:rPr>
      </w:pPr>
    </w:p>
    <w:p w:rsidR="00332947" w:rsidRDefault="00332947" w:rsidP="00C05066">
      <w:pPr>
        <w:tabs>
          <w:tab w:val="left" w:pos="5730"/>
        </w:tabs>
        <w:rPr>
          <w:b/>
          <w:sz w:val="28"/>
          <w:szCs w:val="28"/>
        </w:rPr>
      </w:pPr>
      <w:r>
        <w:rPr>
          <w:b/>
          <w:sz w:val="28"/>
          <w:szCs w:val="28"/>
        </w:rPr>
        <w:t>Human Rights Commission Submission to</w:t>
      </w:r>
      <w:r w:rsidR="00F91FD4">
        <w:rPr>
          <w:b/>
          <w:sz w:val="28"/>
          <w:szCs w:val="28"/>
        </w:rPr>
        <w:t xml:space="preserve"> </w:t>
      </w:r>
      <w:r w:rsidR="00D32843">
        <w:rPr>
          <w:b/>
          <w:sz w:val="28"/>
          <w:szCs w:val="28"/>
        </w:rPr>
        <w:t>the Expert Mechanism on the rights of Indigenous Peoples</w:t>
      </w:r>
    </w:p>
    <w:p w:rsidR="00332947" w:rsidRDefault="00332947" w:rsidP="00C05066">
      <w:pPr>
        <w:tabs>
          <w:tab w:val="left" w:pos="5730"/>
        </w:tabs>
        <w:rPr>
          <w:b/>
          <w:sz w:val="28"/>
          <w:szCs w:val="28"/>
        </w:rPr>
      </w:pPr>
    </w:p>
    <w:p w:rsidR="00332947" w:rsidRPr="00332947" w:rsidRDefault="00D32843" w:rsidP="00C05066">
      <w:pPr>
        <w:tabs>
          <w:tab w:val="left" w:pos="5730"/>
        </w:tabs>
        <w:rPr>
          <w:b/>
          <w:sz w:val="28"/>
          <w:szCs w:val="28"/>
        </w:rPr>
      </w:pPr>
      <w:r>
        <w:rPr>
          <w:b/>
          <w:sz w:val="28"/>
          <w:szCs w:val="28"/>
        </w:rPr>
        <w:t>10 March 2014</w:t>
      </w:r>
    </w:p>
    <w:p w:rsidR="003F6DBD" w:rsidRPr="00820419" w:rsidRDefault="003F6DBD" w:rsidP="00C05066">
      <w:pPr>
        <w:tabs>
          <w:tab w:val="left" w:pos="5730"/>
        </w:tabs>
      </w:pPr>
    </w:p>
    <w:p w:rsidR="00D32843" w:rsidRDefault="003F6DBD" w:rsidP="00332947">
      <w:pPr>
        <w:rPr>
          <w:rFonts w:cs="Arial"/>
        </w:rPr>
      </w:pPr>
      <w:r w:rsidRPr="003B21A1">
        <w:rPr>
          <w:rFonts w:cs="Arial"/>
        </w:rPr>
        <w:t>The New Zealand Human Rights Commission (“Commission”) welcomes the opportun</w:t>
      </w:r>
      <w:r w:rsidR="00F91FD4">
        <w:rPr>
          <w:rFonts w:cs="Arial"/>
        </w:rPr>
        <w:t xml:space="preserve">ity to </w:t>
      </w:r>
      <w:r w:rsidR="00D32843">
        <w:rPr>
          <w:rFonts w:cs="Arial"/>
        </w:rPr>
        <w:t>provide the Expert Mechanism on the rights of Indigenous Peoples</w:t>
      </w:r>
      <w:r w:rsidR="003B0D3E">
        <w:rPr>
          <w:rFonts w:cs="Arial"/>
        </w:rPr>
        <w:t xml:space="preserve"> (“EMRIP”)</w:t>
      </w:r>
      <w:r w:rsidR="00D32843">
        <w:rPr>
          <w:rFonts w:cs="Arial"/>
        </w:rPr>
        <w:t xml:space="preserve"> with information related to indigenous juridicial systems and access to justice for indigenous people in Aotearoa New Zealand.</w:t>
      </w:r>
    </w:p>
    <w:p w:rsidR="00D32843" w:rsidRDefault="00D32843" w:rsidP="00332947">
      <w:pPr>
        <w:rPr>
          <w:rFonts w:cs="Arial"/>
        </w:rPr>
      </w:pPr>
    </w:p>
    <w:p w:rsidR="00D32843" w:rsidRPr="00D32843" w:rsidRDefault="00D32843" w:rsidP="00D32843">
      <w:pPr>
        <w:pStyle w:val="ListParagraph"/>
        <w:numPr>
          <w:ilvl w:val="0"/>
          <w:numId w:val="19"/>
        </w:numPr>
        <w:spacing w:line="276" w:lineRule="auto"/>
        <w:ind w:left="426"/>
        <w:rPr>
          <w:rFonts w:cs="Arial"/>
          <w:b/>
          <w:iCs/>
        </w:rPr>
      </w:pPr>
      <w:r>
        <w:rPr>
          <w:rFonts w:cs="Arial"/>
          <w:b/>
          <w:iCs/>
        </w:rPr>
        <w:t>Indigenous juridicial systems</w:t>
      </w:r>
    </w:p>
    <w:p w:rsidR="00D32843" w:rsidRDefault="00D32843" w:rsidP="00D32843">
      <w:pPr>
        <w:spacing w:line="276" w:lineRule="auto"/>
        <w:ind w:left="426" w:hanging="426"/>
        <w:rPr>
          <w:rFonts w:cs="Arial"/>
          <w:iCs/>
        </w:rPr>
      </w:pPr>
    </w:p>
    <w:p w:rsidR="00D32843" w:rsidRDefault="00D32843" w:rsidP="00D32843">
      <w:pPr>
        <w:pStyle w:val="ListParagraph"/>
        <w:numPr>
          <w:ilvl w:val="1"/>
          <w:numId w:val="19"/>
        </w:numPr>
        <w:spacing w:line="276" w:lineRule="auto"/>
        <w:ind w:left="426" w:hanging="426"/>
        <w:rPr>
          <w:rFonts w:cs="Arial"/>
          <w:iCs/>
        </w:rPr>
      </w:pPr>
      <w:r w:rsidRPr="00D32843">
        <w:rPr>
          <w:rFonts w:cs="Arial"/>
          <w:iCs/>
        </w:rPr>
        <w:t>Article 34 of the</w:t>
      </w:r>
      <w:r w:rsidR="00E42B67">
        <w:rPr>
          <w:rFonts w:cs="Arial"/>
          <w:iCs/>
        </w:rPr>
        <w:t xml:space="preserve"> United Nations Declaration on the rights of Indigenous Peoples</w:t>
      </w:r>
      <w:r w:rsidRPr="00D32843">
        <w:rPr>
          <w:rFonts w:cs="Arial"/>
          <w:iCs/>
        </w:rPr>
        <w:t xml:space="preserve"> </w:t>
      </w:r>
      <w:r w:rsidR="00E42B67">
        <w:rPr>
          <w:rFonts w:cs="Arial"/>
          <w:iCs/>
        </w:rPr>
        <w:t>(“</w:t>
      </w:r>
      <w:r w:rsidRPr="00D32843">
        <w:rPr>
          <w:rFonts w:cs="Arial"/>
          <w:iCs/>
        </w:rPr>
        <w:t>UNDRIP</w:t>
      </w:r>
      <w:r w:rsidR="00E42B67">
        <w:rPr>
          <w:rFonts w:cs="Arial"/>
          <w:iCs/>
        </w:rPr>
        <w:t>”)</w:t>
      </w:r>
      <w:r w:rsidRPr="00D32843">
        <w:rPr>
          <w:rFonts w:cs="Arial"/>
          <w:iCs/>
        </w:rPr>
        <w:t xml:space="preserve"> provides for indigenous peoples to develop their own institutions, customs, spirituality, traditions, procedures and judicial systems in accordance with international human rights standards.</w:t>
      </w:r>
    </w:p>
    <w:p w:rsidR="00831565" w:rsidRPr="00831565" w:rsidRDefault="00831565" w:rsidP="00831565">
      <w:pPr>
        <w:rPr>
          <w:rFonts w:cs="Arial"/>
          <w:lang w:eastAsia="en-NZ"/>
        </w:rPr>
      </w:pPr>
    </w:p>
    <w:p w:rsidR="00831565" w:rsidRPr="00831565" w:rsidRDefault="00B30B02" w:rsidP="00831565">
      <w:pPr>
        <w:pStyle w:val="ListParagraph"/>
        <w:numPr>
          <w:ilvl w:val="1"/>
          <w:numId w:val="19"/>
        </w:numPr>
        <w:spacing w:line="276" w:lineRule="auto"/>
        <w:ind w:left="426" w:hanging="426"/>
        <w:rPr>
          <w:rFonts w:cs="Arial"/>
          <w:iCs/>
        </w:rPr>
      </w:pPr>
      <w:r w:rsidRPr="00831565">
        <w:rPr>
          <w:rFonts w:cs="Arial"/>
          <w:lang w:eastAsia="en-NZ"/>
        </w:rPr>
        <w:t xml:space="preserve">Yrigoyen suggests that </w:t>
      </w:r>
      <w:r w:rsidR="00831565">
        <w:rPr>
          <w:rFonts w:cs="Arial"/>
          <w:lang w:eastAsia="en-NZ"/>
        </w:rPr>
        <w:t>“</w:t>
      </w:r>
      <w:r w:rsidRPr="00831565">
        <w:rPr>
          <w:rFonts w:cs="Arial"/>
          <w:lang w:eastAsia="en-NZ"/>
        </w:rPr>
        <w:t>full legal recognition of indigenous justice systems implies three things: recognition of indigenous</w:t>
      </w:r>
      <w:r w:rsidR="00831565">
        <w:rPr>
          <w:rFonts w:cs="Arial"/>
          <w:lang w:eastAsia="en-NZ"/>
        </w:rPr>
        <w:t xml:space="preserve"> </w:t>
      </w:r>
      <w:r w:rsidRPr="00831565">
        <w:rPr>
          <w:rFonts w:cs="Arial"/>
          <w:i/>
          <w:iCs/>
          <w:lang w:eastAsia="en-NZ"/>
        </w:rPr>
        <w:t xml:space="preserve">norms </w:t>
      </w:r>
      <w:r w:rsidRPr="00831565">
        <w:rPr>
          <w:rFonts w:cs="Arial"/>
          <w:lang w:eastAsia="en-NZ"/>
        </w:rPr>
        <w:t xml:space="preserve">as a source of statutory law; recognition of the indigenous </w:t>
      </w:r>
      <w:r w:rsidRPr="00831565">
        <w:rPr>
          <w:rFonts w:cs="Arial"/>
          <w:i/>
          <w:iCs/>
          <w:lang w:eastAsia="en-NZ"/>
        </w:rPr>
        <w:t xml:space="preserve">authorities </w:t>
      </w:r>
      <w:r w:rsidRPr="00831565">
        <w:rPr>
          <w:rFonts w:cs="Arial"/>
          <w:lang w:eastAsia="en-NZ"/>
        </w:rPr>
        <w:t>charged with applying</w:t>
      </w:r>
      <w:r w:rsidRPr="00831565">
        <w:rPr>
          <w:rFonts w:cs="Arial"/>
          <w:iCs/>
        </w:rPr>
        <w:t xml:space="preserve"> </w:t>
      </w:r>
      <w:r w:rsidRPr="00831565">
        <w:rPr>
          <w:rFonts w:cs="Arial"/>
          <w:lang w:eastAsia="en-NZ"/>
        </w:rPr>
        <w:t xml:space="preserve">and administering indigenous law, and; recognition of a specific </w:t>
      </w:r>
      <w:r w:rsidRPr="00831565">
        <w:rPr>
          <w:rFonts w:cs="Arial"/>
          <w:i/>
          <w:iCs/>
          <w:lang w:eastAsia="en-NZ"/>
        </w:rPr>
        <w:t>jurisdiction</w:t>
      </w:r>
      <w:r w:rsidRPr="00831565">
        <w:rPr>
          <w:rFonts w:cs="Arial"/>
          <w:lang w:eastAsia="en-NZ"/>
        </w:rPr>
        <w:t>, making it clear who</w:t>
      </w:r>
      <w:r w:rsidRPr="00831565">
        <w:rPr>
          <w:rFonts w:cs="Arial"/>
          <w:iCs/>
        </w:rPr>
        <w:t xml:space="preserve"> </w:t>
      </w:r>
      <w:r w:rsidRPr="00831565">
        <w:rPr>
          <w:rFonts w:cs="Arial"/>
          <w:lang w:eastAsia="en-NZ"/>
        </w:rPr>
        <w:t>indigenous law is to apply to, within which geographical area it is to be applied, and what kinds of</w:t>
      </w:r>
      <w:r w:rsidRPr="00831565">
        <w:rPr>
          <w:rFonts w:cs="Arial"/>
          <w:iCs/>
        </w:rPr>
        <w:t xml:space="preserve"> </w:t>
      </w:r>
      <w:r w:rsidRPr="00831565">
        <w:rPr>
          <w:rFonts w:cs="Arial"/>
          <w:lang w:eastAsia="en-NZ"/>
        </w:rPr>
        <w:t>matters or conflicts it can adjudicate.</w:t>
      </w:r>
      <w:r w:rsidR="00831565">
        <w:rPr>
          <w:rFonts w:cs="Arial"/>
          <w:lang w:eastAsia="en-NZ"/>
        </w:rPr>
        <w:t>”</w:t>
      </w:r>
      <w:r w:rsidRPr="00831565">
        <w:rPr>
          <w:rStyle w:val="FootnoteReference"/>
          <w:rFonts w:cs="Arial"/>
          <w:lang w:eastAsia="en-NZ"/>
        </w:rPr>
        <w:footnoteReference w:id="1"/>
      </w:r>
    </w:p>
    <w:p w:rsidR="00831565" w:rsidRDefault="00831565" w:rsidP="00831565">
      <w:pPr>
        <w:spacing w:line="276" w:lineRule="auto"/>
        <w:rPr>
          <w:rFonts w:cs="Arial"/>
          <w:iCs/>
        </w:rPr>
      </w:pPr>
    </w:p>
    <w:p w:rsidR="00831565" w:rsidRDefault="00831565" w:rsidP="00831565">
      <w:pPr>
        <w:pStyle w:val="ListParagraph"/>
        <w:numPr>
          <w:ilvl w:val="1"/>
          <w:numId w:val="19"/>
        </w:numPr>
        <w:spacing w:line="276" w:lineRule="auto"/>
        <w:ind w:left="426" w:hanging="426"/>
        <w:rPr>
          <w:rFonts w:cs="Arial"/>
          <w:iCs/>
        </w:rPr>
      </w:pPr>
      <w:r w:rsidRPr="00D32843">
        <w:rPr>
          <w:rFonts w:cs="Arial"/>
          <w:iCs/>
        </w:rPr>
        <w:t xml:space="preserve">In Aotearoa New Zealand the Treaty of Waitangi provides the framework for </w:t>
      </w:r>
      <w:r>
        <w:rPr>
          <w:rFonts w:cs="Arial"/>
          <w:iCs/>
        </w:rPr>
        <w:t>the relationship between the Crown (government) and Indigenous Peoples</w:t>
      </w:r>
      <w:r w:rsidRPr="00D32843">
        <w:rPr>
          <w:rFonts w:cs="Arial"/>
          <w:iCs/>
        </w:rPr>
        <w:t xml:space="preserve">.  </w:t>
      </w:r>
      <w:r>
        <w:rPr>
          <w:rFonts w:cs="Arial"/>
          <w:iCs/>
        </w:rPr>
        <w:t>In summary, the</w:t>
      </w:r>
      <w:r w:rsidRPr="00D32843">
        <w:rPr>
          <w:rFonts w:cs="Arial"/>
          <w:iCs/>
        </w:rPr>
        <w:t xml:space="preserve"> Treaty:</w:t>
      </w:r>
    </w:p>
    <w:p w:rsidR="00831565" w:rsidRPr="00831565" w:rsidRDefault="00831565" w:rsidP="00831565">
      <w:pPr>
        <w:pStyle w:val="ListParagraph"/>
        <w:rPr>
          <w:rFonts w:cs="Arial"/>
          <w:iCs/>
        </w:rPr>
      </w:pPr>
    </w:p>
    <w:p w:rsidR="00831565" w:rsidRPr="00B42C0F" w:rsidRDefault="003B0D3E" w:rsidP="00831565">
      <w:pPr>
        <w:pStyle w:val="ListParagraph"/>
        <w:numPr>
          <w:ilvl w:val="0"/>
          <w:numId w:val="20"/>
        </w:numPr>
        <w:spacing w:line="276" w:lineRule="auto"/>
        <w:contextualSpacing w:val="0"/>
        <w:rPr>
          <w:iCs/>
        </w:rPr>
      </w:pPr>
      <w:r>
        <w:rPr>
          <w:iCs/>
        </w:rPr>
        <w:t>g</w:t>
      </w:r>
      <w:r w:rsidR="00831565" w:rsidRPr="00B42C0F">
        <w:rPr>
          <w:iCs/>
        </w:rPr>
        <w:t>ave the Crown an authority to govern based on the obligation of partnership</w:t>
      </w:r>
      <w:r w:rsidR="00831565">
        <w:rPr>
          <w:iCs/>
        </w:rPr>
        <w:t>;</w:t>
      </w:r>
      <w:r w:rsidR="00831565">
        <w:rPr>
          <w:iCs/>
        </w:rPr>
        <w:br/>
      </w:r>
    </w:p>
    <w:p w:rsidR="00831565" w:rsidRDefault="003B0D3E" w:rsidP="00831565">
      <w:pPr>
        <w:pStyle w:val="ListParagraph"/>
        <w:numPr>
          <w:ilvl w:val="0"/>
          <w:numId w:val="20"/>
        </w:numPr>
        <w:spacing w:line="276" w:lineRule="auto"/>
        <w:contextualSpacing w:val="0"/>
        <w:rPr>
          <w:iCs/>
        </w:rPr>
      </w:pPr>
      <w:r>
        <w:rPr>
          <w:iCs/>
        </w:rPr>
        <w:t>a</w:t>
      </w:r>
      <w:r w:rsidR="00831565" w:rsidRPr="00B42C0F">
        <w:rPr>
          <w:iCs/>
        </w:rPr>
        <w:t>ffirmed self-determination of Māori based on the obligation of Crown protection</w:t>
      </w:r>
      <w:r w:rsidR="00831565">
        <w:rPr>
          <w:iCs/>
        </w:rPr>
        <w:t>;</w:t>
      </w:r>
    </w:p>
    <w:p w:rsidR="00831565" w:rsidRDefault="00831565" w:rsidP="00831565">
      <w:pPr>
        <w:pStyle w:val="ListParagraph"/>
        <w:spacing w:line="276" w:lineRule="auto"/>
        <w:ind w:left="765"/>
        <w:contextualSpacing w:val="0"/>
        <w:rPr>
          <w:iCs/>
        </w:rPr>
      </w:pPr>
    </w:p>
    <w:p w:rsidR="00831565" w:rsidRPr="00831565" w:rsidRDefault="003B0D3E" w:rsidP="00831565">
      <w:pPr>
        <w:pStyle w:val="ListParagraph"/>
        <w:numPr>
          <w:ilvl w:val="0"/>
          <w:numId w:val="20"/>
        </w:numPr>
        <w:spacing w:line="276" w:lineRule="auto"/>
        <w:contextualSpacing w:val="0"/>
        <w:rPr>
          <w:iCs/>
        </w:rPr>
      </w:pPr>
      <w:r>
        <w:rPr>
          <w:iCs/>
        </w:rPr>
        <w:t>g</w:t>
      </w:r>
      <w:r w:rsidR="00831565" w:rsidRPr="00831565">
        <w:rPr>
          <w:iCs/>
        </w:rPr>
        <w:t>uaranteed equality for Māori based on the obligation of full participation</w:t>
      </w:r>
    </w:p>
    <w:p w:rsidR="00831565" w:rsidRPr="00831565" w:rsidRDefault="00831565" w:rsidP="00831565">
      <w:pPr>
        <w:spacing w:line="276" w:lineRule="auto"/>
        <w:rPr>
          <w:rFonts w:cs="Arial"/>
          <w:iCs/>
        </w:rPr>
      </w:pPr>
    </w:p>
    <w:p w:rsidR="00D32843" w:rsidRPr="003B0D3E" w:rsidRDefault="00831565" w:rsidP="00332947">
      <w:pPr>
        <w:pStyle w:val="ListParagraph"/>
        <w:numPr>
          <w:ilvl w:val="1"/>
          <w:numId w:val="19"/>
        </w:numPr>
        <w:spacing w:line="276" w:lineRule="auto"/>
        <w:ind w:left="426" w:hanging="426"/>
        <w:rPr>
          <w:rFonts w:cs="Arial"/>
          <w:iCs/>
        </w:rPr>
      </w:pPr>
      <w:r>
        <w:rPr>
          <w:rFonts w:cs="Arial"/>
          <w:iCs/>
        </w:rPr>
        <w:lastRenderedPageBreak/>
        <w:t>While t</w:t>
      </w:r>
      <w:r w:rsidR="00D32843" w:rsidRPr="00831565">
        <w:rPr>
          <w:rFonts w:cs="Arial"/>
          <w:iCs/>
        </w:rPr>
        <w:t>ikanga and kawa (traditional customs and laws of Māori society) form the foundations o</w:t>
      </w:r>
      <w:r w:rsidR="00B30B02" w:rsidRPr="00831565">
        <w:rPr>
          <w:rFonts w:cs="Arial"/>
          <w:iCs/>
        </w:rPr>
        <w:t>f indigenous law in New Zealand</w:t>
      </w:r>
      <w:r>
        <w:rPr>
          <w:rFonts w:cs="Arial"/>
          <w:iCs/>
        </w:rPr>
        <w:t>, there is no formal recognition of indigenous norms or authorities.</w:t>
      </w:r>
      <w:r w:rsidR="00B30B02" w:rsidRPr="00831565">
        <w:rPr>
          <w:rFonts w:cs="Arial"/>
          <w:iCs/>
        </w:rPr>
        <w:t xml:space="preserve"> </w:t>
      </w:r>
      <w:r w:rsidR="003B0D3E">
        <w:rPr>
          <w:rFonts w:cs="Arial"/>
          <w:iCs/>
        </w:rPr>
        <w:t>Nor is there an</w:t>
      </w:r>
      <w:r w:rsidR="00B30B02" w:rsidRPr="00831565">
        <w:rPr>
          <w:rFonts w:cs="Arial"/>
          <w:iCs/>
        </w:rPr>
        <w:t xml:space="preserve"> established separate indigenous juridicial system in</w:t>
      </w:r>
      <w:r>
        <w:rPr>
          <w:rFonts w:cs="Arial"/>
          <w:iCs/>
        </w:rPr>
        <w:t xml:space="preserve"> Aotearoa</w:t>
      </w:r>
      <w:r w:rsidR="00B30B02" w:rsidRPr="00831565">
        <w:rPr>
          <w:rFonts w:cs="Arial"/>
          <w:iCs/>
        </w:rPr>
        <w:t xml:space="preserve"> New Zealand.</w:t>
      </w:r>
    </w:p>
    <w:p w:rsidR="00D32843" w:rsidRDefault="00D32843" w:rsidP="00332947">
      <w:pPr>
        <w:rPr>
          <w:rFonts w:cs="Arial"/>
        </w:rPr>
      </w:pPr>
    </w:p>
    <w:p w:rsidR="003F6DBD" w:rsidRDefault="00831565" w:rsidP="00831565">
      <w:pPr>
        <w:pStyle w:val="ListParagraph"/>
        <w:numPr>
          <w:ilvl w:val="0"/>
          <w:numId w:val="19"/>
        </w:numPr>
        <w:ind w:left="426" w:hanging="426"/>
        <w:rPr>
          <w:rFonts w:cs="Arial"/>
          <w:b/>
        </w:rPr>
      </w:pPr>
      <w:r>
        <w:rPr>
          <w:rFonts w:cs="Arial"/>
          <w:b/>
        </w:rPr>
        <w:t>Access to Justice</w:t>
      </w:r>
    </w:p>
    <w:p w:rsidR="00831565" w:rsidRDefault="00831565" w:rsidP="00831565">
      <w:pPr>
        <w:rPr>
          <w:rFonts w:cs="Arial"/>
          <w:b/>
        </w:rPr>
      </w:pPr>
    </w:p>
    <w:p w:rsidR="003B0D3E" w:rsidRDefault="00985669" w:rsidP="00E42B67">
      <w:pPr>
        <w:pStyle w:val="ListParagraph"/>
        <w:numPr>
          <w:ilvl w:val="1"/>
          <w:numId w:val="19"/>
        </w:numPr>
        <w:ind w:left="426"/>
        <w:rPr>
          <w:rFonts w:cs="Arial"/>
        </w:rPr>
      </w:pPr>
      <w:r w:rsidRPr="00985669">
        <w:rPr>
          <w:rFonts w:cs="Arial"/>
        </w:rPr>
        <w:t>Access to justice, in addition to being a right in itself, is a means to realise other rights.</w:t>
      </w:r>
      <w:r w:rsidR="00E42B67">
        <w:rPr>
          <w:rFonts w:cs="Arial"/>
        </w:rPr>
        <w:t xml:space="preserve"> </w:t>
      </w:r>
    </w:p>
    <w:p w:rsidR="003B0D3E" w:rsidRDefault="003B0D3E" w:rsidP="003B0D3E">
      <w:pPr>
        <w:pStyle w:val="ListParagraph"/>
        <w:ind w:left="426"/>
        <w:rPr>
          <w:rFonts w:cs="Arial"/>
        </w:rPr>
      </w:pPr>
    </w:p>
    <w:p w:rsidR="00E42B67" w:rsidRPr="003B0D3E" w:rsidRDefault="00E42B67" w:rsidP="003B0D3E">
      <w:pPr>
        <w:pStyle w:val="ListParagraph"/>
        <w:numPr>
          <w:ilvl w:val="1"/>
          <w:numId w:val="19"/>
        </w:numPr>
        <w:ind w:left="426"/>
        <w:rPr>
          <w:rFonts w:cs="Arial"/>
        </w:rPr>
      </w:pPr>
      <w:r>
        <w:rPr>
          <w:rFonts w:cs="Arial"/>
        </w:rPr>
        <w:t>In its 2013 study EMRIP stated that</w:t>
      </w:r>
      <w:r w:rsidRPr="00E42B67">
        <w:rPr>
          <w:rFonts w:ascii="Times New Roman" w:hAnsi="Times New Roman"/>
        </w:rPr>
        <w:t xml:space="preserve"> </w:t>
      </w:r>
      <w:r w:rsidRPr="00E42B67">
        <w:rPr>
          <w:rFonts w:cs="Arial"/>
        </w:rPr>
        <w:t>“</w:t>
      </w:r>
      <w:r w:rsidR="00D83AE4">
        <w:rPr>
          <w:rFonts w:cs="Arial"/>
        </w:rPr>
        <w:t>[</w:t>
      </w:r>
      <w:r w:rsidRPr="00E42B67">
        <w:rPr>
          <w:rFonts w:cs="Arial"/>
        </w:rPr>
        <w:t>A</w:t>
      </w:r>
      <w:r w:rsidR="00D83AE4">
        <w:rPr>
          <w:rFonts w:cs="Arial"/>
        </w:rPr>
        <w:t>]</w:t>
      </w:r>
      <w:r w:rsidRPr="00E42B67">
        <w:rPr>
          <w:rFonts w:cs="Arial"/>
        </w:rPr>
        <w:t>ccess to justice requires the ability to seek and obtain remedies for wrongs through institutions of justice, formal or informal, in conformity with human rights standards.</w:t>
      </w:r>
      <w:r w:rsidRPr="00E42B67">
        <w:rPr>
          <w:rFonts w:cs="Arial"/>
          <w:vertAlign w:val="superscript"/>
        </w:rPr>
        <w:footnoteReference w:id="2"/>
      </w:r>
      <w:r>
        <w:rPr>
          <w:rFonts w:cs="Arial"/>
        </w:rPr>
        <w:t xml:space="preserve"> It further noted that </w:t>
      </w:r>
      <w:r w:rsidRPr="00E42B67">
        <w:rPr>
          <w:rFonts w:cs="Arial"/>
        </w:rPr>
        <w:t>access to justice is of particular importance “given the gravity of the issues facing</w:t>
      </w:r>
      <w:r>
        <w:rPr>
          <w:rFonts w:cs="Arial"/>
        </w:rPr>
        <w:t xml:space="preserve"> indigenous</w:t>
      </w:r>
      <w:r w:rsidRPr="00E42B67">
        <w:rPr>
          <w:rFonts w:cs="Arial"/>
        </w:rPr>
        <w:t xml:space="preserve"> peoples, including discrimination in criminal justice systems, </w:t>
      </w:r>
      <w:r>
        <w:rPr>
          <w:rFonts w:cs="Arial"/>
        </w:rPr>
        <w:t xml:space="preserve">particularly for </w:t>
      </w:r>
      <w:r w:rsidRPr="00E42B67">
        <w:rPr>
          <w:rFonts w:cs="Arial"/>
        </w:rPr>
        <w:t>women an</w:t>
      </w:r>
      <w:r>
        <w:rPr>
          <w:rFonts w:cs="Arial"/>
        </w:rPr>
        <w:t xml:space="preserve">d youth. Overrepresentation of </w:t>
      </w:r>
      <w:r w:rsidRPr="00E42B67">
        <w:rPr>
          <w:rFonts w:cs="Arial"/>
        </w:rPr>
        <w:t>peoples in incarceration is a global concern.”</w:t>
      </w:r>
      <w:r w:rsidRPr="00E42B67">
        <w:rPr>
          <w:rFonts w:cs="Arial"/>
          <w:vertAlign w:val="superscript"/>
        </w:rPr>
        <w:footnoteReference w:id="3"/>
      </w:r>
    </w:p>
    <w:p w:rsidR="00E42B67" w:rsidRPr="003B0D3E" w:rsidRDefault="00E42B67" w:rsidP="003B0D3E">
      <w:pPr>
        <w:rPr>
          <w:rFonts w:cs="Arial"/>
        </w:rPr>
      </w:pPr>
    </w:p>
    <w:p w:rsidR="00F700A6" w:rsidRPr="00F700A6" w:rsidRDefault="00F700A6" w:rsidP="00F700A6">
      <w:pPr>
        <w:pStyle w:val="ListParagraph"/>
        <w:numPr>
          <w:ilvl w:val="1"/>
          <w:numId w:val="19"/>
        </w:numPr>
        <w:ind w:left="426"/>
        <w:rPr>
          <w:rFonts w:cs="Arial"/>
        </w:rPr>
      </w:pPr>
      <w:r w:rsidRPr="00F700A6">
        <w:rPr>
          <w:rFonts w:cs="Arial"/>
          <w:iCs/>
        </w:rPr>
        <w:t>Māori, like most other indigenous peoples, suffer significant discrimination at all levels of the justice system. Māori</w:t>
      </w:r>
      <w:r w:rsidRPr="00F700A6">
        <w:rPr>
          <w:rFonts w:cs="Arial"/>
        </w:rPr>
        <w:t xml:space="preserve"> women, children and disabled people are particularly disadvantaged</w:t>
      </w:r>
      <w:r w:rsidRPr="00F700A6">
        <w:rPr>
          <w:rFonts w:ascii="Times New Roman" w:hAnsi="Times New Roman"/>
        </w:rPr>
        <w:t xml:space="preserve">. </w:t>
      </w:r>
    </w:p>
    <w:p w:rsidR="00F700A6" w:rsidRPr="00F700A6" w:rsidRDefault="00F700A6" w:rsidP="00F700A6">
      <w:pPr>
        <w:pStyle w:val="ListParagraph"/>
        <w:ind w:left="426"/>
        <w:rPr>
          <w:rFonts w:cs="Arial"/>
        </w:rPr>
      </w:pPr>
    </w:p>
    <w:p w:rsidR="00F700A6" w:rsidRPr="00F700A6" w:rsidRDefault="00F700A6" w:rsidP="00F700A6">
      <w:pPr>
        <w:pStyle w:val="ListParagraph"/>
        <w:numPr>
          <w:ilvl w:val="1"/>
          <w:numId w:val="19"/>
        </w:numPr>
        <w:ind w:left="426"/>
        <w:rPr>
          <w:rFonts w:cs="Arial"/>
        </w:rPr>
      </w:pPr>
      <w:r w:rsidRPr="00F700A6">
        <w:rPr>
          <w:rFonts w:cs="Arial"/>
        </w:rPr>
        <w:t>Despite comprising 15 percent of the New Zealand population, Māori make up more than 40 percent of all police apprehensions and more than 50 percent of the prison population.   Young Māori appear in court at a rate more than double the rate for all young people.</w:t>
      </w:r>
      <w:r w:rsidRPr="006059CE">
        <w:rPr>
          <w:rStyle w:val="FootnoteReference"/>
          <w:rFonts w:cs="Arial"/>
          <w:lang w:val="en-GB"/>
        </w:rPr>
        <w:footnoteReference w:id="4"/>
      </w:r>
      <w:r w:rsidRPr="00F700A6">
        <w:rPr>
          <w:rFonts w:cs="Arial"/>
        </w:rPr>
        <w:t xml:space="preserve"> </w:t>
      </w:r>
      <w:r w:rsidRPr="00F700A6">
        <w:rPr>
          <w:rFonts w:cs="Arial"/>
          <w:lang w:val="en-GB"/>
        </w:rPr>
        <w:t xml:space="preserve">The differences in convictions and sentencing for Māori and non-Māori reveal evidence of structural discrimination within the justice system.  </w:t>
      </w:r>
    </w:p>
    <w:p w:rsidR="003B0D3E" w:rsidRDefault="003B0D3E" w:rsidP="003B0D3E">
      <w:pPr>
        <w:rPr>
          <w:rFonts w:cs="Arial"/>
          <w:i/>
        </w:rPr>
      </w:pPr>
    </w:p>
    <w:p w:rsidR="00F700A6" w:rsidRDefault="00F700A6" w:rsidP="00F700A6">
      <w:pPr>
        <w:ind w:left="36"/>
        <w:rPr>
          <w:rFonts w:cs="Arial"/>
          <w:i/>
        </w:rPr>
      </w:pPr>
      <w:r>
        <w:rPr>
          <w:rFonts w:cs="Arial"/>
          <w:i/>
        </w:rPr>
        <w:t>Recent initiatives</w:t>
      </w:r>
    </w:p>
    <w:p w:rsidR="00F700A6" w:rsidRPr="003B0D3E" w:rsidRDefault="00F700A6" w:rsidP="003B0D3E">
      <w:pPr>
        <w:rPr>
          <w:rFonts w:cs="Arial"/>
        </w:rPr>
      </w:pPr>
    </w:p>
    <w:p w:rsidR="00985669" w:rsidRDefault="00985669" w:rsidP="00F700A6">
      <w:pPr>
        <w:pStyle w:val="ListParagraph"/>
        <w:numPr>
          <w:ilvl w:val="1"/>
          <w:numId w:val="19"/>
        </w:numPr>
        <w:ind w:left="426"/>
        <w:rPr>
          <w:rFonts w:cs="Arial"/>
        </w:rPr>
      </w:pPr>
      <w:r w:rsidRPr="00F700A6">
        <w:rPr>
          <w:rFonts w:cs="Arial"/>
        </w:rPr>
        <w:t xml:space="preserve">A number of recent </w:t>
      </w:r>
      <w:r w:rsidRPr="00F700A6">
        <w:rPr>
          <w:rFonts w:eastAsiaTheme="minorHAnsi" w:cs="Arial"/>
          <w:lang w:eastAsia="en-US"/>
        </w:rPr>
        <w:t xml:space="preserve">initiatives, which are largely community-led, </w:t>
      </w:r>
      <w:r w:rsidR="000C3140" w:rsidRPr="00F700A6">
        <w:rPr>
          <w:rFonts w:eastAsiaTheme="minorHAnsi" w:cs="Arial"/>
          <w:lang w:eastAsia="en-US"/>
        </w:rPr>
        <w:t xml:space="preserve">seek to </w:t>
      </w:r>
      <w:r w:rsidR="003B0D3E">
        <w:rPr>
          <w:rFonts w:eastAsiaTheme="minorHAnsi" w:cs="Arial"/>
          <w:lang w:eastAsia="en-US"/>
        </w:rPr>
        <w:t xml:space="preserve">address barriers to the realisation of the right to justice for </w:t>
      </w:r>
      <w:r w:rsidR="003B0D3E" w:rsidRPr="00B42C0F">
        <w:t>Māori</w:t>
      </w:r>
      <w:r w:rsidRPr="00F700A6">
        <w:rPr>
          <w:rFonts w:eastAsiaTheme="minorHAnsi" w:cs="Arial"/>
          <w:lang w:eastAsia="en-US"/>
        </w:rPr>
        <w:t xml:space="preserve">. </w:t>
      </w:r>
      <w:r w:rsidRPr="00F700A6">
        <w:rPr>
          <w:rFonts w:cs="Arial"/>
        </w:rPr>
        <w:t>Examples include:</w:t>
      </w:r>
    </w:p>
    <w:p w:rsidR="00F700A6" w:rsidRDefault="00F700A6" w:rsidP="00F700A6">
      <w:pPr>
        <w:pStyle w:val="ListParagraph"/>
        <w:ind w:left="426"/>
        <w:rPr>
          <w:rFonts w:cs="Arial"/>
        </w:rPr>
      </w:pPr>
    </w:p>
    <w:p w:rsidR="00F700A6" w:rsidRDefault="00F700A6" w:rsidP="00F700A6">
      <w:pPr>
        <w:pStyle w:val="ListParagraph"/>
        <w:numPr>
          <w:ilvl w:val="0"/>
          <w:numId w:val="17"/>
        </w:numPr>
        <w:spacing w:line="276" w:lineRule="auto"/>
      </w:pPr>
      <w:r>
        <w:t>Rangatahi Courts</w:t>
      </w:r>
      <w:r w:rsidRPr="00B42C0F">
        <w:t xml:space="preserve"> – </w:t>
      </w:r>
      <w:r>
        <w:t>Currently there are ten, marae-based Rangatahi court</w:t>
      </w:r>
      <w:r w:rsidRPr="00B42C0F">
        <w:t>s, which incorporate whānau/family and the young person’s participation</w:t>
      </w:r>
      <w:r>
        <w:t xml:space="preserve"> in youth court hearings;</w:t>
      </w:r>
    </w:p>
    <w:p w:rsidR="00F700A6" w:rsidRPr="00B42C0F" w:rsidRDefault="00F700A6" w:rsidP="00F700A6">
      <w:pPr>
        <w:pStyle w:val="ListParagraph"/>
        <w:spacing w:line="276" w:lineRule="auto"/>
      </w:pPr>
    </w:p>
    <w:p w:rsidR="00F700A6" w:rsidRDefault="00F700A6" w:rsidP="00F700A6">
      <w:pPr>
        <w:pStyle w:val="ListParagraph"/>
        <w:numPr>
          <w:ilvl w:val="0"/>
          <w:numId w:val="17"/>
        </w:numPr>
        <w:spacing w:line="276" w:lineRule="auto"/>
      </w:pPr>
      <w:r w:rsidRPr="00B42C0F">
        <w:lastRenderedPageBreak/>
        <w:t>Mātāriki Court – first used in Kaikohe, which allows the whānau, hapū and iwi of the offender to address the court at sentencing</w:t>
      </w:r>
      <w:r>
        <w:t>;</w:t>
      </w:r>
    </w:p>
    <w:p w:rsidR="00F700A6" w:rsidRDefault="00F700A6" w:rsidP="00F700A6">
      <w:pPr>
        <w:pStyle w:val="ListParagraph"/>
      </w:pPr>
    </w:p>
    <w:p w:rsidR="00F700A6" w:rsidRDefault="00F700A6" w:rsidP="00F700A6">
      <w:pPr>
        <w:pStyle w:val="ListParagraph"/>
        <w:numPr>
          <w:ilvl w:val="0"/>
          <w:numId w:val="17"/>
        </w:numPr>
        <w:spacing w:line="276" w:lineRule="auto"/>
      </w:pPr>
      <w:r>
        <w:t xml:space="preserve">There are </w:t>
      </w:r>
      <w:r w:rsidRPr="00B42C0F">
        <w:t xml:space="preserve">Māori Focus Units within </w:t>
      </w:r>
      <w:r>
        <w:t>four</w:t>
      </w:r>
      <w:r w:rsidRPr="00B42C0F">
        <w:t xml:space="preserve"> prisons that provide cultural programmes for prisoners, and </w:t>
      </w:r>
      <w:r>
        <w:t xml:space="preserve">two </w:t>
      </w:r>
      <w:r w:rsidRPr="00B42C0F">
        <w:t>Whare Oranga Ake reintegration units that provide a Māori environment for prisoners to reconnect with their culture, identity and community</w:t>
      </w:r>
      <w:r w:rsidR="003B0D3E">
        <w:t>.</w:t>
      </w:r>
    </w:p>
    <w:p w:rsidR="003B0D3E" w:rsidRPr="00F700A6" w:rsidRDefault="003B0D3E" w:rsidP="003B0D3E">
      <w:pPr>
        <w:spacing w:line="276" w:lineRule="auto"/>
      </w:pPr>
    </w:p>
    <w:p w:rsidR="000C3140" w:rsidRPr="00F700A6" w:rsidRDefault="00985669" w:rsidP="00F700A6">
      <w:pPr>
        <w:pStyle w:val="ListParagraph"/>
        <w:numPr>
          <w:ilvl w:val="1"/>
          <w:numId w:val="19"/>
        </w:numPr>
        <w:ind w:left="426"/>
        <w:rPr>
          <w:rFonts w:cs="Arial"/>
        </w:rPr>
      </w:pPr>
      <w:r w:rsidRPr="00F700A6">
        <w:rPr>
          <w:rFonts w:cs="Arial"/>
        </w:rPr>
        <w:t>Some agencies have</w:t>
      </w:r>
      <w:r w:rsidR="000C3140" w:rsidRPr="00F700A6">
        <w:rPr>
          <w:rFonts w:cs="Arial"/>
        </w:rPr>
        <w:t xml:space="preserve"> also</w:t>
      </w:r>
      <w:r w:rsidRPr="00F700A6">
        <w:rPr>
          <w:rFonts w:cs="Arial"/>
        </w:rPr>
        <w:t xml:space="preserve"> now acknowledged that the way certain groups are managed is a significant driver for poor outcomes across a range of indicators. For example, </w:t>
      </w:r>
      <w:r w:rsidRPr="00F700A6">
        <w:rPr>
          <w:rStyle w:val="grcorrect"/>
          <w:rFonts w:cs="Arial"/>
        </w:rPr>
        <w:t>Iwi</w:t>
      </w:r>
      <w:r w:rsidRPr="00F700A6">
        <w:rPr>
          <w:rFonts w:cs="Arial"/>
        </w:rPr>
        <w:t xml:space="preserve"> and Police are now joining together to implement an innovative strategy aimed at reducing </w:t>
      </w:r>
      <w:r w:rsidRPr="00F700A6">
        <w:rPr>
          <w:rStyle w:val="grcorrect"/>
          <w:rFonts w:cs="Arial"/>
        </w:rPr>
        <w:t>victimisation</w:t>
      </w:r>
      <w:r w:rsidRPr="00F700A6">
        <w:rPr>
          <w:rFonts w:cs="Arial"/>
        </w:rPr>
        <w:t xml:space="preserve"> among Māori.</w:t>
      </w:r>
      <w:r w:rsidR="000C3140" w:rsidRPr="00985669">
        <w:rPr>
          <w:rStyle w:val="FootnoteReference"/>
          <w:rFonts w:cs="Arial"/>
        </w:rPr>
        <w:footnoteReference w:id="5"/>
      </w:r>
    </w:p>
    <w:p w:rsidR="00573A87" w:rsidRPr="00831565" w:rsidRDefault="00573A87" w:rsidP="00831565">
      <w:pPr>
        <w:rPr>
          <w:rFonts w:cs="Arial"/>
        </w:rPr>
      </w:pPr>
    </w:p>
    <w:p w:rsidR="00285135" w:rsidRPr="003B0D3E" w:rsidRDefault="00285135" w:rsidP="003B0D3E">
      <w:pPr>
        <w:pStyle w:val="ListParagraph"/>
        <w:numPr>
          <w:ilvl w:val="0"/>
          <w:numId w:val="19"/>
        </w:numPr>
        <w:ind w:left="426"/>
        <w:rPr>
          <w:b/>
        </w:rPr>
      </w:pPr>
      <w:r w:rsidRPr="003B0D3E">
        <w:rPr>
          <w:b/>
        </w:rPr>
        <w:t>Conclusion</w:t>
      </w:r>
    </w:p>
    <w:p w:rsidR="00285135" w:rsidRPr="00285135" w:rsidRDefault="00285135" w:rsidP="00285135">
      <w:pPr>
        <w:pStyle w:val="ListParagraph"/>
        <w:ind w:left="426"/>
      </w:pPr>
    </w:p>
    <w:p w:rsidR="00285135" w:rsidRPr="00285135" w:rsidRDefault="00285135" w:rsidP="003B0D3E">
      <w:pPr>
        <w:pStyle w:val="ListParagraph"/>
        <w:numPr>
          <w:ilvl w:val="1"/>
          <w:numId w:val="19"/>
        </w:numPr>
        <w:ind w:left="426"/>
      </w:pPr>
      <w:r w:rsidRPr="00285135">
        <w:rPr>
          <w:rFonts w:cs="Arial"/>
        </w:rPr>
        <w:t xml:space="preserve">The Commission appreciates the opportunity to make this submission and would welcome the opportunity to engage further with </w:t>
      </w:r>
      <w:r w:rsidR="00831565">
        <w:rPr>
          <w:rFonts w:cs="Arial"/>
        </w:rPr>
        <w:t>EMRIP</w:t>
      </w:r>
      <w:r w:rsidRPr="00285135">
        <w:rPr>
          <w:rFonts w:cs="Arial"/>
        </w:rPr>
        <w:t xml:space="preserve"> as it </w:t>
      </w:r>
      <w:r w:rsidR="00831565">
        <w:rPr>
          <w:rFonts w:cs="Arial"/>
        </w:rPr>
        <w:t xml:space="preserve">continues its study on access to justice </w:t>
      </w:r>
      <w:r w:rsidR="00831565">
        <w:rPr>
          <w:rFonts w:cs="Arial"/>
          <w:color w:val="000000"/>
        </w:rPr>
        <w:t>in the promotion and protection of the rights of indigenous peoples.</w:t>
      </w:r>
    </w:p>
    <w:p w:rsidR="00285135" w:rsidRPr="00285135" w:rsidRDefault="00285135" w:rsidP="00285135">
      <w:pPr>
        <w:pStyle w:val="ListParagraph"/>
        <w:ind w:left="426"/>
      </w:pPr>
    </w:p>
    <w:p w:rsidR="000C3140" w:rsidRPr="00C05066" w:rsidRDefault="00285135" w:rsidP="003B0D3E">
      <w:pPr>
        <w:pStyle w:val="ListParagraph"/>
        <w:numPr>
          <w:ilvl w:val="1"/>
          <w:numId w:val="19"/>
        </w:numPr>
        <w:ind w:left="426"/>
      </w:pPr>
      <w:r w:rsidRPr="00285135">
        <w:rPr>
          <w:rFonts w:cs="Arial"/>
        </w:rPr>
        <w:t xml:space="preserve">If you would like to discuss any aspect of this submission further please contact Michael White, Senior Legal and Policy Analyst at </w:t>
      </w:r>
      <w:hyperlink r:id="rId8" w:history="1">
        <w:r w:rsidRPr="00285135">
          <w:rPr>
            <w:rStyle w:val="Hyperlink"/>
            <w:rFonts w:cs="Arial"/>
          </w:rPr>
          <w:t>michaelw@hrc.co.nz</w:t>
        </w:r>
      </w:hyperlink>
      <w:r w:rsidRPr="00285135">
        <w:rPr>
          <w:rFonts w:cs="Arial"/>
        </w:rPr>
        <w:t>.</w:t>
      </w:r>
    </w:p>
    <w:sectPr w:rsidR="000C3140" w:rsidRPr="00C05066" w:rsidSect="00071175">
      <w:footerReference w:type="default" r:id="rId9"/>
      <w:headerReference w:type="first" r:id="rId10"/>
      <w:footerReference w:type="first" r:id="rId11"/>
      <w:pgSz w:w="11906" w:h="16838" w:code="9"/>
      <w:pgMar w:top="1440" w:right="1588" w:bottom="1440" w:left="1588" w:header="709"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C41" w:rsidRDefault="00087C41">
      <w:r>
        <w:separator/>
      </w:r>
    </w:p>
  </w:endnote>
  <w:endnote w:type="continuationSeparator" w:id="0">
    <w:p w:rsidR="00087C41" w:rsidRDefault="00087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0179"/>
      <w:docPartObj>
        <w:docPartGallery w:val="Page Numbers (Bottom of Page)"/>
        <w:docPartUnique/>
      </w:docPartObj>
    </w:sdtPr>
    <w:sdtContent>
      <w:p w:rsidR="00D83AE4" w:rsidRDefault="008D7D87">
        <w:pPr>
          <w:pStyle w:val="Footer"/>
          <w:jc w:val="center"/>
        </w:pPr>
        <w:fldSimple w:instr=" PAGE   \* MERGEFORMAT ">
          <w:r w:rsidR="00CD3E60">
            <w:rPr>
              <w:noProof/>
            </w:rPr>
            <w:t>2</w:t>
          </w:r>
        </w:fldSimple>
      </w:p>
    </w:sdtContent>
  </w:sdt>
  <w:p w:rsidR="00D83AE4" w:rsidRDefault="00D83A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0178"/>
      <w:docPartObj>
        <w:docPartGallery w:val="Page Numbers (Bottom of Page)"/>
        <w:docPartUnique/>
      </w:docPartObj>
    </w:sdtPr>
    <w:sdtContent>
      <w:p w:rsidR="00D83AE4" w:rsidRDefault="008D7D87">
        <w:pPr>
          <w:pStyle w:val="Footer"/>
          <w:jc w:val="center"/>
        </w:pPr>
        <w:fldSimple w:instr=" PAGE   \* MERGEFORMAT ">
          <w:r w:rsidR="00CD3E60">
            <w:rPr>
              <w:noProof/>
            </w:rPr>
            <w:t>1</w:t>
          </w:r>
        </w:fldSimple>
      </w:p>
    </w:sdtContent>
  </w:sdt>
  <w:p w:rsidR="00D83AE4" w:rsidRPr="005F2BF9" w:rsidRDefault="00D83AE4" w:rsidP="003E486E">
    <w:pPr>
      <w:pStyle w:val="Footer"/>
      <w:ind w:left="-851" w:right="-851"/>
      <w:jc w:val="center"/>
      <w:rPr>
        <w:color w:val="7621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C41" w:rsidRDefault="00087C41">
      <w:r>
        <w:separator/>
      </w:r>
    </w:p>
  </w:footnote>
  <w:footnote w:type="continuationSeparator" w:id="0">
    <w:p w:rsidR="00087C41" w:rsidRDefault="00087C41">
      <w:r>
        <w:continuationSeparator/>
      </w:r>
    </w:p>
  </w:footnote>
  <w:footnote w:id="1">
    <w:p w:rsidR="00D83AE4" w:rsidRPr="00B30B02" w:rsidRDefault="00D83AE4" w:rsidP="00B30B02">
      <w:pPr>
        <w:autoSpaceDE w:val="0"/>
        <w:autoSpaceDN w:val="0"/>
        <w:adjustRightInd w:val="0"/>
        <w:rPr>
          <w:rFonts w:cs="Arial"/>
          <w:sz w:val="20"/>
          <w:szCs w:val="20"/>
          <w:lang w:eastAsia="en-NZ"/>
        </w:rPr>
      </w:pPr>
      <w:r w:rsidRPr="00B30B02">
        <w:rPr>
          <w:rStyle w:val="FootnoteReference"/>
          <w:rFonts w:cs="Arial"/>
          <w:sz w:val="20"/>
          <w:szCs w:val="20"/>
        </w:rPr>
        <w:footnoteRef/>
      </w:r>
      <w:r w:rsidRPr="00B30B02">
        <w:rPr>
          <w:rFonts w:cs="Arial"/>
          <w:sz w:val="20"/>
          <w:szCs w:val="20"/>
        </w:rPr>
        <w:t xml:space="preserve"> </w:t>
      </w:r>
      <w:r w:rsidRPr="00B30B02">
        <w:rPr>
          <w:rFonts w:cs="Arial"/>
          <w:sz w:val="20"/>
          <w:szCs w:val="20"/>
          <w:lang w:eastAsia="en-NZ"/>
        </w:rPr>
        <w:t xml:space="preserve">Yrigoyen Fajardo, Raquel. 2010. “Derecho y jurisdicción indígena en la historia constitucional: De la sujeción a la descolonización”. Forthcoming in César Rodriguez Garavito (coord.), </w:t>
      </w:r>
      <w:r w:rsidRPr="00B30B02">
        <w:rPr>
          <w:rFonts w:cs="Arial"/>
          <w:i/>
          <w:iCs/>
          <w:sz w:val="20"/>
          <w:szCs w:val="20"/>
          <w:lang w:eastAsia="en-NZ"/>
        </w:rPr>
        <w:t>El</w:t>
      </w:r>
    </w:p>
    <w:p w:rsidR="00D83AE4" w:rsidRDefault="00D83AE4" w:rsidP="00B30B02">
      <w:pPr>
        <w:pStyle w:val="FootnoteText"/>
      </w:pPr>
      <w:r w:rsidRPr="00B30B02">
        <w:rPr>
          <w:rFonts w:cs="Arial"/>
          <w:i/>
          <w:iCs/>
          <w:lang w:eastAsia="en-NZ"/>
        </w:rPr>
        <w:t>derecho en América Latina: los retos del siglo XXI</w:t>
      </w:r>
      <w:r w:rsidRPr="00B30B02">
        <w:rPr>
          <w:rFonts w:cs="Arial"/>
          <w:lang w:eastAsia="en-NZ"/>
        </w:rPr>
        <w:t>, Buenos Aires: Siglo XXI, 2011.</w:t>
      </w:r>
    </w:p>
  </w:footnote>
  <w:footnote w:id="2">
    <w:p w:rsidR="00D83AE4" w:rsidRPr="000C3140" w:rsidRDefault="00D83AE4" w:rsidP="00E42B67">
      <w:pPr>
        <w:pStyle w:val="FootnoteText"/>
        <w:rPr>
          <w:rFonts w:cs="Arial"/>
        </w:rPr>
      </w:pPr>
      <w:r w:rsidRPr="000C3140">
        <w:rPr>
          <w:rStyle w:val="FootnoteReference"/>
          <w:rFonts w:cs="Arial"/>
        </w:rPr>
        <w:footnoteRef/>
      </w:r>
      <w:r w:rsidRPr="000C3140">
        <w:rPr>
          <w:rFonts w:cs="Arial"/>
        </w:rPr>
        <w:t xml:space="preserve"> See, for example, Human Rights Committee, General Comment No. 31 (2004) on the nature of the general legal obligation imposed on States parties, and the Basic Principles and Guidelines on the Right to a Remedy and Reparation for Victims of Gross Violations of International Human Rights Law and Serious Violations of International Humanitarian Law (General Assembly resolution 60/147 of 16 December 2005, annex).</w:t>
      </w:r>
    </w:p>
  </w:footnote>
  <w:footnote w:id="3">
    <w:p w:rsidR="00D83AE4" w:rsidRPr="000C3140" w:rsidRDefault="00D83AE4" w:rsidP="00E42B67">
      <w:pPr>
        <w:pStyle w:val="FootnoteText"/>
        <w:rPr>
          <w:rFonts w:cs="Arial"/>
        </w:rPr>
      </w:pPr>
      <w:r w:rsidRPr="000C3140">
        <w:rPr>
          <w:rStyle w:val="FootnoteReference"/>
          <w:rFonts w:cs="Arial"/>
        </w:rPr>
        <w:footnoteRef/>
      </w:r>
      <w:r w:rsidRPr="000C3140">
        <w:rPr>
          <w:rFonts w:cs="Arial"/>
        </w:rPr>
        <w:t xml:space="preserve"> Report of the Expert Mechanism on its fifth session (A/HRC/21/52), p. 4.</w:t>
      </w:r>
    </w:p>
  </w:footnote>
  <w:footnote w:id="4">
    <w:p w:rsidR="00D83AE4" w:rsidRPr="000C3140" w:rsidRDefault="00D83AE4" w:rsidP="00F700A6">
      <w:pPr>
        <w:pStyle w:val="FootnoteText"/>
        <w:rPr>
          <w:rFonts w:cs="Arial"/>
        </w:rPr>
      </w:pPr>
      <w:r w:rsidRPr="000C3140">
        <w:rPr>
          <w:rStyle w:val="FootnoteReference"/>
          <w:rFonts w:cs="Arial"/>
        </w:rPr>
        <w:footnoteRef/>
      </w:r>
      <w:r w:rsidRPr="000C3140">
        <w:rPr>
          <w:rFonts w:cs="Arial"/>
        </w:rPr>
        <w:t xml:space="preserve"> Research shows a higher likelihood for Māori offenders to have police contact; be charged; lack legal representation; not be granted bail; plead guilty; be convicted; be sentenced to non-monetary penalties; and be denied release to Home Detention. Department of Corrections, (2007), </w:t>
      </w:r>
      <w:r w:rsidRPr="000C3140">
        <w:rPr>
          <w:rFonts w:cs="Arial"/>
          <w:i/>
        </w:rPr>
        <w:t>Over-representation of Māori in the Criminal Justice System</w:t>
      </w:r>
      <w:r w:rsidRPr="000C3140">
        <w:rPr>
          <w:rFonts w:cs="Arial"/>
        </w:rPr>
        <w:t>, Wellington: Department of Corrections.</w:t>
      </w:r>
    </w:p>
  </w:footnote>
  <w:footnote w:id="5">
    <w:p w:rsidR="00D83AE4" w:rsidRPr="009738BB" w:rsidRDefault="00D83AE4" w:rsidP="00985669">
      <w:pPr>
        <w:pStyle w:val="FootnoteText"/>
        <w:rPr>
          <w:rFonts w:cs="Arial"/>
        </w:rPr>
      </w:pPr>
      <w:r w:rsidRPr="009738BB">
        <w:rPr>
          <w:rStyle w:val="FootnoteReference"/>
          <w:rFonts w:cs="Arial"/>
        </w:rPr>
        <w:footnoteRef/>
      </w:r>
      <w:r w:rsidRPr="009738BB">
        <w:rPr>
          <w:rFonts w:cs="Arial"/>
        </w:rPr>
        <w:t xml:space="preserve"> See New Zealand Police (2012), 'The Turning of the Tide - a Whanau Ora Crime and Crash Prevention Strategy’ </w:t>
      </w:r>
      <w:hyperlink r:id="rId1" w:history="1">
        <w:r w:rsidRPr="009738BB">
          <w:rPr>
            <w:rStyle w:val="Hyperlink"/>
            <w:rFonts w:cs="Arial"/>
          </w:rPr>
          <w:t>http://www.police.govt.nz/featured/new-strategy-aims-turn-tide-maori-victimisation-and-offending</w:t>
        </w:r>
      </w:hyperlink>
      <w:r w:rsidRPr="009738BB">
        <w:rPr>
          <w:rFonts w:cs="Aria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E4" w:rsidRDefault="00D83AE4">
    <w:pPr>
      <w:pStyle w:val="Header"/>
    </w:pPr>
    <w:r>
      <w:rPr>
        <w:noProof/>
        <w:lang w:val="en-US" w:eastAsia="en-US"/>
      </w:rPr>
      <w:drawing>
        <wp:anchor distT="0" distB="0" distL="114300" distR="114300" simplePos="0" relativeHeight="251657216" behindDoc="0" locked="0" layoutInCell="1" allowOverlap="1">
          <wp:simplePos x="0" y="0"/>
          <wp:positionH relativeFrom="column">
            <wp:posOffset>4827905</wp:posOffset>
          </wp:positionH>
          <wp:positionV relativeFrom="paragraph">
            <wp:posOffset>-107315</wp:posOffset>
          </wp:positionV>
          <wp:extent cx="1115695" cy="1257300"/>
          <wp:effectExtent l="19050" t="0" r="8255" b="0"/>
          <wp:wrapSquare wrapText="bothSides"/>
          <wp:docPr id="8" name="Picture 8" descr="HRClogo07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Clogo07_RGB"/>
                  <pic:cNvPicPr>
                    <a:picLocks noChangeAspect="1" noChangeArrowheads="1"/>
                  </pic:cNvPicPr>
                </pic:nvPicPr>
                <pic:blipFill>
                  <a:blip r:embed="rId1"/>
                  <a:srcRect/>
                  <a:stretch>
                    <a:fillRect/>
                  </a:stretch>
                </pic:blipFill>
                <pic:spPr bwMode="auto">
                  <a:xfrm>
                    <a:off x="0" y="0"/>
                    <a:ext cx="1115695" cy="12573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DB7"/>
    <w:multiLevelType w:val="hybridMultilevel"/>
    <w:tmpl w:val="3B4E7F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34C20DA"/>
    <w:multiLevelType w:val="multilevel"/>
    <w:tmpl w:val="1070E0A4"/>
    <w:lvl w:ilvl="0">
      <w:start w:val="1"/>
      <w:numFmt w:val="bullet"/>
      <w:lvlText w:val=""/>
      <w:lvlJc w:val="left"/>
      <w:pPr>
        <w:ind w:left="720" w:hanging="360"/>
      </w:pPr>
      <w:rPr>
        <w:rFonts w:ascii="Symbol" w:hAnsi="Symbol"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4BA08DD"/>
    <w:multiLevelType w:val="multilevel"/>
    <w:tmpl w:val="61FEB17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B818B8"/>
    <w:multiLevelType w:val="hybridMultilevel"/>
    <w:tmpl w:val="134ED5D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09BC2F17"/>
    <w:multiLevelType w:val="hybridMultilevel"/>
    <w:tmpl w:val="92D8EC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C246926"/>
    <w:multiLevelType w:val="hybridMultilevel"/>
    <w:tmpl w:val="645A5B4E"/>
    <w:lvl w:ilvl="0" w:tplc="14090001">
      <w:start w:val="1"/>
      <w:numFmt w:val="bullet"/>
      <w:lvlText w:val=""/>
      <w:lvlJc w:val="left"/>
      <w:pPr>
        <w:ind w:left="765"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6">
    <w:nsid w:val="11E41273"/>
    <w:multiLevelType w:val="hybridMultilevel"/>
    <w:tmpl w:val="E028028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13C46F62"/>
    <w:multiLevelType w:val="hybridMultilevel"/>
    <w:tmpl w:val="A2D420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15913FC"/>
    <w:multiLevelType w:val="hybridMultilevel"/>
    <w:tmpl w:val="B96866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36EC2F7F"/>
    <w:multiLevelType w:val="hybridMultilevel"/>
    <w:tmpl w:val="16B2EA46"/>
    <w:lvl w:ilvl="0" w:tplc="46661290">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72ABE"/>
    <w:multiLevelType w:val="multilevel"/>
    <w:tmpl w:val="45A2B3E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D69186E"/>
    <w:multiLevelType w:val="hybridMultilevel"/>
    <w:tmpl w:val="C7C42B04"/>
    <w:lvl w:ilvl="0" w:tplc="1409000F">
      <w:start w:val="1"/>
      <w:numFmt w:val="decimal"/>
      <w:lvlText w:val="%1."/>
      <w:lvlJc w:val="left"/>
      <w:pPr>
        <w:ind w:left="765" w:hanging="360"/>
      </w:p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2">
    <w:nsid w:val="3E952800"/>
    <w:multiLevelType w:val="hybridMultilevel"/>
    <w:tmpl w:val="86CCB624"/>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3">
    <w:nsid w:val="40AB2BBC"/>
    <w:multiLevelType w:val="multilevel"/>
    <w:tmpl w:val="FC74949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3A70E15"/>
    <w:multiLevelType w:val="hybridMultilevel"/>
    <w:tmpl w:val="00BA20BA"/>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nsid w:val="4571320F"/>
    <w:multiLevelType w:val="multilevel"/>
    <w:tmpl w:val="61FEB17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56007913"/>
    <w:multiLevelType w:val="hybridMultilevel"/>
    <w:tmpl w:val="6418730E"/>
    <w:lvl w:ilvl="0" w:tplc="14090001">
      <w:start w:val="1"/>
      <w:numFmt w:val="bullet"/>
      <w:lvlText w:val=""/>
      <w:lvlJc w:val="left"/>
      <w:pPr>
        <w:ind w:left="1146" w:hanging="360"/>
      </w:pPr>
      <w:rPr>
        <w:rFonts w:ascii="Symbol" w:hAnsi="Symbol" w:hint="default"/>
      </w:rPr>
    </w:lvl>
    <w:lvl w:ilvl="1" w:tplc="14090003">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7">
    <w:nsid w:val="5A7D3656"/>
    <w:multiLevelType w:val="hybridMultilevel"/>
    <w:tmpl w:val="6DC24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F755D12"/>
    <w:multiLevelType w:val="hybridMultilevel"/>
    <w:tmpl w:val="A7CA8F2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74BE5D1C"/>
    <w:multiLevelType w:val="hybridMultilevel"/>
    <w:tmpl w:val="7242CF44"/>
    <w:lvl w:ilvl="0" w:tplc="BDB8EA3A">
      <w:start w:val="1"/>
      <w:numFmt w:val="lowerLetter"/>
      <w:lvlText w:val="(%1)"/>
      <w:lvlJc w:val="left"/>
      <w:pPr>
        <w:ind w:left="2526" w:hanging="360"/>
      </w:pPr>
      <w:rPr>
        <w:rFonts w:hint="default"/>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0">
    <w:nsid w:val="7DE16DC1"/>
    <w:multiLevelType w:val="hybridMultilevel"/>
    <w:tmpl w:val="8B2451BA"/>
    <w:lvl w:ilvl="0" w:tplc="14090001">
      <w:start w:val="1"/>
      <w:numFmt w:val="bullet"/>
      <w:lvlText w:val=""/>
      <w:lvlJc w:val="left"/>
      <w:pPr>
        <w:ind w:left="1440" w:hanging="360"/>
      </w:pPr>
      <w:rPr>
        <w:rFonts w:ascii="Symbol" w:hAnsi="Symbol" w:hint="default"/>
      </w:rPr>
    </w:lvl>
    <w:lvl w:ilvl="1" w:tplc="14090001">
      <w:start w:val="1"/>
      <w:numFmt w:val="bullet"/>
      <w:lvlText w:val=""/>
      <w:lvlJc w:val="left"/>
      <w:pPr>
        <w:ind w:left="2160" w:hanging="360"/>
      </w:pPr>
      <w:rPr>
        <w:rFonts w:ascii="Symbol" w:hAnsi="Symbol"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nsid w:val="7ECA6867"/>
    <w:multiLevelType w:val="hybridMultilevel"/>
    <w:tmpl w:val="F530D7B0"/>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num w:numId="1">
    <w:abstractNumId w:val="8"/>
  </w:num>
  <w:num w:numId="2">
    <w:abstractNumId w:val="13"/>
  </w:num>
  <w:num w:numId="3">
    <w:abstractNumId w:val="3"/>
  </w:num>
  <w:num w:numId="4">
    <w:abstractNumId w:val="18"/>
  </w:num>
  <w:num w:numId="5">
    <w:abstractNumId w:val="6"/>
  </w:num>
  <w:num w:numId="6">
    <w:abstractNumId w:val="7"/>
  </w:num>
  <w:num w:numId="7">
    <w:abstractNumId w:val="0"/>
  </w:num>
  <w:num w:numId="8">
    <w:abstractNumId w:val="21"/>
  </w:num>
  <w:num w:numId="9">
    <w:abstractNumId w:val="10"/>
  </w:num>
  <w:num w:numId="10">
    <w:abstractNumId w:val="1"/>
  </w:num>
  <w:num w:numId="11">
    <w:abstractNumId w:val="16"/>
  </w:num>
  <w:num w:numId="12">
    <w:abstractNumId w:val="19"/>
  </w:num>
  <w:num w:numId="13">
    <w:abstractNumId w:val="14"/>
  </w:num>
  <w:num w:numId="14">
    <w:abstractNumId w:val="20"/>
  </w:num>
  <w:num w:numId="15">
    <w:abstractNumId w:val="4"/>
  </w:num>
  <w:num w:numId="16">
    <w:abstractNumId w:val="9"/>
  </w:num>
  <w:num w:numId="17">
    <w:abstractNumId w:val="1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5"/>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9218"/>
  </w:hdrShapeDefaults>
  <w:footnotePr>
    <w:footnote w:id="-1"/>
    <w:footnote w:id="0"/>
  </w:footnotePr>
  <w:endnotePr>
    <w:endnote w:id="-1"/>
    <w:endnote w:id="0"/>
  </w:endnotePr>
  <w:compat>
    <w:useFELayout/>
  </w:compat>
  <w:rsids>
    <w:rsidRoot w:val="0038253C"/>
    <w:rsid w:val="000065DD"/>
    <w:rsid w:val="00023812"/>
    <w:rsid w:val="000307C1"/>
    <w:rsid w:val="00071175"/>
    <w:rsid w:val="00087C41"/>
    <w:rsid w:val="00092A0F"/>
    <w:rsid w:val="000C3140"/>
    <w:rsid w:val="000C603C"/>
    <w:rsid w:val="000D5DB1"/>
    <w:rsid w:val="000F3533"/>
    <w:rsid w:val="0012005D"/>
    <w:rsid w:val="00146441"/>
    <w:rsid w:val="00173418"/>
    <w:rsid w:val="00175773"/>
    <w:rsid w:val="00194E93"/>
    <w:rsid w:val="001A086B"/>
    <w:rsid w:val="001A786C"/>
    <w:rsid w:val="001B5661"/>
    <w:rsid w:val="001E7A85"/>
    <w:rsid w:val="001F326F"/>
    <w:rsid w:val="001F6260"/>
    <w:rsid w:val="00207AA8"/>
    <w:rsid w:val="00220010"/>
    <w:rsid w:val="00232821"/>
    <w:rsid w:val="00234423"/>
    <w:rsid w:val="0026360D"/>
    <w:rsid w:val="00267EF0"/>
    <w:rsid w:val="00282E0B"/>
    <w:rsid w:val="00285135"/>
    <w:rsid w:val="00292389"/>
    <w:rsid w:val="002D4E4E"/>
    <w:rsid w:val="002E106F"/>
    <w:rsid w:val="002E28B3"/>
    <w:rsid w:val="002E479C"/>
    <w:rsid w:val="00313D58"/>
    <w:rsid w:val="00332947"/>
    <w:rsid w:val="00354C6C"/>
    <w:rsid w:val="0038253C"/>
    <w:rsid w:val="003846A0"/>
    <w:rsid w:val="0038480C"/>
    <w:rsid w:val="00397C73"/>
    <w:rsid w:val="003A1DDF"/>
    <w:rsid w:val="003A56ED"/>
    <w:rsid w:val="003B0D3E"/>
    <w:rsid w:val="003B21A1"/>
    <w:rsid w:val="003E02D5"/>
    <w:rsid w:val="003E486E"/>
    <w:rsid w:val="003F6DBD"/>
    <w:rsid w:val="00415C43"/>
    <w:rsid w:val="0042697C"/>
    <w:rsid w:val="00434CF0"/>
    <w:rsid w:val="0044197E"/>
    <w:rsid w:val="00455453"/>
    <w:rsid w:val="00465705"/>
    <w:rsid w:val="00474FBC"/>
    <w:rsid w:val="004877EB"/>
    <w:rsid w:val="004C08ED"/>
    <w:rsid w:val="004E014B"/>
    <w:rsid w:val="004F0D58"/>
    <w:rsid w:val="00534B92"/>
    <w:rsid w:val="0056686E"/>
    <w:rsid w:val="00566F4C"/>
    <w:rsid w:val="00573A87"/>
    <w:rsid w:val="005F2BF9"/>
    <w:rsid w:val="00637385"/>
    <w:rsid w:val="00646514"/>
    <w:rsid w:val="00673C6A"/>
    <w:rsid w:val="0068096F"/>
    <w:rsid w:val="006E4AA5"/>
    <w:rsid w:val="006E653B"/>
    <w:rsid w:val="006F0762"/>
    <w:rsid w:val="007059C9"/>
    <w:rsid w:val="00731AE7"/>
    <w:rsid w:val="00744D9F"/>
    <w:rsid w:val="00761F69"/>
    <w:rsid w:val="00783125"/>
    <w:rsid w:val="007C228A"/>
    <w:rsid w:val="007F5FFA"/>
    <w:rsid w:val="00805584"/>
    <w:rsid w:val="00811304"/>
    <w:rsid w:val="00820419"/>
    <w:rsid w:val="008244F1"/>
    <w:rsid w:val="00831565"/>
    <w:rsid w:val="0084023E"/>
    <w:rsid w:val="0085252B"/>
    <w:rsid w:val="00892BA3"/>
    <w:rsid w:val="00896A3B"/>
    <w:rsid w:val="008A09AB"/>
    <w:rsid w:val="008A4C31"/>
    <w:rsid w:val="008C2A94"/>
    <w:rsid w:val="008D7D87"/>
    <w:rsid w:val="008F47AC"/>
    <w:rsid w:val="00921589"/>
    <w:rsid w:val="009255D4"/>
    <w:rsid w:val="00935F80"/>
    <w:rsid w:val="0096129B"/>
    <w:rsid w:val="009738BB"/>
    <w:rsid w:val="009758CD"/>
    <w:rsid w:val="00985669"/>
    <w:rsid w:val="0098765E"/>
    <w:rsid w:val="0099484C"/>
    <w:rsid w:val="009A5E2D"/>
    <w:rsid w:val="009C544D"/>
    <w:rsid w:val="009F0FD1"/>
    <w:rsid w:val="00A42571"/>
    <w:rsid w:val="00A42AB4"/>
    <w:rsid w:val="00A62162"/>
    <w:rsid w:val="00A66373"/>
    <w:rsid w:val="00A972DF"/>
    <w:rsid w:val="00AB6304"/>
    <w:rsid w:val="00B23E32"/>
    <w:rsid w:val="00B30B02"/>
    <w:rsid w:val="00BE272E"/>
    <w:rsid w:val="00BF0CD2"/>
    <w:rsid w:val="00C04318"/>
    <w:rsid w:val="00C05066"/>
    <w:rsid w:val="00C06144"/>
    <w:rsid w:val="00C2386E"/>
    <w:rsid w:val="00C5117A"/>
    <w:rsid w:val="00C52F34"/>
    <w:rsid w:val="00C738F1"/>
    <w:rsid w:val="00C9240E"/>
    <w:rsid w:val="00CB0688"/>
    <w:rsid w:val="00CC3815"/>
    <w:rsid w:val="00CD3E60"/>
    <w:rsid w:val="00CE47CF"/>
    <w:rsid w:val="00D155E4"/>
    <w:rsid w:val="00D16FC1"/>
    <w:rsid w:val="00D17568"/>
    <w:rsid w:val="00D203ED"/>
    <w:rsid w:val="00D319BE"/>
    <w:rsid w:val="00D32843"/>
    <w:rsid w:val="00D7722F"/>
    <w:rsid w:val="00D80504"/>
    <w:rsid w:val="00D809FE"/>
    <w:rsid w:val="00D83AE4"/>
    <w:rsid w:val="00DA1DED"/>
    <w:rsid w:val="00DA6773"/>
    <w:rsid w:val="00DC17F2"/>
    <w:rsid w:val="00DC34F4"/>
    <w:rsid w:val="00DD7395"/>
    <w:rsid w:val="00DE7C3B"/>
    <w:rsid w:val="00E10CB2"/>
    <w:rsid w:val="00E42B67"/>
    <w:rsid w:val="00E92AB6"/>
    <w:rsid w:val="00EC3125"/>
    <w:rsid w:val="00EF52C4"/>
    <w:rsid w:val="00F4465A"/>
    <w:rsid w:val="00F453DF"/>
    <w:rsid w:val="00F64D93"/>
    <w:rsid w:val="00F700A6"/>
    <w:rsid w:val="00F82A2A"/>
    <w:rsid w:val="00F9038F"/>
    <w:rsid w:val="00F91FD4"/>
    <w:rsid w:val="00F96FCB"/>
    <w:rsid w:val="00FA5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65E"/>
    <w:rPr>
      <w:rFonts w:ascii="Arial" w:hAnsi="Arial"/>
      <w:sz w:val="24"/>
      <w:szCs w:val="24"/>
      <w:lang w:eastAsia="ko-KR"/>
    </w:rPr>
  </w:style>
  <w:style w:type="paragraph" w:styleId="Heading3">
    <w:name w:val="heading 3"/>
    <w:basedOn w:val="Normal"/>
    <w:next w:val="Normal"/>
    <w:link w:val="Heading3Char"/>
    <w:unhideWhenUsed/>
    <w:qFormat/>
    <w:rsid w:val="00F96FCB"/>
    <w:pPr>
      <w:keepNext/>
      <w:spacing w:before="240" w:after="60"/>
      <w:outlineLvl w:val="2"/>
    </w:pPr>
    <w:rPr>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0688"/>
    <w:rPr>
      <w:rFonts w:ascii="Tahoma" w:hAnsi="Tahoma" w:cs="Tahoma"/>
      <w:sz w:val="16"/>
      <w:szCs w:val="16"/>
    </w:rPr>
  </w:style>
  <w:style w:type="paragraph" w:styleId="Header">
    <w:name w:val="header"/>
    <w:basedOn w:val="Normal"/>
    <w:rsid w:val="00CB0688"/>
    <w:pPr>
      <w:tabs>
        <w:tab w:val="center" w:pos="4153"/>
        <w:tab w:val="right" w:pos="8306"/>
      </w:tabs>
    </w:pPr>
  </w:style>
  <w:style w:type="paragraph" w:styleId="Footer">
    <w:name w:val="footer"/>
    <w:basedOn w:val="Normal"/>
    <w:link w:val="FooterChar"/>
    <w:uiPriority w:val="99"/>
    <w:rsid w:val="00CB0688"/>
    <w:pPr>
      <w:tabs>
        <w:tab w:val="center" w:pos="4153"/>
        <w:tab w:val="right" w:pos="8306"/>
      </w:tabs>
    </w:pPr>
  </w:style>
  <w:style w:type="character" w:styleId="Hyperlink">
    <w:name w:val="Hyperlink"/>
    <w:basedOn w:val="DefaultParagraphFont"/>
    <w:rsid w:val="009F0FD1"/>
    <w:rPr>
      <w:color w:val="0000FF"/>
      <w:u w:val="single"/>
    </w:rPr>
  </w:style>
  <w:style w:type="paragraph" w:styleId="Date">
    <w:name w:val="Date"/>
    <w:basedOn w:val="Normal"/>
    <w:next w:val="Normal"/>
    <w:rsid w:val="00207AA8"/>
  </w:style>
  <w:style w:type="paragraph" w:styleId="BodyText">
    <w:name w:val="Body Text"/>
    <w:basedOn w:val="Normal"/>
    <w:rsid w:val="008F47AC"/>
    <w:pPr>
      <w:spacing w:after="120"/>
    </w:pPr>
  </w:style>
  <w:style w:type="paragraph" w:styleId="FootnoteText">
    <w:name w:val="footnote text"/>
    <w:aliases w:val="Footnote Text Char Char,Footnote Text Char1 Char,Note de bas de page2,Текст сноски Знак Char,5_G,Footnote Text Char Char Char Char Char Char Char Char Char Char Char,Footnote Text Char Char Char Char Char Char Char Char, Char,Char,FA Fu"/>
    <w:basedOn w:val="Normal"/>
    <w:link w:val="FootnoteTextChar"/>
    <w:uiPriority w:val="99"/>
    <w:rsid w:val="003F6DBD"/>
    <w:rPr>
      <w:sz w:val="20"/>
      <w:szCs w:val="20"/>
    </w:rPr>
  </w:style>
  <w:style w:type="character" w:customStyle="1" w:styleId="FootnoteTextChar">
    <w:name w:val="Footnote Text Char"/>
    <w:aliases w:val="Footnote Text Char Char Char,Footnote Text Char1 Char Char,Note de bas de page2 Char,Текст сноски Знак Char Char,5_G Char,Footnote Text Char Char Char Char Char Char Char Char Char Char Char Char, Char Char,Char Char,FA Fu Char"/>
    <w:basedOn w:val="DefaultParagraphFont"/>
    <w:link w:val="FootnoteText"/>
    <w:uiPriority w:val="99"/>
    <w:rsid w:val="003F6DBD"/>
    <w:rPr>
      <w:rFonts w:ascii="Arial" w:hAnsi="Arial"/>
      <w:lang w:eastAsia="ko-KR"/>
    </w:rPr>
  </w:style>
  <w:style w:type="character" w:styleId="FootnoteReference">
    <w:name w:val="footnote reference"/>
    <w:aliases w:val="4_G"/>
    <w:basedOn w:val="DefaultParagraphFont"/>
    <w:uiPriority w:val="99"/>
    <w:rsid w:val="003F6DBD"/>
    <w:rPr>
      <w:vertAlign w:val="superscript"/>
    </w:rPr>
  </w:style>
  <w:style w:type="paragraph" w:styleId="ListParagraph">
    <w:name w:val="List Paragraph"/>
    <w:basedOn w:val="Normal"/>
    <w:link w:val="ListParagraphChar"/>
    <w:uiPriority w:val="34"/>
    <w:qFormat/>
    <w:rsid w:val="00573A87"/>
    <w:pPr>
      <w:ind w:left="720"/>
      <w:contextualSpacing/>
    </w:pPr>
  </w:style>
  <w:style w:type="character" w:styleId="CommentReference">
    <w:name w:val="annotation reference"/>
    <w:basedOn w:val="DefaultParagraphFont"/>
    <w:rsid w:val="00F4465A"/>
    <w:rPr>
      <w:sz w:val="16"/>
      <w:szCs w:val="16"/>
    </w:rPr>
  </w:style>
  <w:style w:type="paragraph" w:styleId="CommentText">
    <w:name w:val="annotation text"/>
    <w:basedOn w:val="Normal"/>
    <w:link w:val="CommentTextChar"/>
    <w:rsid w:val="00F4465A"/>
    <w:rPr>
      <w:sz w:val="20"/>
      <w:szCs w:val="20"/>
    </w:rPr>
  </w:style>
  <w:style w:type="character" w:customStyle="1" w:styleId="CommentTextChar">
    <w:name w:val="Comment Text Char"/>
    <w:basedOn w:val="DefaultParagraphFont"/>
    <w:link w:val="CommentText"/>
    <w:rsid w:val="00F4465A"/>
    <w:rPr>
      <w:rFonts w:ascii="Arial" w:hAnsi="Arial"/>
      <w:lang w:eastAsia="ko-KR"/>
    </w:rPr>
  </w:style>
  <w:style w:type="paragraph" w:styleId="CommentSubject">
    <w:name w:val="annotation subject"/>
    <w:basedOn w:val="CommentText"/>
    <w:next w:val="CommentText"/>
    <w:link w:val="CommentSubjectChar"/>
    <w:uiPriority w:val="99"/>
    <w:rsid w:val="00F4465A"/>
    <w:rPr>
      <w:b/>
      <w:bCs/>
    </w:rPr>
  </w:style>
  <w:style w:type="character" w:customStyle="1" w:styleId="CommentSubjectChar">
    <w:name w:val="Comment Subject Char"/>
    <w:basedOn w:val="CommentTextChar"/>
    <w:link w:val="CommentSubject"/>
    <w:uiPriority w:val="99"/>
    <w:rsid w:val="00F4465A"/>
    <w:rPr>
      <w:rFonts w:ascii="Arial" w:hAnsi="Arial"/>
      <w:b/>
      <w:bCs/>
      <w:lang w:eastAsia="ko-KR"/>
    </w:rPr>
  </w:style>
  <w:style w:type="paragraph" w:customStyle="1" w:styleId="Default">
    <w:name w:val="Default"/>
    <w:rsid w:val="00455453"/>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04318"/>
    <w:rPr>
      <w:rFonts w:ascii="Arial" w:hAnsi="Arial"/>
      <w:sz w:val="24"/>
      <w:szCs w:val="24"/>
      <w:lang w:eastAsia="ko-KR"/>
    </w:rPr>
  </w:style>
  <w:style w:type="character" w:customStyle="1" w:styleId="ListParagraphChar">
    <w:name w:val="List Paragraph Char"/>
    <w:basedOn w:val="DefaultParagraphFont"/>
    <w:link w:val="ListParagraph"/>
    <w:uiPriority w:val="34"/>
    <w:rsid w:val="00D32843"/>
    <w:rPr>
      <w:rFonts w:ascii="Arial" w:hAnsi="Arial"/>
      <w:sz w:val="24"/>
      <w:szCs w:val="24"/>
      <w:lang w:eastAsia="ko-KR"/>
    </w:rPr>
  </w:style>
  <w:style w:type="paragraph" w:styleId="EndnoteText">
    <w:name w:val="endnote text"/>
    <w:basedOn w:val="Normal"/>
    <w:link w:val="EndnoteTextChar"/>
    <w:rsid w:val="00D32843"/>
    <w:pPr>
      <w:spacing w:after="200" w:line="276" w:lineRule="auto"/>
    </w:pPr>
    <w:rPr>
      <w:rFonts w:ascii="Calibri" w:eastAsia="Calibri" w:hAnsi="Calibri" w:cs="Calibri"/>
      <w:sz w:val="20"/>
      <w:szCs w:val="20"/>
      <w:lang w:val="en-US" w:eastAsia="en-US"/>
    </w:rPr>
  </w:style>
  <w:style w:type="character" w:customStyle="1" w:styleId="EndnoteTextChar">
    <w:name w:val="Endnote Text Char"/>
    <w:basedOn w:val="DefaultParagraphFont"/>
    <w:link w:val="EndnoteText"/>
    <w:rsid w:val="00D32843"/>
    <w:rPr>
      <w:rFonts w:ascii="Calibri" w:eastAsia="Calibri" w:hAnsi="Calibri" w:cs="Calibri"/>
      <w:lang w:val="en-US" w:eastAsia="en-US"/>
    </w:rPr>
  </w:style>
  <w:style w:type="character" w:customStyle="1" w:styleId="grcorrect">
    <w:name w:val="grcorrect"/>
    <w:basedOn w:val="DefaultParagraphFont"/>
    <w:rsid w:val="00D32843"/>
  </w:style>
  <w:style w:type="character" w:customStyle="1" w:styleId="Hyperlink1">
    <w:name w:val="Hyperlink1"/>
    <w:autoRedefine/>
    <w:rsid w:val="00D32843"/>
    <w:rPr>
      <w:color w:val="0029F6"/>
      <w:sz w:val="22"/>
      <w:u w:val="single"/>
    </w:rPr>
  </w:style>
  <w:style w:type="character" w:customStyle="1" w:styleId="apple-style-span">
    <w:name w:val="apple-style-span"/>
    <w:basedOn w:val="DefaultParagraphFont"/>
    <w:rsid w:val="00D32843"/>
  </w:style>
  <w:style w:type="character" w:styleId="EndnoteReference">
    <w:name w:val="endnote reference"/>
    <w:unhideWhenUsed/>
    <w:rsid w:val="00985669"/>
    <w:rPr>
      <w:vertAlign w:val="superscript"/>
    </w:rPr>
  </w:style>
  <w:style w:type="character" w:customStyle="1" w:styleId="Heading3Char">
    <w:name w:val="Heading 3 Char"/>
    <w:basedOn w:val="DefaultParagraphFont"/>
    <w:link w:val="Heading3"/>
    <w:rsid w:val="00F96FCB"/>
    <w:rPr>
      <w:rFonts w:ascii="Arial" w:hAnsi="Arial"/>
      <w:b/>
      <w:bCs/>
      <w:sz w:val="24"/>
      <w:szCs w:val="26"/>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w@hrc.co.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police.govt.nz/featured/new-strategy-aims-turn-tide-maori-victimisation-and-offen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WGTN%20Email%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4BC78-5A8E-4E18-88F2-3C759542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WGTN Email Letter</Template>
  <TotalTime>0</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LANWorx Ltd</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White</dc:creator>
  <cp:lastModifiedBy>shawnm</cp:lastModifiedBy>
  <cp:revision>2</cp:revision>
  <cp:lastPrinted>2014-02-14T02:18:00Z</cp:lastPrinted>
  <dcterms:created xsi:type="dcterms:W3CDTF">2015-09-28T01:48:00Z</dcterms:created>
  <dcterms:modified xsi:type="dcterms:W3CDTF">2015-09-28T01:48:00Z</dcterms:modified>
</cp:coreProperties>
</file>