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B6" w:rsidRPr="00184FBF" w:rsidRDefault="000768B6" w:rsidP="000768B6">
      <w:pPr>
        <w:spacing w:line="276" w:lineRule="auto"/>
        <w:rPr>
          <w:sz w:val="32"/>
          <w:szCs w:val="32"/>
        </w:rPr>
      </w:pPr>
      <w:r>
        <w:rPr>
          <w:noProof/>
          <w:sz w:val="32"/>
          <w:szCs w:val="32"/>
          <w:lang w:eastAsia="en-NZ"/>
        </w:rPr>
        <w:drawing>
          <wp:anchor distT="0" distB="0" distL="114300" distR="114300" simplePos="0" relativeHeight="251659264" behindDoc="1" locked="0" layoutInCell="1" allowOverlap="1" wp14:anchorId="0A8BB672" wp14:editId="2CE2F67A">
            <wp:simplePos x="0" y="0"/>
            <wp:positionH relativeFrom="column">
              <wp:posOffset>4211320</wp:posOffset>
            </wp:positionH>
            <wp:positionV relativeFrom="paragraph">
              <wp:posOffset>-325120</wp:posOffset>
            </wp:positionV>
            <wp:extent cx="1242060" cy="1395730"/>
            <wp:effectExtent l="19050" t="0" r="0" b="0"/>
            <wp:wrapNone/>
            <wp:docPr id="3" name="Picture 0" descr="HRC_logo07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C_logo07LowRes.gif"/>
                    <pic:cNvPicPr>
                      <a:picLocks noChangeAspect="1" noChangeArrowheads="1"/>
                    </pic:cNvPicPr>
                  </pic:nvPicPr>
                  <pic:blipFill>
                    <a:blip r:embed="rId8" cstate="print"/>
                    <a:srcRect/>
                    <a:stretch>
                      <a:fillRect/>
                    </a:stretch>
                  </pic:blipFill>
                  <pic:spPr bwMode="auto">
                    <a:xfrm>
                      <a:off x="0" y="0"/>
                      <a:ext cx="1242060" cy="1395730"/>
                    </a:xfrm>
                    <a:prstGeom prst="rect">
                      <a:avLst/>
                    </a:prstGeom>
                    <a:noFill/>
                    <a:ln w="9525">
                      <a:noFill/>
                      <a:miter lim="800000"/>
                      <a:headEnd/>
                      <a:tailEnd/>
                    </a:ln>
                  </pic:spPr>
                </pic:pic>
              </a:graphicData>
            </a:graphic>
          </wp:anchor>
        </w:drawing>
      </w:r>
      <w:r w:rsidRPr="00184FBF">
        <w:rPr>
          <w:sz w:val="32"/>
          <w:szCs w:val="32"/>
        </w:rPr>
        <w:t>Human Rights Council</w:t>
      </w:r>
      <w:r w:rsidRPr="00184FBF">
        <w:rPr>
          <w:sz w:val="32"/>
          <w:szCs w:val="32"/>
        </w:rPr>
        <w:tab/>
      </w:r>
    </w:p>
    <w:p w:rsidR="000768B6" w:rsidRPr="00184FBF" w:rsidRDefault="000768B6" w:rsidP="000768B6">
      <w:pPr>
        <w:spacing w:line="276" w:lineRule="auto"/>
        <w:rPr>
          <w:b/>
          <w:sz w:val="32"/>
          <w:szCs w:val="32"/>
        </w:rPr>
      </w:pPr>
      <w:r w:rsidRPr="00184FBF">
        <w:rPr>
          <w:sz w:val="32"/>
          <w:szCs w:val="32"/>
        </w:rPr>
        <w:t xml:space="preserve">Expert Mechanism on the </w:t>
      </w:r>
      <w:r w:rsidRPr="00184FBF">
        <w:rPr>
          <w:sz w:val="32"/>
          <w:szCs w:val="32"/>
        </w:rPr>
        <w:br/>
        <w:t>Rights of Indigenous Peoples</w:t>
      </w:r>
      <w:r w:rsidRPr="00184FBF">
        <w:rPr>
          <w:b/>
          <w:sz w:val="32"/>
          <w:szCs w:val="32"/>
        </w:rPr>
        <w:t xml:space="preserve"> </w:t>
      </w:r>
    </w:p>
    <w:p w:rsidR="000768B6" w:rsidRDefault="000768B6" w:rsidP="000768B6">
      <w:pPr>
        <w:spacing w:line="276" w:lineRule="auto"/>
        <w:rPr>
          <w:i/>
        </w:rPr>
      </w:pPr>
    </w:p>
    <w:p w:rsidR="000768B6" w:rsidRPr="00184FBF" w:rsidRDefault="000768B6" w:rsidP="000768B6">
      <w:pPr>
        <w:spacing w:line="276" w:lineRule="auto"/>
        <w:jc w:val="both"/>
        <w:rPr>
          <w:i/>
        </w:rPr>
      </w:pPr>
      <w:r>
        <w:rPr>
          <w:i/>
        </w:rPr>
        <w:t xml:space="preserve">NINTH </w:t>
      </w:r>
      <w:r w:rsidRPr="00184FBF">
        <w:rPr>
          <w:i/>
        </w:rPr>
        <w:t xml:space="preserve">SESSION, </w:t>
      </w:r>
      <w:r>
        <w:rPr>
          <w:i/>
        </w:rPr>
        <w:t>11-15</w:t>
      </w:r>
      <w:r w:rsidRPr="00184FBF">
        <w:rPr>
          <w:i/>
        </w:rPr>
        <w:t xml:space="preserve"> JULY 201</w:t>
      </w:r>
      <w:r>
        <w:rPr>
          <w:i/>
        </w:rPr>
        <w:t>6</w:t>
      </w:r>
      <w:r w:rsidRPr="00184FBF">
        <w:rPr>
          <w:i/>
        </w:rPr>
        <w:t>, GENEVA</w:t>
      </w:r>
    </w:p>
    <w:p w:rsidR="000768B6" w:rsidRDefault="000768B6" w:rsidP="000768B6">
      <w:pPr>
        <w:spacing w:line="276" w:lineRule="auto"/>
        <w:jc w:val="both"/>
      </w:pPr>
    </w:p>
    <w:p w:rsidR="000768B6" w:rsidRPr="000768B6" w:rsidRDefault="000768B6" w:rsidP="000768B6">
      <w:pPr>
        <w:rPr>
          <w:sz w:val="24"/>
        </w:rPr>
      </w:pPr>
      <w:r w:rsidRPr="000768B6">
        <w:rPr>
          <w:sz w:val="24"/>
        </w:rPr>
        <w:t xml:space="preserve">Agenda item 5: </w:t>
      </w:r>
      <w:r>
        <w:rPr>
          <w:sz w:val="24"/>
        </w:rPr>
        <w:t xml:space="preserve"> </w:t>
      </w:r>
      <w:r w:rsidRPr="000768B6">
        <w:rPr>
          <w:sz w:val="24"/>
        </w:rPr>
        <w:t>Study on the right to health and indigenous peoples, with a focus on children and youth</w:t>
      </w:r>
    </w:p>
    <w:p w:rsidR="000768B6" w:rsidRDefault="000768B6" w:rsidP="000768B6">
      <w:pPr>
        <w:pBdr>
          <w:bottom w:val="single" w:sz="4" w:space="1" w:color="auto"/>
        </w:pBdr>
        <w:spacing w:line="276" w:lineRule="auto"/>
      </w:pPr>
    </w:p>
    <w:p w:rsidR="00EB37DF" w:rsidRPr="00FD2CD2" w:rsidRDefault="00EB37DF">
      <w:pPr>
        <w:rPr>
          <w:sz w:val="24"/>
        </w:rPr>
      </w:pPr>
    </w:p>
    <w:p w:rsidR="00321B61" w:rsidRPr="00FD2CD2" w:rsidRDefault="00321B61" w:rsidP="00321B61">
      <w:pPr>
        <w:spacing w:line="276" w:lineRule="auto"/>
        <w:rPr>
          <w:sz w:val="24"/>
        </w:rPr>
      </w:pPr>
      <w:r w:rsidRPr="00FD2CD2">
        <w:rPr>
          <w:sz w:val="24"/>
        </w:rPr>
        <w:t xml:space="preserve">E </w:t>
      </w:r>
      <w:proofErr w:type="spellStart"/>
      <w:r w:rsidRPr="00FD2CD2">
        <w:rPr>
          <w:sz w:val="24"/>
        </w:rPr>
        <w:t>ngā</w:t>
      </w:r>
      <w:proofErr w:type="spellEnd"/>
      <w:r w:rsidRPr="00FD2CD2">
        <w:rPr>
          <w:sz w:val="24"/>
        </w:rPr>
        <w:t xml:space="preserve"> mana, e </w:t>
      </w:r>
      <w:proofErr w:type="spellStart"/>
      <w:r w:rsidRPr="00FD2CD2">
        <w:rPr>
          <w:sz w:val="24"/>
        </w:rPr>
        <w:t>ngā</w:t>
      </w:r>
      <w:proofErr w:type="spellEnd"/>
      <w:r w:rsidRPr="00FD2CD2">
        <w:rPr>
          <w:sz w:val="24"/>
        </w:rPr>
        <w:t xml:space="preserve"> reo, e </w:t>
      </w:r>
      <w:proofErr w:type="spellStart"/>
      <w:r w:rsidRPr="00FD2CD2">
        <w:rPr>
          <w:sz w:val="24"/>
        </w:rPr>
        <w:t>ngā</w:t>
      </w:r>
      <w:proofErr w:type="spellEnd"/>
      <w:r w:rsidRPr="00FD2CD2">
        <w:rPr>
          <w:sz w:val="24"/>
        </w:rPr>
        <w:t xml:space="preserve"> </w:t>
      </w:r>
      <w:proofErr w:type="spellStart"/>
      <w:r w:rsidRPr="00FD2CD2">
        <w:rPr>
          <w:sz w:val="24"/>
        </w:rPr>
        <w:t>maunga</w:t>
      </w:r>
      <w:proofErr w:type="spellEnd"/>
      <w:r w:rsidRPr="00FD2CD2">
        <w:rPr>
          <w:sz w:val="24"/>
        </w:rPr>
        <w:t xml:space="preserve">, e </w:t>
      </w:r>
      <w:proofErr w:type="spellStart"/>
      <w:r w:rsidRPr="00FD2CD2">
        <w:rPr>
          <w:sz w:val="24"/>
        </w:rPr>
        <w:t>ngā</w:t>
      </w:r>
      <w:proofErr w:type="spellEnd"/>
      <w:r w:rsidRPr="00FD2CD2">
        <w:rPr>
          <w:sz w:val="24"/>
        </w:rPr>
        <w:t xml:space="preserve"> </w:t>
      </w:r>
      <w:proofErr w:type="spellStart"/>
      <w:r w:rsidRPr="00FD2CD2">
        <w:rPr>
          <w:sz w:val="24"/>
        </w:rPr>
        <w:t>aw</w:t>
      </w:r>
      <w:r w:rsidR="0065035B">
        <w:rPr>
          <w:sz w:val="24"/>
        </w:rPr>
        <w:t>aawa</w:t>
      </w:r>
      <w:proofErr w:type="spellEnd"/>
      <w:r w:rsidR="0065035B">
        <w:rPr>
          <w:sz w:val="24"/>
        </w:rPr>
        <w:t xml:space="preserve">, e </w:t>
      </w:r>
      <w:proofErr w:type="spellStart"/>
      <w:r w:rsidR="0065035B">
        <w:rPr>
          <w:sz w:val="24"/>
        </w:rPr>
        <w:t>nga</w:t>
      </w:r>
      <w:proofErr w:type="spellEnd"/>
      <w:r w:rsidR="0065035B">
        <w:rPr>
          <w:sz w:val="24"/>
        </w:rPr>
        <w:t xml:space="preserve"> </w:t>
      </w:r>
      <w:proofErr w:type="spellStart"/>
      <w:r w:rsidR="0065035B">
        <w:rPr>
          <w:sz w:val="24"/>
        </w:rPr>
        <w:t>pātaka</w:t>
      </w:r>
      <w:proofErr w:type="spellEnd"/>
      <w:r w:rsidR="0065035B">
        <w:rPr>
          <w:sz w:val="24"/>
        </w:rPr>
        <w:t xml:space="preserve"> o </w:t>
      </w:r>
      <w:proofErr w:type="spellStart"/>
      <w:r w:rsidR="0065035B">
        <w:rPr>
          <w:sz w:val="24"/>
        </w:rPr>
        <w:t>ngā</w:t>
      </w:r>
      <w:proofErr w:type="spellEnd"/>
      <w:r w:rsidR="0065035B">
        <w:rPr>
          <w:sz w:val="24"/>
        </w:rPr>
        <w:t xml:space="preserve"> </w:t>
      </w:r>
      <w:proofErr w:type="spellStart"/>
      <w:r w:rsidR="0065035B">
        <w:rPr>
          <w:sz w:val="24"/>
        </w:rPr>
        <w:t>taonga</w:t>
      </w:r>
      <w:proofErr w:type="spellEnd"/>
      <w:r w:rsidR="0065035B">
        <w:rPr>
          <w:sz w:val="24"/>
        </w:rPr>
        <w:t xml:space="preserve"> </w:t>
      </w:r>
      <w:proofErr w:type="spellStart"/>
      <w:r w:rsidRPr="00FD2CD2">
        <w:rPr>
          <w:sz w:val="24"/>
        </w:rPr>
        <w:t>tuku</w:t>
      </w:r>
      <w:proofErr w:type="spellEnd"/>
      <w:r w:rsidRPr="00FD2CD2">
        <w:rPr>
          <w:sz w:val="24"/>
        </w:rPr>
        <w:t xml:space="preserve"> </w:t>
      </w:r>
      <w:proofErr w:type="spellStart"/>
      <w:r w:rsidRPr="00FD2CD2">
        <w:rPr>
          <w:sz w:val="24"/>
        </w:rPr>
        <w:t>iho</w:t>
      </w:r>
      <w:proofErr w:type="spellEnd"/>
      <w:r w:rsidRPr="00FD2CD2">
        <w:rPr>
          <w:sz w:val="24"/>
        </w:rPr>
        <w:t xml:space="preserve">, </w:t>
      </w:r>
      <w:proofErr w:type="spellStart"/>
      <w:r w:rsidRPr="00FD2CD2">
        <w:rPr>
          <w:sz w:val="24"/>
        </w:rPr>
        <w:t>tēnā</w:t>
      </w:r>
      <w:proofErr w:type="spellEnd"/>
      <w:r w:rsidRPr="00FD2CD2">
        <w:rPr>
          <w:sz w:val="24"/>
        </w:rPr>
        <w:t xml:space="preserve"> </w:t>
      </w:r>
      <w:proofErr w:type="spellStart"/>
      <w:r w:rsidRPr="00FD2CD2">
        <w:rPr>
          <w:sz w:val="24"/>
        </w:rPr>
        <w:t>koutou</w:t>
      </w:r>
      <w:proofErr w:type="spellEnd"/>
      <w:r w:rsidRPr="00FD2CD2">
        <w:rPr>
          <w:sz w:val="24"/>
        </w:rPr>
        <w:t xml:space="preserve"> </w:t>
      </w:r>
      <w:proofErr w:type="spellStart"/>
      <w:r w:rsidRPr="00FD2CD2">
        <w:rPr>
          <w:sz w:val="24"/>
        </w:rPr>
        <w:t>katoa</w:t>
      </w:r>
      <w:proofErr w:type="spellEnd"/>
      <w:r w:rsidRPr="00FD2CD2">
        <w:rPr>
          <w:sz w:val="24"/>
        </w:rPr>
        <w:t>.  [</w:t>
      </w:r>
      <w:r w:rsidRPr="00FD2CD2">
        <w:rPr>
          <w:i/>
          <w:sz w:val="24"/>
        </w:rPr>
        <w:t>Translation: to all expert colleagues, all voices, the mountains, the rivers, the treasure houses, greetings to all of you</w:t>
      </w:r>
      <w:r w:rsidRPr="00FD2CD2">
        <w:rPr>
          <w:sz w:val="24"/>
        </w:rPr>
        <w:t>.]</w:t>
      </w:r>
    </w:p>
    <w:p w:rsidR="00321B61" w:rsidRPr="00FD2CD2" w:rsidRDefault="00321B61" w:rsidP="00321B61">
      <w:pPr>
        <w:spacing w:line="276" w:lineRule="auto"/>
        <w:rPr>
          <w:sz w:val="24"/>
        </w:rPr>
      </w:pPr>
    </w:p>
    <w:p w:rsidR="00321B61" w:rsidRPr="00FD2CD2" w:rsidRDefault="00321B61" w:rsidP="00321B61">
      <w:pPr>
        <w:spacing w:line="276" w:lineRule="auto"/>
        <w:rPr>
          <w:sz w:val="24"/>
        </w:rPr>
      </w:pPr>
      <w:r w:rsidRPr="00F20816">
        <w:rPr>
          <w:sz w:val="24"/>
        </w:rPr>
        <w:t>Mr</w:t>
      </w:r>
      <w:r w:rsidR="0065035B">
        <w:rPr>
          <w:sz w:val="24"/>
        </w:rPr>
        <w:t xml:space="preserve"> </w:t>
      </w:r>
      <w:r w:rsidRPr="00FD2CD2">
        <w:rPr>
          <w:sz w:val="24"/>
        </w:rPr>
        <w:t xml:space="preserve">Chair, thank you for this opportunity to speak as the Commissioner representative of the New Zealand Human Rights Commission.  My name is Karen Johansen.  The following comments are made further to the Commission’s submission to the Expert Mechanism’s study earlier this year. </w:t>
      </w:r>
    </w:p>
    <w:p w:rsidR="00321B61" w:rsidRPr="00FD2CD2" w:rsidRDefault="00321B61" w:rsidP="00321B61">
      <w:pPr>
        <w:spacing w:line="276" w:lineRule="auto"/>
        <w:rPr>
          <w:sz w:val="24"/>
        </w:rPr>
      </w:pPr>
    </w:p>
    <w:p w:rsidR="00A27B39" w:rsidRPr="00C66896" w:rsidRDefault="00A27B39" w:rsidP="00A27B39">
      <w:pPr>
        <w:rPr>
          <w:sz w:val="24"/>
        </w:rPr>
      </w:pPr>
      <w:r w:rsidRPr="000768B6">
        <w:rPr>
          <w:sz w:val="24"/>
        </w:rPr>
        <w:t>Māori concepts of health</w:t>
      </w:r>
      <w:r w:rsidRPr="00C66896">
        <w:rPr>
          <w:sz w:val="24"/>
        </w:rPr>
        <w:t xml:space="preserve"> encompass individual and collective wellbeing, and are interconnected to the realisation of a range of rights, including: self-determination, development, </w:t>
      </w:r>
      <w:r w:rsidR="006F5A10" w:rsidRPr="00C66896">
        <w:rPr>
          <w:sz w:val="24"/>
        </w:rPr>
        <w:t xml:space="preserve">an adequate standard of living, as well as </w:t>
      </w:r>
      <w:r w:rsidRPr="00C66896">
        <w:rPr>
          <w:sz w:val="24"/>
        </w:rPr>
        <w:t xml:space="preserve">culture, language, land and the natural environment.  </w:t>
      </w:r>
    </w:p>
    <w:p w:rsidR="002D206F" w:rsidRPr="00C66896" w:rsidRDefault="002D206F" w:rsidP="00A27B39">
      <w:pPr>
        <w:rPr>
          <w:sz w:val="24"/>
        </w:rPr>
      </w:pPr>
    </w:p>
    <w:p w:rsidR="00DF2DB0" w:rsidRDefault="00DF2DB0" w:rsidP="00DF2DB0">
      <w:pPr>
        <w:rPr>
          <w:rFonts w:eastAsiaTheme="minorHAnsi"/>
          <w:sz w:val="24"/>
        </w:rPr>
      </w:pPr>
      <w:r>
        <w:rPr>
          <w:sz w:val="24"/>
        </w:rPr>
        <w:t>Despite some gains, protection of these rights and attaining health equality for Māori remains a challenge.</w:t>
      </w:r>
    </w:p>
    <w:p w:rsidR="002D206F" w:rsidRPr="00C66896" w:rsidRDefault="002D206F" w:rsidP="00A27B39">
      <w:pPr>
        <w:rPr>
          <w:sz w:val="24"/>
        </w:rPr>
      </w:pPr>
      <w:bookmarkStart w:id="0" w:name="_GoBack"/>
      <w:bookmarkEnd w:id="0"/>
    </w:p>
    <w:p w:rsidR="00070087" w:rsidRPr="00C66896" w:rsidRDefault="00070087" w:rsidP="002D206F">
      <w:pPr>
        <w:rPr>
          <w:sz w:val="24"/>
        </w:rPr>
      </w:pPr>
      <w:r w:rsidRPr="000768B6">
        <w:rPr>
          <w:sz w:val="24"/>
        </w:rPr>
        <w:t>O</w:t>
      </w:r>
      <w:r w:rsidR="00A27B39" w:rsidRPr="000768B6">
        <w:rPr>
          <w:sz w:val="24"/>
        </w:rPr>
        <w:t>n the positive side</w:t>
      </w:r>
      <w:r w:rsidR="00A27B39" w:rsidRPr="00C66896">
        <w:rPr>
          <w:sz w:val="24"/>
        </w:rPr>
        <w:t xml:space="preserve">, health legislation and policy increasingly recognises </w:t>
      </w:r>
      <w:r w:rsidR="000B610C" w:rsidRPr="00C66896">
        <w:rPr>
          <w:sz w:val="24"/>
        </w:rPr>
        <w:t>Māori concepts of health</w:t>
      </w:r>
      <w:r w:rsidRPr="00C66896">
        <w:rPr>
          <w:sz w:val="24"/>
        </w:rPr>
        <w:t xml:space="preserve">.  </w:t>
      </w:r>
      <w:r w:rsidRPr="00C66896">
        <w:rPr>
          <w:i/>
          <w:sz w:val="24"/>
        </w:rPr>
        <w:t xml:space="preserve">He Korowai </w:t>
      </w:r>
      <w:proofErr w:type="spellStart"/>
      <w:r w:rsidRPr="00C66896">
        <w:rPr>
          <w:i/>
          <w:sz w:val="24"/>
        </w:rPr>
        <w:t>Oranga</w:t>
      </w:r>
      <w:proofErr w:type="spellEnd"/>
      <w:r w:rsidRPr="00C66896">
        <w:rPr>
          <w:sz w:val="24"/>
        </w:rPr>
        <w:t xml:space="preserve"> </w:t>
      </w:r>
      <w:r w:rsidR="00D14F10" w:rsidRPr="00C66896">
        <w:rPr>
          <w:sz w:val="24"/>
        </w:rPr>
        <w:t xml:space="preserve">– </w:t>
      </w:r>
      <w:r w:rsidR="00D14F10" w:rsidRPr="00C66896">
        <w:rPr>
          <w:i/>
          <w:sz w:val="24"/>
        </w:rPr>
        <w:t xml:space="preserve">The Māori Health Strategy </w:t>
      </w:r>
      <w:r w:rsidRPr="00C66896">
        <w:rPr>
          <w:sz w:val="24"/>
        </w:rPr>
        <w:t xml:space="preserve">is underpinned by a framework reflective of Māori values and concepts.  </w:t>
      </w:r>
    </w:p>
    <w:p w:rsidR="0000315C" w:rsidRDefault="0000315C" w:rsidP="0000315C">
      <w:pPr>
        <w:rPr>
          <w:sz w:val="24"/>
        </w:rPr>
      </w:pPr>
    </w:p>
    <w:p w:rsidR="0000315C" w:rsidRPr="00C66896" w:rsidRDefault="0000315C" w:rsidP="0000315C">
      <w:pPr>
        <w:rPr>
          <w:sz w:val="24"/>
        </w:rPr>
      </w:pPr>
      <w:r>
        <w:rPr>
          <w:sz w:val="24"/>
        </w:rPr>
        <w:t>A</w:t>
      </w:r>
      <w:r w:rsidRPr="00C66896">
        <w:rPr>
          <w:sz w:val="24"/>
        </w:rPr>
        <w:t xml:space="preserve"> Parliamentary Committee Inquiry into the ‘determinants of health for Māori children’</w:t>
      </w:r>
      <w:r>
        <w:rPr>
          <w:sz w:val="24"/>
        </w:rPr>
        <w:t xml:space="preserve"> recently identified key principles which include</w:t>
      </w:r>
      <w:r w:rsidRPr="00C66896">
        <w:rPr>
          <w:sz w:val="24"/>
        </w:rPr>
        <w:t>:</w:t>
      </w:r>
      <w:r w:rsidRPr="00C66896">
        <w:rPr>
          <w:rStyle w:val="FootnoteReference"/>
          <w:sz w:val="24"/>
        </w:rPr>
        <w:footnoteReference w:id="1"/>
      </w:r>
      <w:r w:rsidRPr="00C66896">
        <w:rPr>
          <w:sz w:val="24"/>
        </w:rPr>
        <w:t xml:space="preserve">  </w:t>
      </w:r>
    </w:p>
    <w:p w:rsidR="0000315C" w:rsidRPr="00C66896" w:rsidRDefault="0000315C" w:rsidP="0000315C">
      <w:pPr>
        <w:pStyle w:val="ListParagraph"/>
        <w:numPr>
          <w:ilvl w:val="0"/>
          <w:numId w:val="5"/>
        </w:numPr>
        <w:rPr>
          <w:sz w:val="24"/>
          <w:szCs w:val="24"/>
        </w:rPr>
      </w:pPr>
      <w:r w:rsidRPr="00C66896">
        <w:rPr>
          <w:sz w:val="24"/>
          <w:szCs w:val="24"/>
        </w:rPr>
        <w:t xml:space="preserve">The wellbeing of Māori children is inextricable from the wellbeing of their </w:t>
      </w:r>
      <w:proofErr w:type="spellStart"/>
      <w:r w:rsidRPr="00C66896">
        <w:rPr>
          <w:sz w:val="24"/>
          <w:szCs w:val="24"/>
        </w:rPr>
        <w:t>wh</w:t>
      </w:r>
      <w:r w:rsidRPr="00C66896">
        <w:rPr>
          <w:rFonts w:cs="Arial"/>
          <w:sz w:val="24"/>
          <w:szCs w:val="24"/>
        </w:rPr>
        <w:t>ā</w:t>
      </w:r>
      <w:r w:rsidRPr="00C66896">
        <w:rPr>
          <w:sz w:val="24"/>
          <w:szCs w:val="24"/>
        </w:rPr>
        <w:t>nau</w:t>
      </w:r>
      <w:proofErr w:type="spellEnd"/>
      <w:r w:rsidRPr="00C66896">
        <w:rPr>
          <w:sz w:val="24"/>
          <w:szCs w:val="24"/>
        </w:rPr>
        <w:t xml:space="preserve"> (families)</w:t>
      </w:r>
    </w:p>
    <w:p w:rsidR="0000315C" w:rsidRPr="00C66896" w:rsidRDefault="0000315C" w:rsidP="0000315C">
      <w:pPr>
        <w:pStyle w:val="ListParagraph"/>
        <w:numPr>
          <w:ilvl w:val="0"/>
          <w:numId w:val="5"/>
        </w:numPr>
        <w:rPr>
          <w:sz w:val="24"/>
          <w:szCs w:val="24"/>
        </w:rPr>
      </w:pPr>
      <w:r w:rsidRPr="00C66896">
        <w:rPr>
          <w:sz w:val="24"/>
          <w:szCs w:val="24"/>
        </w:rPr>
        <w:t>The importance of collective identity for a Māori child must be acknowledged as a first step</w:t>
      </w:r>
    </w:p>
    <w:p w:rsidR="0000315C" w:rsidRPr="00C66896" w:rsidRDefault="0000315C" w:rsidP="0000315C">
      <w:pPr>
        <w:pStyle w:val="ListParagraph"/>
        <w:numPr>
          <w:ilvl w:val="0"/>
          <w:numId w:val="5"/>
        </w:numPr>
        <w:rPr>
          <w:sz w:val="24"/>
          <w:szCs w:val="24"/>
        </w:rPr>
      </w:pPr>
      <w:r w:rsidRPr="00C66896">
        <w:rPr>
          <w:sz w:val="24"/>
          <w:szCs w:val="24"/>
        </w:rPr>
        <w:t>Families need to be engaged in making the decisions that affect them</w:t>
      </w:r>
      <w:r>
        <w:rPr>
          <w:sz w:val="24"/>
          <w:szCs w:val="24"/>
        </w:rPr>
        <w:t>.</w:t>
      </w:r>
      <w:r w:rsidRPr="00C66896">
        <w:rPr>
          <w:sz w:val="24"/>
          <w:szCs w:val="24"/>
        </w:rPr>
        <w:t xml:space="preserve"> </w:t>
      </w:r>
    </w:p>
    <w:p w:rsidR="0000315C" w:rsidRPr="00C66896" w:rsidRDefault="0000315C" w:rsidP="0000315C">
      <w:pPr>
        <w:rPr>
          <w:sz w:val="24"/>
        </w:rPr>
      </w:pPr>
    </w:p>
    <w:p w:rsidR="0000315C" w:rsidRDefault="0000315C" w:rsidP="0000315C">
      <w:pPr>
        <w:rPr>
          <w:sz w:val="24"/>
        </w:rPr>
      </w:pPr>
      <w:r w:rsidRPr="00C66896">
        <w:rPr>
          <w:sz w:val="24"/>
        </w:rPr>
        <w:t>These principles have been incorporated, to some extent, in Māori health policy and strategy</w:t>
      </w:r>
      <w:r>
        <w:rPr>
          <w:sz w:val="24"/>
        </w:rPr>
        <w:t xml:space="preserve"> and underpin the Government’s </w:t>
      </w:r>
      <w:proofErr w:type="spellStart"/>
      <w:r w:rsidRPr="000768B6">
        <w:rPr>
          <w:i/>
          <w:sz w:val="24"/>
        </w:rPr>
        <w:t>Whānau</w:t>
      </w:r>
      <w:proofErr w:type="spellEnd"/>
      <w:r w:rsidRPr="000768B6">
        <w:rPr>
          <w:i/>
          <w:sz w:val="24"/>
        </w:rPr>
        <w:t xml:space="preserve"> Ora</w:t>
      </w:r>
      <w:r>
        <w:rPr>
          <w:sz w:val="24"/>
        </w:rPr>
        <w:t xml:space="preserve"> programme.</w:t>
      </w:r>
      <w:r w:rsidRPr="00C66896">
        <w:rPr>
          <w:sz w:val="24"/>
        </w:rPr>
        <w:t xml:space="preserve"> </w:t>
      </w:r>
      <w:r>
        <w:rPr>
          <w:sz w:val="24"/>
        </w:rPr>
        <w:t xml:space="preserve"> </w:t>
      </w:r>
    </w:p>
    <w:p w:rsidR="00267CB0" w:rsidRPr="00C66896" w:rsidRDefault="00267CB0" w:rsidP="00FD2CD2">
      <w:pPr>
        <w:rPr>
          <w:sz w:val="24"/>
        </w:rPr>
      </w:pPr>
    </w:p>
    <w:p w:rsidR="00EA4D9B" w:rsidRDefault="00070087" w:rsidP="00FD2CD2">
      <w:pPr>
        <w:rPr>
          <w:sz w:val="24"/>
        </w:rPr>
      </w:pPr>
      <w:r w:rsidRPr="00C66896">
        <w:rPr>
          <w:sz w:val="24"/>
        </w:rPr>
        <w:lastRenderedPageBreak/>
        <w:t xml:space="preserve">In relation to </w:t>
      </w:r>
      <w:r w:rsidRPr="000768B6">
        <w:rPr>
          <w:sz w:val="24"/>
        </w:rPr>
        <w:t>children and youth</w:t>
      </w:r>
      <w:r w:rsidRPr="00C66896">
        <w:rPr>
          <w:sz w:val="24"/>
        </w:rPr>
        <w:t>, a recent report found improvement</w:t>
      </w:r>
      <w:r w:rsidR="00EA4D9B" w:rsidRPr="00C66896">
        <w:rPr>
          <w:sz w:val="24"/>
        </w:rPr>
        <w:t>s</w:t>
      </w:r>
      <w:r w:rsidRPr="00C66896">
        <w:rPr>
          <w:sz w:val="24"/>
        </w:rPr>
        <w:t xml:space="preserve"> in the wellbeing of Māori children.</w:t>
      </w:r>
      <w:r w:rsidRPr="00C66896">
        <w:rPr>
          <w:rStyle w:val="FootnoteReference"/>
          <w:sz w:val="24"/>
        </w:rPr>
        <w:footnoteReference w:id="2"/>
      </w:r>
      <w:r w:rsidRPr="00C66896">
        <w:rPr>
          <w:sz w:val="24"/>
        </w:rPr>
        <w:t xml:space="preserve"> </w:t>
      </w:r>
      <w:r w:rsidR="00EA4D9B" w:rsidRPr="00C66896">
        <w:rPr>
          <w:sz w:val="24"/>
        </w:rPr>
        <w:t xml:space="preserve"> The report found that fewer young Māori are smok</w:t>
      </w:r>
      <w:r w:rsidR="0065035B">
        <w:rPr>
          <w:sz w:val="24"/>
        </w:rPr>
        <w:t>ing, for e</w:t>
      </w:r>
      <w:r w:rsidR="0000315C">
        <w:rPr>
          <w:sz w:val="24"/>
        </w:rPr>
        <w:t xml:space="preserve">xample the proportion of </w:t>
      </w:r>
      <w:proofErr w:type="gramStart"/>
      <w:r w:rsidR="0000315C">
        <w:rPr>
          <w:sz w:val="24"/>
        </w:rPr>
        <w:t xml:space="preserve">14 </w:t>
      </w:r>
      <w:r w:rsidR="0065035B">
        <w:rPr>
          <w:sz w:val="24"/>
        </w:rPr>
        <w:t xml:space="preserve">year </w:t>
      </w:r>
      <w:r w:rsidR="00AB3B72">
        <w:rPr>
          <w:sz w:val="24"/>
        </w:rPr>
        <w:t>old</w:t>
      </w:r>
      <w:proofErr w:type="gramEnd"/>
      <w:r w:rsidR="0065035B">
        <w:rPr>
          <w:sz w:val="24"/>
        </w:rPr>
        <w:t xml:space="preserve"> students who have never smoked has increased from 30% in 1999 to around 75% per cent in 2013. I</w:t>
      </w:r>
      <w:r w:rsidR="00FD2CD2" w:rsidRPr="00C66896">
        <w:rPr>
          <w:sz w:val="24"/>
        </w:rPr>
        <w:t xml:space="preserve">mmunisation rates have risen, </w:t>
      </w:r>
      <w:r w:rsidR="00EA4D9B" w:rsidRPr="00C66896">
        <w:rPr>
          <w:sz w:val="24"/>
        </w:rPr>
        <w:t xml:space="preserve">and </w:t>
      </w:r>
      <w:r w:rsidR="00FD2CD2" w:rsidRPr="00C66896">
        <w:rPr>
          <w:sz w:val="24"/>
        </w:rPr>
        <w:t>r</w:t>
      </w:r>
      <w:r w:rsidR="00EA4D9B" w:rsidRPr="00C66896">
        <w:rPr>
          <w:sz w:val="24"/>
        </w:rPr>
        <w:t xml:space="preserve">ates of hospitalisation for injuries caused by assault or maltreatment have decreased.  </w:t>
      </w:r>
    </w:p>
    <w:p w:rsidR="0065035B" w:rsidRPr="00C66896" w:rsidRDefault="0065035B" w:rsidP="00FD2CD2">
      <w:pPr>
        <w:rPr>
          <w:sz w:val="24"/>
        </w:rPr>
      </w:pPr>
    </w:p>
    <w:p w:rsidR="00EA4D9B" w:rsidRPr="00C66896" w:rsidRDefault="00EA4D9B" w:rsidP="00EA4D9B">
      <w:pPr>
        <w:rPr>
          <w:color w:val="191919"/>
          <w:sz w:val="24"/>
        </w:rPr>
      </w:pPr>
      <w:r w:rsidRPr="00C66896">
        <w:rPr>
          <w:sz w:val="24"/>
        </w:rPr>
        <w:t>Despite the</w:t>
      </w:r>
      <w:r w:rsidR="000603CD" w:rsidRPr="00C66896">
        <w:rPr>
          <w:sz w:val="24"/>
        </w:rPr>
        <w:t>se gains, the report highlights</w:t>
      </w:r>
      <w:r w:rsidRPr="00C66896">
        <w:rPr>
          <w:sz w:val="24"/>
        </w:rPr>
        <w:t xml:space="preserve"> </w:t>
      </w:r>
      <w:r w:rsidRPr="000768B6">
        <w:rPr>
          <w:sz w:val="24"/>
        </w:rPr>
        <w:t>ongoing inequalities</w:t>
      </w:r>
      <w:r w:rsidRPr="00C66896">
        <w:rPr>
          <w:color w:val="191919"/>
          <w:sz w:val="24"/>
        </w:rPr>
        <w:t xml:space="preserve"> between Māori and non-Māori children, with many lacking access to healthy food and warm housing</w:t>
      </w:r>
      <w:r w:rsidR="00FD2CD2" w:rsidRPr="00C66896">
        <w:rPr>
          <w:color w:val="191919"/>
          <w:sz w:val="24"/>
        </w:rPr>
        <w:t xml:space="preserve">.  </w:t>
      </w:r>
      <w:r w:rsidR="000603CD" w:rsidRPr="00C66896">
        <w:rPr>
          <w:color w:val="191919"/>
          <w:sz w:val="24"/>
        </w:rPr>
        <w:t>It found on</w:t>
      </w:r>
      <w:r w:rsidR="00070087" w:rsidRPr="00C66896">
        <w:rPr>
          <w:color w:val="191919"/>
          <w:sz w:val="24"/>
        </w:rPr>
        <w:t xml:space="preserve"> average</w:t>
      </w:r>
      <w:r w:rsidR="00FD2CD2" w:rsidRPr="00C66896">
        <w:rPr>
          <w:color w:val="191919"/>
          <w:sz w:val="24"/>
        </w:rPr>
        <w:t xml:space="preserve"> around a third</w:t>
      </w:r>
      <w:r w:rsidR="00070087" w:rsidRPr="00C66896">
        <w:rPr>
          <w:color w:val="191919"/>
          <w:sz w:val="24"/>
        </w:rPr>
        <w:t xml:space="preserve"> of Māori children lived in households experiencing relative poverty, compared to 16 percent of European children. </w:t>
      </w:r>
      <w:r w:rsidR="00516EEE">
        <w:rPr>
          <w:color w:val="191919"/>
          <w:sz w:val="24"/>
        </w:rPr>
        <w:t xml:space="preserve"> Lack of affordable housing has </w:t>
      </w:r>
      <w:r w:rsidR="0017389E">
        <w:rPr>
          <w:color w:val="191919"/>
          <w:sz w:val="24"/>
        </w:rPr>
        <w:t xml:space="preserve">recently </w:t>
      </w:r>
      <w:r w:rsidR="00516EEE">
        <w:rPr>
          <w:color w:val="191919"/>
          <w:sz w:val="24"/>
        </w:rPr>
        <w:t xml:space="preserve">seen a dramatic increase in homelessness in New Zealand.  Increasing numbers of families and children are sleeping in cars or garages, with resulting impacts on children’s health, education and social development. </w:t>
      </w:r>
    </w:p>
    <w:p w:rsidR="00615212" w:rsidRPr="00C66896" w:rsidRDefault="00615212" w:rsidP="00A27B39">
      <w:pPr>
        <w:rPr>
          <w:sz w:val="24"/>
        </w:rPr>
      </w:pPr>
    </w:p>
    <w:p w:rsidR="00A40704" w:rsidRPr="00C66896" w:rsidRDefault="00A40704" w:rsidP="00A40704">
      <w:pPr>
        <w:rPr>
          <w:sz w:val="24"/>
        </w:rPr>
      </w:pPr>
      <w:r w:rsidRPr="00C66896">
        <w:rPr>
          <w:sz w:val="24"/>
        </w:rPr>
        <w:t xml:space="preserve">Other recent data highlights a range of inequalities experienced by Māori, Pacific and poor children.  </w:t>
      </w:r>
      <w:r w:rsidR="000603CD" w:rsidRPr="00C66896">
        <w:rPr>
          <w:sz w:val="24"/>
        </w:rPr>
        <w:t>They are:</w:t>
      </w:r>
    </w:p>
    <w:p w:rsidR="00A40704" w:rsidRPr="00C66896" w:rsidRDefault="00A40704" w:rsidP="00A40704">
      <w:pPr>
        <w:pStyle w:val="ListParagraph"/>
        <w:numPr>
          <w:ilvl w:val="0"/>
          <w:numId w:val="8"/>
        </w:numPr>
        <w:rPr>
          <w:sz w:val="24"/>
        </w:rPr>
      </w:pPr>
      <w:r w:rsidRPr="00C66896">
        <w:rPr>
          <w:sz w:val="24"/>
        </w:rPr>
        <w:t>More likely to be hospitalised for asthma</w:t>
      </w:r>
      <w:r w:rsidRPr="00C66896">
        <w:rPr>
          <w:rStyle w:val="FootnoteReference"/>
          <w:sz w:val="24"/>
        </w:rPr>
        <w:footnoteReference w:id="3"/>
      </w:r>
    </w:p>
    <w:p w:rsidR="005A513D" w:rsidRPr="00C66896" w:rsidRDefault="00A40704" w:rsidP="00A40704">
      <w:pPr>
        <w:pStyle w:val="ListParagraph"/>
        <w:numPr>
          <w:ilvl w:val="0"/>
          <w:numId w:val="8"/>
        </w:numPr>
        <w:rPr>
          <w:sz w:val="24"/>
        </w:rPr>
      </w:pPr>
      <w:r w:rsidRPr="00C66896">
        <w:rPr>
          <w:sz w:val="24"/>
        </w:rPr>
        <w:t>Less likely to be given certain medications</w:t>
      </w:r>
      <w:r w:rsidRPr="00C66896">
        <w:rPr>
          <w:rStyle w:val="FootnoteReference"/>
          <w:sz w:val="24"/>
        </w:rPr>
        <w:footnoteReference w:id="4"/>
      </w:r>
    </w:p>
    <w:p w:rsidR="003E4F9A" w:rsidRPr="000768B6" w:rsidRDefault="003E4F9A" w:rsidP="000768B6">
      <w:pPr>
        <w:rPr>
          <w:sz w:val="24"/>
        </w:rPr>
      </w:pPr>
    </w:p>
    <w:p w:rsidR="003E4F9A" w:rsidRPr="000768B6" w:rsidRDefault="003E4F9A" w:rsidP="0017389E">
      <w:pPr>
        <w:rPr>
          <w:sz w:val="24"/>
        </w:rPr>
      </w:pPr>
      <w:r w:rsidRPr="000768B6">
        <w:rPr>
          <w:sz w:val="24"/>
        </w:rPr>
        <w:t>Māori</w:t>
      </w:r>
      <w:r>
        <w:rPr>
          <w:sz w:val="24"/>
        </w:rPr>
        <w:t xml:space="preserve"> children are:</w:t>
      </w:r>
    </w:p>
    <w:p w:rsidR="00A40704" w:rsidRPr="00C66896" w:rsidRDefault="00A40704" w:rsidP="00A40704">
      <w:pPr>
        <w:pStyle w:val="ListParagraph"/>
        <w:numPr>
          <w:ilvl w:val="0"/>
          <w:numId w:val="8"/>
        </w:numPr>
        <w:rPr>
          <w:sz w:val="24"/>
        </w:rPr>
      </w:pPr>
      <w:r w:rsidRPr="00C66896">
        <w:rPr>
          <w:sz w:val="24"/>
        </w:rPr>
        <w:t>More likely to miss out on health checks within their first year (despite the health system providing for 10 free checks for all babies)</w:t>
      </w:r>
      <w:r w:rsidRPr="00C66896">
        <w:rPr>
          <w:rStyle w:val="FootnoteReference"/>
          <w:sz w:val="24"/>
        </w:rPr>
        <w:footnoteReference w:id="5"/>
      </w:r>
    </w:p>
    <w:p w:rsidR="005F4BFB" w:rsidRDefault="005F4BFB" w:rsidP="00A40704">
      <w:pPr>
        <w:pStyle w:val="ListParagraph"/>
        <w:numPr>
          <w:ilvl w:val="0"/>
          <w:numId w:val="8"/>
        </w:numPr>
        <w:rPr>
          <w:sz w:val="24"/>
        </w:rPr>
      </w:pPr>
      <w:r w:rsidRPr="00C66896">
        <w:rPr>
          <w:sz w:val="24"/>
        </w:rPr>
        <w:t>Around three times more likely to suffer from diseases such as meningitis and rheumatic fever</w:t>
      </w:r>
      <w:r w:rsidRPr="00C66896">
        <w:rPr>
          <w:rStyle w:val="FootnoteReference"/>
          <w:sz w:val="24"/>
        </w:rPr>
        <w:footnoteReference w:id="6"/>
      </w:r>
      <w:r w:rsidRPr="00C66896">
        <w:rPr>
          <w:sz w:val="24"/>
        </w:rPr>
        <w:t xml:space="preserve">  </w:t>
      </w:r>
    </w:p>
    <w:p w:rsidR="00516EEE" w:rsidRPr="00C66896" w:rsidRDefault="00516EEE" w:rsidP="00A40704">
      <w:pPr>
        <w:pStyle w:val="ListParagraph"/>
        <w:numPr>
          <w:ilvl w:val="0"/>
          <w:numId w:val="8"/>
        </w:numPr>
        <w:rPr>
          <w:sz w:val="24"/>
        </w:rPr>
      </w:pPr>
      <w:r>
        <w:rPr>
          <w:sz w:val="24"/>
        </w:rPr>
        <w:t xml:space="preserve">Have higher </w:t>
      </w:r>
      <w:r w:rsidR="00963B58">
        <w:rPr>
          <w:sz w:val="24"/>
        </w:rPr>
        <w:t xml:space="preserve">child </w:t>
      </w:r>
      <w:r>
        <w:rPr>
          <w:sz w:val="24"/>
        </w:rPr>
        <w:t>mortality rates than other groups.</w:t>
      </w:r>
    </w:p>
    <w:p w:rsidR="00F22467" w:rsidRPr="0017389E" w:rsidRDefault="00F22467" w:rsidP="00F22467">
      <w:pPr>
        <w:rPr>
          <w:sz w:val="24"/>
        </w:rPr>
      </w:pPr>
    </w:p>
    <w:p w:rsidR="002D206F" w:rsidRPr="0017389E" w:rsidRDefault="002D206F">
      <w:pPr>
        <w:rPr>
          <w:sz w:val="24"/>
        </w:rPr>
      </w:pPr>
      <w:r w:rsidRPr="0017389E">
        <w:rPr>
          <w:sz w:val="24"/>
        </w:rPr>
        <w:t>Overall, Māori continue to have higher rates for most health risks and conditions, and also are more likely than non-Māori to have unmet health needs.</w:t>
      </w:r>
      <w:r w:rsidRPr="0017389E">
        <w:rPr>
          <w:rStyle w:val="FootnoteReference"/>
          <w:sz w:val="24"/>
        </w:rPr>
        <w:footnoteReference w:id="7"/>
      </w:r>
      <w:r w:rsidRPr="0017389E">
        <w:rPr>
          <w:sz w:val="24"/>
        </w:rPr>
        <w:t xml:space="preserve">   </w:t>
      </w:r>
    </w:p>
    <w:p w:rsidR="002D206F" w:rsidRPr="0017389E" w:rsidRDefault="002D206F" w:rsidP="002D206F">
      <w:pPr>
        <w:rPr>
          <w:sz w:val="24"/>
        </w:rPr>
      </w:pPr>
    </w:p>
    <w:p w:rsidR="00187A74" w:rsidRPr="0017389E" w:rsidRDefault="00A7671D" w:rsidP="00A7671D">
      <w:pPr>
        <w:pStyle w:val="CommentText"/>
        <w:rPr>
          <w:sz w:val="24"/>
          <w:szCs w:val="24"/>
        </w:rPr>
      </w:pPr>
      <w:r w:rsidRPr="0017389E">
        <w:rPr>
          <w:sz w:val="24"/>
          <w:szCs w:val="24"/>
        </w:rPr>
        <w:t xml:space="preserve">The NZHRC </w:t>
      </w:r>
      <w:r w:rsidR="00187A74" w:rsidRPr="0017389E">
        <w:rPr>
          <w:sz w:val="24"/>
          <w:szCs w:val="24"/>
        </w:rPr>
        <w:t xml:space="preserve">continues to </w:t>
      </w:r>
      <w:r w:rsidR="00963C3B">
        <w:rPr>
          <w:sz w:val="24"/>
          <w:szCs w:val="24"/>
        </w:rPr>
        <w:t xml:space="preserve">monitor and </w:t>
      </w:r>
      <w:r w:rsidR="00187A74" w:rsidRPr="0017389E">
        <w:rPr>
          <w:sz w:val="24"/>
          <w:szCs w:val="24"/>
        </w:rPr>
        <w:t>update the National Plan of Action on Human Rights.</w:t>
      </w:r>
      <w:r w:rsidR="00A07D7E" w:rsidRPr="0017389E">
        <w:rPr>
          <w:rStyle w:val="FootnoteReference"/>
          <w:sz w:val="24"/>
          <w:szCs w:val="24"/>
        </w:rPr>
        <w:footnoteReference w:id="8"/>
      </w:r>
      <w:r w:rsidR="00187A74" w:rsidRPr="0017389E">
        <w:rPr>
          <w:sz w:val="24"/>
          <w:szCs w:val="24"/>
        </w:rPr>
        <w:t xml:space="preserve">  </w:t>
      </w:r>
      <w:r w:rsidR="00963C3B">
        <w:rPr>
          <w:sz w:val="24"/>
          <w:szCs w:val="24"/>
        </w:rPr>
        <w:t xml:space="preserve">The NPA sets out the actions the government has committed to through the Universal Periodic Review process, and so is the government’s plan of action.  The NPA </w:t>
      </w:r>
      <w:r w:rsidR="00187A74" w:rsidRPr="0017389E">
        <w:rPr>
          <w:sz w:val="24"/>
          <w:szCs w:val="24"/>
        </w:rPr>
        <w:t>is an online monitoring tool, designed to promote accountability through transparency.  The NPA sets out</w:t>
      </w:r>
      <w:r w:rsidRPr="0017389E">
        <w:rPr>
          <w:sz w:val="24"/>
          <w:szCs w:val="24"/>
        </w:rPr>
        <w:t xml:space="preserve"> concrete government actions monitored </w:t>
      </w:r>
      <w:r w:rsidR="00AF11F6">
        <w:rPr>
          <w:sz w:val="24"/>
          <w:szCs w:val="24"/>
        </w:rPr>
        <w:t>using</w:t>
      </w:r>
      <w:r w:rsidRPr="0017389E">
        <w:rPr>
          <w:sz w:val="24"/>
          <w:szCs w:val="24"/>
        </w:rPr>
        <w:t xml:space="preserve"> SMART measurement</w:t>
      </w:r>
      <w:r w:rsidR="00187A74" w:rsidRPr="0017389E">
        <w:rPr>
          <w:sz w:val="24"/>
          <w:szCs w:val="24"/>
        </w:rPr>
        <w:t xml:space="preserve"> criteria.  Health actions include: </w:t>
      </w:r>
    </w:p>
    <w:p w:rsidR="00A07D7E" w:rsidRPr="0017389E" w:rsidRDefault="00A07D7E" w:rsidP="00A07D7E">
      <w:pPr>
        <w:pStyle w:val="CommentText"/>
        <w:numPr>
          <w:ilvl w:val="0"/>
          <w:numId w:val="10"/>
        </w:numPr>
        <w:rPr>
          <w:sz w:val="24"/>
          <w:szCs w:val="24"/>
        </w:rPr>
      </w:pPr>
      <w:r w:rsidRPr="0017389E">
        <w:rPr>
          <w:sz w:val="24"/>
          <w:szCs w:val="24"/>
        </w:rPr>
        <w:lastRenderedPageBreak/>
        <w:t>To reduce the incidence of rheumatic fever in Māori and Pacific children and families</w:t>
      </w:r>
      <w:r w:rsidRPr="0017389E">
        <w:rPr>
          <w:rStyle w:val="FootnoteReference"/>
          <w:sz w:val="24"/>
          <w:szCs w:val="24"/>
        </w:rPr>
        <w:footnoteReference w:id="9"/>
      </w:r>
    </w:p>
    <w:p w:rsidR="00A07D7E" w:rsidRPr="0017389E" w:rsidRDefault="00A07D7E" w:rsidP="00A07D7E">
      <w:pPr>
        <w:pStyle w:val="CommentText"/>
        <w:numPr>
          <w:ilvl w:val="0"/>
          <w:numId w:val="10"/>
        </w:numPr>
        <w:rPr>
          <w:sz w:val="24"/>
          <w:szCs w:val="24"/>
        </w:rPr>
      </w:pPr>
      <w:r w:rsidRPr="0017389E">
        <w:rPr>
          <w:sz w:val="24"/>
          <w:szCs w:val="24"/>
        </w:rPr>
        <w:t>Reduce the number of Māori placed under compulsory mental health orders</w:t>
      </w:r>
      <w:r w:rsidRPr="0017389E">
        <w:rPr>
          <w:rStyle w:val="FootnoteReference"/>
          <w:sz w:val="24"/>
          <w:szCs w:val="24"/>
        </w:rPr>
        <w:footnoteReference w:id="10"/>
      </w:r>
    </w:p>
    <w:p w:rsidR="00A07D7E" w:rsidRPr="0017389E" w:rsidRDefault="00A07D7E" w:rsidP="00A07D7E">
      <w:pPr>
        <w:pStyle w:val="CommentText"/>
        <w:numPr>
          <w:ilvl w:val="0"/>
          <w:numId w:val="10"/>
        </w:numPr>
        <w:rPr>
          <w:sz w:val="24"/>
          <w:szCs w:val="24"/>
        </w:rPr>
      </w:pPr>
      <w:r w:rsidRPr="0017389E">
        <w:rPr>
          <w:sz w:val="24"/>
          <w:szCs w:val="24"/>
        </w:rPr>
        <w:t>Enhance Māori cultural competence in the disability services</w:t>
      </w:r>
      <w:r w:rsidRPr="0017389E">
        <w:rPr>
          <w:rStyle w:val="FootnoteReference"/>
          <w:sz w:val="24"/>
          <w:szCs w:val="24"/>
        </w:rPr>
        <w:footnoteReference w:id="11"/>
      </w:r>
    </w:p>
    <w:p w:rsidR="00A07D7E" w:rsidRPr="0017389E" w:rsidRDefault="00A07D7E" w:rsidP="00A07D7E">
      <w:pPr>
        <w:pStyle w:val="CommentText"/>
        <w:numPr>
          <w:ilvl w:val="0"/>
          <w:numId w:val="10"/>
        </w:numPr>
        <w:rPr>
          <w:sz w:val="24"/>
          <w:szCs w:val="24"/>
        </w:rPr>
      </w:pPr>
      <w:r w:rsidRPr="0017389E">
        <w:rPr>
          <w:sz w:val="24"/>
          <w:szCs w:val="24"/>
        </w:rPr>
        <w:t>Monitor Māori health progress</w:t>
      </w:r>
      <w:r w:rsidRPr="0017389E">
        <w:rPr>
          <w:rStyle w:val="FootnoteReference"/>
          <w:sz w:val="24"/>
          <w:szCs w:val="24"/>
        </w:rPr>
        <w:footnoteReference w:id="12"/>
      </w:r>
    </w:p>
    <w:p w:rsidR="00A07D7E" w:rsidRPr="0017389E" w:rsidRDefault="00A07D7E" w:rsidP="00A07D7E">
      <w:pPr>
        <w:pStyle w:val="CommentText"/>
        <w:rPr>
          <w:sz w:val="24"/>
          <w:szCs w:val="24"/>
        </w:rPr>
      </w:pPr>
    </w:p>
    <w:p w:rsidR="00A7671D" w:rsidRPr="0017389E" w:rsidRDefault="0017389E" w:rsidP="00A7671D">
      <w:pPr>
        <w:pStyle w:val="CommentText"/>
        <w:rPr>
          <w:sz w:val="24"/>
          <w:szCs w:val="24"/>
        </w:rPr>
      </w:pPr>
      <w:r>
        <w:rPr>
          <w:sz w:val="24"/>
          <w:szCs w:val="24"/>
        </w:rPr>
        <w:t xml:space="preserve">As the NPA continues to be refined, </w:t>
      </w:r>
      <w:r w:rsidR="00A7671D" w:rsidRPr="0017389E">
        <w:rPr>
          <w:sz w:val="24"/>
          <w:szCs w:val="24"/>
        </w:rPr>
        <w:t>new search categories</w:t>
      </w:r>
      <w:r>
        <w:rPr>
          <w:sz w:val="24"/>
          <w:szCs w:val="24"/>
        </w:rPr>
        <w:t xml:space="preserve"> are being developed which will enable users to search for progress associated with the UNDRIP and the Treaty of Waitangi, as well as in relation to the Sustainable Development Goals.</w:t>
      </w:r>
      <w:r w:rsidR="00A7671D" w:rsidRPr="0017389E">
        <w:rPr>
          <w:sz w:val="24"/>
          <w:szCs w:val="24"/>
        </w:rPr>
        <w:t xml:space="preserve"> </w:t>
      </w:r>
    </w:p>
    <w:p w:rsidR="00A7671D" w:rsidRDefault="00A7671D" w:rsidP="002D206F">
      <w:pPr>
        <w:rPr>
          <w:sz w:val="24"/>
        </w:rPr>
      </w:pPr>
    </w:p>
    <w:p w:rsidR="008332FC" w:rsidRDefault="008332FC" w:rsidP="008332FC">
      <w:pPr>
        <w:rPr>
          <w:sz w:val="24"/>
        </w:rPr>
      </w:pPr>
      <w:r w:rsidRPr="000768B6">
        <w:rPr>
          <w:sz w:val="24"/>
        </w:rPr>
        <w:t>To conclude, the New Zealand Human Rights Commission</w:t>
      </w:r>
      <w:r>
        <w:rPr>
          <w:sz w:val="24"/>
        </w:rPr>
        <w:t>:</w:t>
      </w:r>
    </w:p>
    <w:p w:rsidR="008332FC" w:rsidRDefault="008332FC" w:rsidP="008332FC">
      <w:pPr>
        <w:pStyle w:val="ListParagraph"/>
        <w:numPr>
          <w:ilvl w:val="0"/>
          <w:numId w:val="11"/>
        </w:numPr>
        <w:rPr>
          <w:sz w:val="24"/>
        </w:rPr>
      </w:pPr>
      <w:r>
        <w:rPr>
          <w:sz w:val="24"/>
        </w:rPr>
        <w:t>Welcomes the Expert Mechanism’s Study on the right to health, with a focus on children and young people</w:t>
      </w:r>
    </w:p>
    <w:p w:rsidR="008332FC" w:rsidRDefault="008332FC" w:rsidP="008332FC">
      <w:pPr>
        <w:pStyle w:val="ListParagraph"/>
        <w:numPr>
          <w:ilvl w:val="0"/>
          <w:numId w:val="11"/>
        </w:numPr>
        <w:rPr>
          <w:sz w:val="24"/>
        </w:rPr>
      </w:pPr>
      <w:r>
        <w:rPr>
          <w:sz w:val="24"/>
        </w:rPr>
        <w:t xml:space="preserve">Urges the Expert Mechanism, in its advice, to emphasise the importance of collective wellbeing to the realisation of these rights.  In particular, </w:t>
      </w:r>
      <w:r w:rsidRPr="009C0E22">
        <w:rPr>
          <w:sz w:val="24"/>
        </w:rPr>
        <w:t xml:space="preserve">ensuring adequate support to families, </w:t>
      </w:r>
      <w:r>
        <w:rPr>
          <w:sz w:val="24"/>
        </w:rPr>
        <w:t>is</w:t>
      </w:r>
      <w:r w:rsidRPr="009C0E22">
        <w:rPr>
          <w:sz w:val="24"/>
        </w:rPr>
        <w:t xml:space="preserve"> crucial to the realisation of the right to health for indigenous children and young people.  </w:t>
      </w:r>
    </w:p>
    <w:p w:rsidR="008332FC" w:rsidRDefault="008332FC" w:rsidP="008332FC">
      <w:pPr>
        <w:pStyle w:val="ListParagraph"/>
        <w:numPr>
          <w:ilvl w:val="0"/>
          <w:numId w:val="11"/>
        </w:numPr>
        <w:rPr>
          <w:sz w:val="24"/>
        </w:rPr>
      </w:pPr>
      <w:r>
        <w:rPr>
          <w:sz w:val="24"/>
        </w:rPr>
        <w:t xml:space="preserve">Notes the importance of effective monitoring and tracking of progress, and in this regard draws attention to the online monitoring tool developed as part of New Zealand’s National Plan of Action on Human Rights. </w:t>
      </w:r>
    </w:p>
    <w:p w:rsidR="008332FC" w:rsidRDefault="008332FC" w:rsidP="008332FC">
      <w:pPr>
        <w:ind w:left="360"/>
        <w:rPr>
          <w:sz w:val="24"/>
        </w:rPr>
      </w:pPr>
    </w:p>
    <w:p w:rsidR="008332FC" w:rsidRPr="00FD2CD2" w:rsidRDefault="008332FC" w:rsidP="0063228C">
      <w:pPr>
        <w:rPr>
          <w:sz w:val="24"/>
        </w:rPr>
      </w:pPr>
      <w:r>
        <w:rPr>
          <w:sz w:val="24"/>
        </w:rPr>
        <w:t>T</w:t>
      </w:r>
      <w:r w:rsidRPr="009C0E22">
        <w:rPr>
          <w:sz w:val="24"/>
        </w:rPr>
        <w:t>hank you again for the opportunity to speak today.</w:t>
      </w:r>
    </w:p>
    <w:p w:rsidR="008332FC" w:rsidRPr="0017389E" w:rsidRDefault="008332FC" w:rsidP="002D206F">
      <w:pPr>
        <w:rPr>
          <w:sz w:val="24"/>
        </w:rPr>
      </w:pPr>
    </w:p>
    <w:p w:rsidR="00536956" w:rsidRPr="00536956" w:rsidRDefault="00536956" w:rsidP="00536956">
      <w:pPr>
        <w:spacing w:line="276" w:lineRule="auto"/>
        <w:rPr>
          <w:rFonts w:cs="Times New Roman"/>
          <w:sz w:val="24"/>
        </w:rPr>
      </w:pPr>
      <w:proofErr w:type="spellStart"/>
      <w:r w:rsidRPr="00536956">
        <w:rPr>
          <w:rFonts w:cs="Times New Roman"/>
          <w:sz w:val="24"/>
        </w:rPr>
        <w:t>Nō</w:t>
      </w:r>
      <w:proofErr w:type="spellEnd"/>
      <w:r w:rsidRPr="00536956">
        <w:rPr>
          <w:rFonts w:cs="Times New Roman"/>
          <w:sz w:val="24"/>
        </w:rPr>
        <w:t xml:space="preserve"> </w:t>
      </w:r>
      <w:proofErr w:type="spellStart"/>
      <w:r w:rsidRPr="00536956">
        <w:rPr>
          <w:rFonts w:cs="Times New Roman"/>
          <w:sz w:val="24"/>
        </w:rPr>
        <w:t>reira</w:t>
      </w:r>
      <w:proofErr w:type="spellEnd"/>
      <w:r w:rsidRPr="00536956">
        <w:rPr>
          <w:rFonts w:cs="Times New Roman"/>
          <w:sz w:val="24"/>
        </w:rPr>
        <w:t xml:space="preserve">, </w:t>
      </w:r>
      <w:proofErr w:type="spellStart"/>
      <w:r w:rsidRPr="00536956">
        <w:rPr>
          <w:rFonts w:cs="Times New Roman"/>
          <w:sz w:val="24"/>
        </w:rPr>
        <w:t>tēnā</w:t>
      </w:r>
      <w:proofErr w:type="spellEnd"/>
      <w:r w:rsidRPr="00536956">
        <w:rPr>
          <w:rFonts w:cs="Times New Roman"/>
          <w:sz w:val="24"/>
        </w:rPr>
        <w:t xml:space="preserve"> </w:t>
      </w:r>
      <w:proofErr w:type="spellStart"/>
      <w:r w:rsidRPr="00536956">
        <w:rPr>
          <w:rFonts w:cs="Times New Roman"/>
          <w:sz w:val="24"/>
        </w:rPr>
        <w:t>koutou</w:t>
      </w:r>
      <w:proofErr w:type="spellEnd"/>
      <w:r w:rsidRPr="00536956">
        <w:rPr>
          <w:rFonts w:cs="Times New Roman"/>
          <w:sz w:val="24"/>
        </w:rPr>
        <w:t xml:space="preserve">, </w:t>
      </w:r>
      <w:proofErr w:type="spellStart"/>
      <w:r w:rsidRPr="00536956">
        <w:rPr>
          <w:rFonts w:cs="Times New Roman"/>
          <w:sz w:val="24"/>
        </w:rPr>
        <w:t>tēnā</w:t>
      </w:r>
      <w:proofErr w:type="spellEnd"/>
      <w:r w:rsidRPr="00536956">
        <w:rPr>
          <w:rFonts w:cs="Times New Roman"/>
          <w:sz w:val="24"/>
        </w:rPr>
        <w:t xml:space="preserve"> </w:t>
      </w:r>
      <w:proofErr w:type="spellStart"/>
      <w:r w:rsidRPr="00536956">
        <w:rPr>
          <w:rFonts w:cs="Times New Roman"/>
          <w:sz w:val="24"/>
        </w:rPr>
        <w:t>koutou</w:t>
      </w:r>
      <w:proofErr w:type="spellEnd"/>
      <w:r w:rsidRPr="00536956">
        <w:rPr>
          <w:rFonts w:cs="Times New Roman"/>
          <w:sz w:val="24"/>
        </w:rPr>
        <w:t xml:space="preserve">, </w:t>
      </w:r>
      <w:proofErr w:type="spellStart"/>
      <w:r w:rsidRPr="00536956">
        <w:rPr>
          <w:rFonts w:cs="Times New Roman"/>
          <w:sz w:val="24"/>
        </w:rPr>
        <w:t>tēnā</w:t>
      </w:r>
      <w:proofErr w:type="spellEnd"/>
      <w:r w:rsidRPr="00536956">
        <w:rPr>
          <w:rFonts w:cs="Times New Roman"/>
          <w:sz w:val="24"/>
        </w:rPr>
        <w:t xml:space="preserve"> </w:t>
      </w:r>
      <w:proofErr w:type="spellStart"/>
      <w:r w:rsidRPr="00536956">
        <w:rPr>
          <w:rFonts w:cs="Times New Roman"/>
          <w:sz w:val="24"/>
        </w:rPr>
        <w:t>koutou</w:t>
      </w:r>
      <w:proofErr w:type="spellEnd"/>
      <w:r w:rsidRPr="00536956">
        <w:rPr>
          <w:rFonts w:cs="Times New Roman"/>
          <w:sz w:val="24"/>
        </w:rPr>
        <w:t xml:space="preserve"> </w:t>
      </w:r>
      <w:proofErr w:type="spellStart"/>
      <w:r w:rsidRPr="00536956">
        <w:rPr>
          <w:rFonts w:cs="Times New Roman"/>
          <w:sz w:val="24"/>
        </w:rPr>
        <w:t>katoa</w:t>
      </w:r>
      <w:proofErr w:type="spellEnd"/>
      <w:r w:rsidRPr="00536956">
        <w:rPr>
          <w:rFonts w:cs="Times New Roman"/>
          <w:sz w:val="24"/>
        </w:rPr>
        <w:t>.  [</w:t>
      </w:r>
      <w:r w:rsidRPr="00536956">
        <w:rPr>
          <w:rFonts w:cs="Times New Roman"/>
          <w:i/>
          <w:sz w:val="24"/>
        </w:rPr>
        <w:t xml:space="preserve">and finally, greetings to you </w:t>
      </w:r>
      <w:proofErr w:type="gramStart"/>
      <w:r w:rsidRPr="00536956">
        <w:rPr>
          <w:rFonts w:cs="Times New Roman"/>
          <w:i/>
          <w:sz w:val="24"/>
        </w:rPr>
        <w:t>all</w:t>
      </w:r>
      <w:r w:rsidRPr="00536956">
        <w:rPr>
          <w:rFonts w:cs="Times New Roman"/>
          <w:sz w:val="24"/>
        </w:rPr>
        <w:t xml:space="preserve"> ]</w:t>
      </w:r>
      <w:proofErr w:type="gramEnd"/>
    </w:p>
    <w:p w:rsidR="00536956" w:rsidRPr="00536956" w:rsidRDefault="00536956" w:rsidP="00536956">
      <w:pPr>
        <w:spacing w:line="276" w:lineRule="auto"/>
        <w:rPr>
          <w:rFonts w:cs="Times New Roman"/>
          <w:sz w:val="24"/>
        </w:rPr>
      </w:pPr>
    </w:p>
    <w:p w:rsidR="00536956" w:rsidRPr="00536956" w:rsidRDefault="00536956" w:rsidP="00536956">
      <w:pPr>
        <w:spacing w:line="276" w:lineRule="auto"/>
        <w:rPr>
          <w:rFonts w:cs="Times New Roman"/>
          <w:sz w:val="24"/>
        </w:rPr>
      </w:pPr>
      <w:r w:rsidRPr="00536956">
        <w:rPr>
          <w:rFonts w:cs="Times New Roman"/>
          <w:sz w:val="24"/>
        </w:rPr>
        <w:t>Commissioner Karen Johansen,</w:t>
      </w:r>
    </w:p>
    <w:p w:rsidR="00536956" w:rsidRPr="00536956" w:rsidRDefault="00536956" w:rsidP="00536956">
      <w:pPr>
        <w:spacing w:line="276" w:lineRule="auto"/>
        <w:rPr>
          <w:rFonts w:cs="Times New Roman"/>
          <w:sz w:val="24"/>
        </w:rPr>
      </w:pPr>
      <w:r w:rsidRPr="00536956">
        <w:rPr>
          <w:rFonts w:cs="Times New Roman"/>
          <w:sz w:val="24"/>
        </w:rPr>
        <w:t>New Zealand Human Rights Commission</w:t>
      </w:r>
    </w:p>
    <w:p w:rsidR="00536956" w:rsidRPr="00536956" w:rsidRDefault="00536956" w:rsidP="00536956">
      <w:pPr>
        <w:spacing w:line="276" w:lineRule="auto"/>
        <w:rPr>
          <w:rFonts w:cs="Times New Roman"/>
          <w:sz w:val="24"/>
        </w:rPr>
      </w:pPr>
      <w:r w:rsidRPr="00536956">
        <w:rPr>
          <w:rFonts w:cs="Times New Roman"/>
          <w:sz w:val="24"/>
        </w:rPr>
        <w:t>July 2016</w:t>
      </w:r>
    </w:p>
    <w:p w:rsidR="00861E53" w:rsidRPr="00FD2CD2" w:rsidRDefault="00861E53" w:rsidP="000768B6">
      <w:pPr>
        <w:spacing w:after="160" w:line="259" w:lineRule="auto"/>
        <w:rPr>
          <w:sz w:val="24"/>
        </w:rPr>
      </w:pPr>
    </w:p>
    <w:sectPr w:rsidR="00861E53" w:rsidRPr="00FD2C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A4" w:rsidRDefault="00A222A4" w:rsidP="006607CD">
      <w:r>
        <w:separator/>
      </w:r>
    </w:p>
  </w:endnote>
  <w:endnote w:type="continuationSeparator" w:id="0">
    <w:p w:rsidR="00A222A4" w:rsidRDefault="00A222A4" w:rsidP="0066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83273"/>
      <w:docPartObj>
        <w:docPartGallery w:val="Page Numbers (Bottom of Page)"/>
        <w:docPartUnique/>
      </w:docPartObj>
    </w:sdtPr>
    <w:sdtEndPr>
      <w:rPr>
        <w:noProof/>
      </w:rPr>
    </w:sdtEndPr>
    <w:sdtContent>
      <w:p w:rsidR="00D951B4" w:rsidRDefault="00D951B4">
        <w:pPr>
          <w:pStyle w:val="Footer"/>
          <w:jc w:val="right"/>
        </w:pPr>
        <w:r>
          <w:fldChar w:fldCharType="begin"/>
        </w:r>
        <w:r>
          <w:instrText xml:space="preserve"> PAGE   \* MERGEFORMAT </w:instrText>
        </w:r>
        <w:r>
          <w:fldChar w:fldCharType="separate"/>
        </w:r>
        <w:r w:rsidR="00DF2DB0">
          <w:rPr>
            <w:noProof/>
          </w:rPr>
          <w:t>3</w:t>
        </w:r>
        <w:r>
          <w:rPr>
            <w:noProof/>
          </w:rPr>
          <w:fldChar w:fldCharType="end"/>
        </w:r>
      </w:p>
    </w:sdtContent>
  </w:sdt>
  <w:p w:rsidR="00D951B4" w:rsidRDefault="00D9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A4" w:rsidRDefault="00A222A4" w:rsidP="006607CD">
      <w:r>
        <w:separator/>
      </w:r>
    </w:p>
  </w:footnote>
  <w:footnote w:type="continuationSeparator" w:id="0">
    <w:p w:rsidR="00A222A4" w:rsidRDefault="00A222A4" w:rsidP="006607CD">
      <w:r>
        <w:continuationSeparator/>
      </w:r>
    </w:p>
  </w:footnote>
  <w:footnote w:id="1">
    <w:p w:rsidR="0000315C" w:rsidRPr="005F4BFB" w:rsidRDefault="0000315C" w:rsidP="0000315C">
      <w:pPr>
        <w:pStyle w:val="FootnoteText"/>
        <w:rPr>
          <w:sz w:val="20"/>
          <w:szCs w:val="20"/>
        </w:rPr>
      </w:pPr>
      <w:r w:rsidRPr="005F4BFB">
        <w:rPr>
          <w:rStyle w:val="FootnoteReference"/>
          <w:sz w:val="20"/>
          <w:szCs w:val="20"/>
        </w:rPr>
        <w:footnoteRef/>
      </w:r>
      <w:r w:rsidRPr="005F4BFB">
        <w:rPr>
          <w:sz w:val="20"/>
          <w:szCs w:val="20"/>
        </w:rPr>
        <w:t xml:space="preserve"> Māori Affairs Committee, (2014), </w:t>
      </w:r>
      <w:r w:rsidRPr="005F4BFB">
        <w:rPr>
          <w:i/>
          <w:sz w:val="20"/>
          <w:szCs w:val="20"/>
        </w:rPr>
        <w:t xml:space="preserve">Inquiry into the Determinants of Health for </w:t>
      </w:r>
      <w:proofErr w:type="spellStart"/>
      <w:r w:rsidRPr="005F4BFB">
        <w:rPr>
          <w:i/>
          <w:sz w:val="20"/>
          <w:szCs w:val="20"/>
        </w:rPr>
        <w:t>Tamariki</w:t>
      </w:r>
      <w:proofErr w:type="spellEnd"/>
      <w:r w:rsidRPr="005F4BFB">
        <w:rPr>
          <w:i/>
          <w:sz w:val="20"/>
          <w:szCs w:val="20"/>
        </w:rPr>
        <w:t xml:space="preserve"> Māori</w:t>
      </w:r>
      <w:r w:rsidRPr="005F4BFB">
        <w:rPr>
          <w:sz w:val="20"/>
          <w:szCs w:val="20"/>
        </w:rPr>
        <w:t>.  Accessible at:</w:t>
      </w:r>
      <w:r w:rsidRPr="005F4BFB">
        <w:rPr>
          <w:i/>
          <w:sz w:val="20"/>
          <w:szCs w:val="20"/>
        </w:rPr>
        <w:t xml:space="preserve"> </w:t>
      </w:r>
      <w:hyperlink r:id="rId1" w:history="1">
        <w:r w:rsidRPr="005F4BFB">
          <w:rPr>
            <w:rStyle w:val="Hyperlink"/>
            <w:sz w:val="20"/>
            <w:szCs w:val="20"/>
          </w:rPr>
          <w:t>http://www.parliament.nz/resource/en-nz/50DBSCH_SCR6050_1/bbe4e16f5d440017fd3302f051aca3edff179b7f</w:t>
        </w:r>
      </w:hyperlink>
      <w:r w:rsidRPr="005F4BFB">
        <w:rPr>
          <w:sz w:val="20"/>
          <w:szCs w:val="20"/>
        </w:rPr>
        <w:t xml:space="preserve">. </w:t>
      </w:r>
    </w:p>
  </w:footnote>
  <w:footnote w:id="2">
    <w:p w:rsidR="00D951B4" w:rsidRPr="005F4BFB" w:rsidRDefault="00D951B4">
      <w:pPr>
        <w:pStyle w:val="FootnoteText"/>
        <w:rPr>
          <w:sz w:val="20"/>
          <w:szCs w:val="20"/>
        </w:rPr>
      </w:pPr>
      <w:r w:rsidRPr="005F4BFB">
        <w:rPr>
          <w:rStyle w:val="FootnoteReference"/>
          <w:sz w:val="20"/>
          <w:szCs w:val="20"/>
        </w:rPr>
        <w:footnoteRef/>
      </w:r>
      <w:r w:rsidRPr="005F4BFB">
        <w:rPr>
          <w:sz w:val="20"/>
          <w:szCs w:val="20"/>
        </w:rPr>
        <w:t xml:space="preserve"> Simpson, J., Adams, J., </w:t>
      </w:r>
      <w:proofErr w:type="spellStart"/>
      <w:r w:rsidRPr="005F4BFB">
        <w:rPr>
          <w:sz w:val="20"/>
          <w:szCs w:val="20"/>
        </w:rPr>
        <w:t>Oben</w:t>
      </w:r>
      <w:proofErr w:type="spellEnd"/>
      <w:r w:rsidRPr="005F4BFB">
        <w:rPr>
          <w:sz w:val="20"/>
          <w:szCs w:val="20"/>
        </w:rPr>
        <w:t xml:space="preserve">, G., </w:t>
      </w:r>
      <w:proofErr w:type="spellStart"/>
      <w:r w:rsidRPr="005F4BFB">
        <w:rPr>
          <w:sz w:val="20"/>
          <w:szCs w:val="20"/>
        </w:rPr>
        <w:t>Wicken</w:t>
      </w:r>
      <w:proofErr w:type="spellEnd"/>
      <w:r w:rsidRPr="005F4BFB">
        <w:rPr>
          <w:sz w:val="20"/>
          <w:szCs w:val="20"/>
        </w:rPr>
        <w:t xml:space="preserve">, A., &amp; </w:t>
      </w:r>
      <w:proofErr w:type="spellStart"/>
      <w:r w:rsidRPr="005F4BFB">
        <w:rPr>
          <w:sz w:val="20"/>
          <w:szCs w:val="20"/>
        </w:rPr>
        <w:t>Duncanson</w:t>
      </w:r>
      <w:proofErr w:type="spellEnd"/>
      <w:r w:rsidRPr="005F4BFB">
        <w:rPr>
          <w:sz w:val="20"/>
          <w:szCs w:val="20"/>
        </w:rPr>
        <w:t xml:space="preserve">, M. (2016). </w:t>
      </w:r>
      <w:r w:rsidRPr="005F4BFB">
        <w:rPr>
          <w:i/>
          <w:sz w:val="20"/>
          <w:szCs w:val="20"/>
        </w:rPr>
        <w:t>The Determinants of Health for Māori Children and Young People in New Zealand</w:t>
      </w:r>
      <w:r w:rsidRPr="005F4BFB">
        <w:rPr>
          <w:sz w:val="20"/>
          <w:szCs w:val="20"/>
        </w:rPr>
        <w:t xml:space="preserve"> </w:t>
      </w:r>
      <w:r w:rsidRPr="005F4BFB">
        <w:rPr>
          <w:i/>
          <w:sz w:val="20"/>
          <w:szCs w:val="20"/>
        </w:rPr>
        <w:t>(Determinants of Health for Children and Young People No. 2)</w:t>
      </w:r>
      <w:r w:rsidRPr="005F4BFB">
        <w:rPr>
          <w:sz w:val="20"/>
          <w:szCs w:val="20"/>
        </w:rPr>
        <w:t>. New Zealand Child and Youth Epidemiology Service.</w:t>
      </w:r>
    </w:p>
  </w:footnote>
  <w:footnote w:id="3">
    <w:p w:rsidR="00D951B4" w:rsidRPr="005F4BFB" w:rsidRDefault="00D951B4" w:rsidP="00A40704">
      <w:pPr>
        <w:pStyle w:val="FootnoteText"/>
        <w:rPr>
          <w:sz w:val="20"/>
          <w:szCs w:val="20"/>
        </w:rPr>
      </w:pPr>
      <w:r w:rsidRPr="005F4BFB">
        <w:rPr>
          <w:rStyle w:val="FootnoteReference"/>
          <w:sz w:val="20"/>
          <w:szCs w:val="20"/>
        </w:rPr>
        <w:footnoteRef/>
      </w:r>
      <w:r w:rsidRPr="005F4BFB">
        <w:rPr>
          <w:sz w:val="20"/>
          <w:szCs w:val="20"/>
        </w:rPr>
        <w:t xml:space="preserve"> Health Quality &amp; Safety Commission, 20 June 2016, ‘</w:t>
      </w:r>
      <w:r w:rsidRPr="005F4BFB">
        <w:rPr>
          <w:bCs/>
          <w:color w:val="404040"/>
          <w:kern w:val="36"/>
          <w:sz w:val="20"/>
          <w:szCs w:val="20"/>
          <w:lang w:val="en"/>
        </w:rPr>
        <w:t>Data shows size of difference in health care treatment by ethnicity, socioeconomic status’</w:t>
      </w:r>
      <w:r w:rsidRPr="005F4BFB">
        <w:rPr>
          <w:sz w:val="20"/>
          <w:szCs w:val="20"/>
        </w:rPr>
        <w:t xml:space="preserve"> </w:t>
      </w:r>
      <w:hyperlink r:id="rId2" w:history="1">
        <w:r w:rsidRPr="005F4BFB">
          <w:rPr>
            <w:rStyle w:val="Hyperlink"/>
            <w:sz w:val="20"/>
            <w:szCs w:val="20"/>
          </w:rPr>
          <w:t>http://www.hqsc.govt.nz/news-and-events/media/2553/</w:t>
        </w:r>
      </w:hyperlink>
      <w:r w:rsidRPr="005F4BFB">
        <w:rPr>
          <w:sz w:val="20"/>
          <w:szCs w:val="20"/>
        </w:rPr>
        <w:t xml:space="preserve"> </w:t>
      </w:r>
    </w:p>
  </w:footnote>
  <w:footnote w:id="4">
    <w:p w:rsidR="00D951B4" w:rsidRPr="000768B6" w:rsidRDefault="00D951B4" w:rsidP="00A40704">
      <w:pPr>
        <w:pStyle w:val="FootnoteText"/>
        <w:rPr>
          <w:sz w:val="20"/>
          <w:szCs w:val="20"/>
        </w:rPr>
      </w:pPr>
      <w:r w:rsidRPr="000768B6">
        <w:rPr>
          <w:rStyle w:val="FootnoteReference"/>
          <w:sz w:val="20"/>
          <w:szCs w:val="20"/>
        </w:rPr>
        <w:footnoteRef/>
      </w:r>
      <w:r w:rsidRPr="000768B6">
        <w:rPr>
          <w:sz w:val="20"/>
          <w:szCs w:val="20"/>
        </w:rPr>
        <w:t xml:space="preserve"> Ibid. </w:t>
      </w:r>
    </w:p>
  </w:footnote>
  <w:footnote w:id="5">
    <w:p w:rsidR="00D951B4" w:rsidRPr="005F4BFB" w:rsidRDefault="00D951B4" w:rsidP="00A40704">
      <w:pPr>
        <w:pStyle w:val="FootnoteText"/>
        <w:rPr>
          <w:sz w:val="20"/>
          <w:szCs w:val="20"/>
        </w:rPr>
      </w:pPr>
      <w:r w:rsidRPr="005F4BFB">
        <w:rPr>
          <w:rStyle w:val="FootnoteReference"/>
          <w:sz w:val="20"/>
          <w:szCs w:val="20"/>
        </w:rPr>
        <w:footnoteRef/>
      </w:r>
      <w:r w:rsidRPr="005F4BFB">
        <w:rPr>
          <w:sz w:val="20"/>
          <w:szCs w:val="20"/>
        </w:rPr>
        <w:t xml:space="preserve"> </w:t>
      </w:r>
      <w:hyperlink r:id="rId3" w:history="1">
        <w:r w:rsidRPr="005F4BFB">
          <w:rPr>
            <w:rStyle w:val="Hyperlink"/>
            <w:sz w:val="20"/>
            <w:szCs w:val="20"/>
          </w:rPr>
          <w:t>http://www.radionz.co.nz/news/te-manu-korihi/301435/health-workers-missing-at-risk-babies</w:t>
        </w:r>
      </w:hyperlink>
      <w:r w:rsidRPr="005F4BFB">
        <w:rPr>
          <w:sz w:val="20"/>
          <w:szCs w:val="20"/>
        </w:rPr>
        <w:t xml:space="preserve"> </w:t>
      </w:r>
    </w:p>
  </w:footnote>
  <w:footnote w:id="6">
    <w:p w:rsidR="00D951B4" w:rsidRPr="000768B6" w:rsidRDefault="00D951B4">
      <w:pPr>
        <w:pStyle w:val="FootnoteText"/>
        <w:rPr>
          <w:sz w:val="20"/>
          <w:szCs w:val="20"/>
        </w:rPr>
      </w:pPr>
      <w:r w:rsidRPr="000768B6">
        <w:rPr>
          <w:rStyle w:val="FootnoteReference"/>
          <w:sz w:val="20"/>
          <w:szCs w:val="20"/>
        </w:rPr>
        <w:footnoteRef/>
      </w:r>
      <w:r w:rsidRPr="000768B6">
        <w:rPr>
          <w:sz w:val="20"/>
          <w:szCs w:val="20"/>
        </w:rPr>
        <w:t xml:space="preserve"> 2013 figures, from: </w:t>
      </w:r>
      <w:hyperlink r:id="rId4" w:history="1">
        <w:r w:rsidRPr="000768B6">
          <w:rPr>
            <w:rStyle w:val="Hyperlink"/>
            <w:sz w:val="20"/>
            <w:szCs w:val="20"/>
          </w:rPr>
          <w:t>http://www.health.govt.nz/our-work/populations/maori-health/tatau-kahukura-maori-health-statistics/nga-mana-hauora-tutohu-health-status-indicators/infectious-disease</w:t>
        </w:r>
      </w:hyperlink>
      <w:r w:rsidRPr="000768B6">
        <w:rPr>
          <w:sz w:val="20"/>
          <w:szCs w:val="20"/>
        </w:rPr>
        <w:t xml:space="preserve"> </w:t>
      </w:r>
    </w:p>
  </w:footnote>
  <w:footnote w:id="7">
    <w:p w:rsidR="00D951B4" w:rsidRPr="005F4BFB" w:rsidRDefault="00D951B4" w:rsidP="002D206F">
      <w:pPr>
        <w:rPr>
          <w:sz w:val="20"/>
          <w:szCs w:val="20"/>
        </w:rPr>
      </w:pPr>
      <w:r w:rsidRPr="005F4BFB">
        <w:rPr>
          <w:rStyle w:val="FootnoteReference"/>
          <w:sz w:val="20"/>
          <w:szCs w:val="20"/>
        </w:rPr>
        <w:footnoteRef/>
      </w:r>
      <w:r w:rsidRPr="005F4BFB">
        <w:rPr>
          <w:sz w:val="20"/>
          <w:szCs w:val="20"/>
        </w:rPr>
        <w:t xml:space="preserve">Ministry of Health, (2015), </w:t>
      </w:r>
      <w:r w:rsidRPr="005F4BFB">
        <w:rPr>
          <w:i/>
          <w:sz w:val="20"/>
          <w:szCs w:val="20"/>
        </w:rPr>
        <w:t>Annual Update of Key Results 2014/15: New Zealand Health Survey</w:t>
      </w:r>
      <w:r w:rsidRPr="005F4BFB">
        <w:rPr>
          <w:sz w:val="20"/>
          <w:szCs w:val="20"/>
        </w:rPr>
        <w:t xml:space="preserve">, at p viii.  Accessible at: </w:t>
      </w:r>
      <w:hyperlink r:id="rId5" w:history="1">
        <w:r w:rsidRPr="005F4BFB">
          <w:rPr>
            <w:rStyle w:val="Hyperlink"/>
            <w:sz w:val="20"/>
            <w:szCs w:val="20"/>
          </w:rPr>
          <w:t>http://www.health.govt.nz/publication/annual-update-key-results-2014-15-new-zealand-health-survey</w:t>
        </w:r>
      </w:hyperlink>
      <w:r w:rsidRPr="005F4BFB">
        <w:rPr>
          <w:sz w:val="20"/>
          <w:szCs w:val="20"/>
        </w:rPr>
        <w:t xml:space="preserve"> </w:t>
      </w:r>
    </w:p>
  </w:footnote>
  <w:footnote w:id="8">
    <w:p w:rsidR="00A07D7E" w:rsidRDefault="00A07D7E">
      <w:pPr>
        <w:pStyle w:val="FootnoteText"/>
      </w:pPr>
      <w:r>
        <w:rPr>
          <w:rStyle w:val="FootnoteReference"/>
        </w:rPr>
        <w:footnoteRef/>
      </w:r>
      <w:r>
        <w:t xml:space="preserve"> Accessible at: </w:t>
      </w:r>
      <w:hyperlink r:id="rId6" w:anchor="/" w:history="1">
        <w:r w:rsidRPr="007F178A">
          <w:rPr>
            <w:rStyle w:val="Hyperlink"/>
          </w:rPr>
          <w:t>http://npa.hrc.co.nz/#/</w:t>
        </w:r>
      </w:hyperlink>
      <w:r>
        <w:t xml:space="preserve"> </w:t>
      </w:r>
    </w:p>
  </w:footnote>
  <w:footnote w:id="9">
    <w:p w:rsidR="00A07D7E" w:rsidRDefault="00A07D7E">
      <w:pPr>
        <w:pStyle w:val="FootnoteText"/>
      </w:pPr>
      <w:r>
        <w:rPr>
          <w:rStyle w:val="FootnoteReference"/>
        </w:rPr>
        <w:footnoteRef/>
      </w:r>
      <w:r>
        <w:t xml:space="preserve"> </w:t>
      </w:r>
      <w:hyperlink r:id="rId7" w:anchor="/action/32" w:history="1">
        <w:r w:rsidRPr="007F178A">
          <w:rPr>
            <w:rStyle w:val="Hyperlink"/>
          </w:rPr>
          <w:t>http://npa.hrc.co.nz/#/action/32</w:t>
        </w:r>
      </w:hyperlink>
      <w:r>
        <w:t xml:space="preserve"> </w:t>
      </w:r>
    </w:p>
  </w:footnote>
  <w:footnote w:id="10">
    <w:p w:rsidR="00A07D7E" w:rsidRDefault="00A07D7E">
      <w:pPr>
        <w:pStyle w:val="FootnoteText"/>
      </w:pPr>
      <w:r>
        <w:rPr>
          <w:rStyle w:val="FootnoteReference"/>
        </w:rPr>
        <w:footnoteRef/>
      </w:r>
      <w:r>
        <w:t xml:space="preserve"> </w:t>
      </w:r>
      <w:hyperlink r:id="rId8" w:anchor="/action/35" w:history="1">
        <w:r w:rsidRPr="007F178A">
          <w:rPr>
            <w:rStyle w:val="Hyperlink"/>
          </w:rPr>
          <w:t>http://npa.hrc.co.nz/#/action/35</w:t>
        </w:r>
      </w:hyperlink>
      <w:r>
        <w:t xml:space="preserve"> </w:t>
      </w:r>
    </w:p>
  </w:footnote>
  <w:footnote w:id="11">
    <w:p w:rsidR="00A07D7E" w:rsidRDefault="00A07D7E">
      <w:pPr>
        <w:pStyle w:val="FootnoteText"/>
      </w:pPr>
      <w:r>
        <w:rPr>
          <w:rStyle w:val="FootnoteReference"/>
        </w:rPr>
        <w:footnoteRef/>
      </w:r>
      <w:r>
        <w:t xml:space="preserve"> </w:t>
      </w:r>
      <w:hyperlink r:id="rId9" w:anchor="/action/79" w:history="1">
        <w:r w:rsidRPr="007F178A">
          <w:rPr>
            <w:rStyle w:val="Hyperlink"/>
          </w:rPr>
          <w:t>http://npa.hrc.co.nz/#/action/79</w:t>
        </w:r>
      </w:hyperlink>
      <w:r>
        <w:t xml:space="preserve"> </w:t>
      </w:r>
    </w:p>
  </w:footnote>
  <w:footnote w:id="12">
    <w:p w:rsidR="00A07D7E" w:rsidRDefault="00A07D7E">
      <w:pPr>
        <w:pStyle w:val="FootnoteText"/>
      </w:pPr>
      <w:r>
        <w:rPr>
          <w:rStyle w:val="FootnoteReference"/>
        </w:rPr>
        <w:footnoteRef/>
      </w:r>
      <w:r>
        <w:t xml:space="preserve"> </w:t>
      </w:r>
      <w:hyperlink r:id="rId10" w:anchor="/action/80" w:history="1">
        <w:r w:rsidRPr="007F178A">
          <w:rPr>
            <w:rStyle w:val="Hyperlink"/>
          </w:rPr>
          <w:t>http://npa.hrc.co.nz/#/action/80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72A"/>
    <w:multiLevelType w:val="hybridMultilevel"/>
    <w:tmpl w:val="D5329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DB1040"/>
    <w:multiLevelType w:val="hybridMultilevel"/>
    <w:tmpl w:val="40FEAB1A"/>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2" w15:restartNumberingAfterBreak="0">
    <w:nsid w:val="34596FDF"/>
    <w:multiLevelType w:val="hybridMultilevel"/>
    <w:tmpl w:val="069E5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2F4AA9"/>
    <w:multiLevelType w:val="hybridMultilevel"/>
    <w:tmpl w:val="DF72DA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DB173C"/>
    <w:multiLevelType w:val="hybridMultilevel"/>
    <w:tmpl w:val="0C96580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EF57E09"/>
    <w:multiLevelType w:val="hybridMultilevel"/>
    <w:tmpl w:val="DB90B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F57F4B"/>
    <w:multiLevelType w:val="hybridMultilevel"/>
    <w:tmpl w:val="690A1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0714BB9"/>
    <w:multiLevelType w:val="hybridMultilevel"/>
    <w:tmpl w:val="8138E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8E603D"/>
    <w:multiLevelType w:val="hybridMultilevel"/>
    <w:tmpl w:val="9F389068"/>
    <w:lvl w:ilvl="0" w:tplc="9ECEE8E8">
      <w:numFmt w:val="bullet"/>
      <w:lvlText w:val="-"/>
      <w:lvlJc w:val="left"/>
      <w:pPr>
        <w:ind w:left="720" w:hanging="360"/>
      </w:pPr>
      <w:rPr>
        <w:rFonts w:ascii="Arial" w:eastAsia="Batang"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D27098"/>
    <w:multiLevelType w:val="hybridMultilevel"/>
    <w:tmpl w:val="B3B80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6C5489"/>
    <w:multiLevelType w:val="hybridMultilevel"/>
    <w:tmpl w:val="AE5EEA2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1"/>
  </w:num>
  <w:num w:numId="5">
    <w:abstractNumId w:val="0"/>
  </w:num>
  <w:num w:numId="6">
    <w:abstractNumId w:val="2"/>
  </w:num>
  <w:num w:numId="7">
    <w:abstractNumId w:val="4"/>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CD"/>
    <w:rsid w:val="00001484"/>
    <w:rsid w:val="0000315C"/>
    <w:rsid w:val="00022A8A"/>
    <w:rsid w:val="000550C2"/>
    <w:rsid w:val="000603CD"/>
    <w:rsid w:val="00070087"/>
    <w:rsid w:val="000768B6"/>
    <w:rsid w:val="00084BEA"/>
    <w:rsid w:val="000B5450"/>
    <w:rsid w:val="000B610C"/>
    <w:rsid w:val="000C5C42"/>
    <w:rsid w:val="0017389E"/>
    <w:rsid w:val="00187A74"/>
    <w:rsid w:val="001A5007"/>
    <w:rsid w:val="001B33D9"/>
    <w:rsid w:val="002400F8"/>
    <w:rsid w:val="00267CB0"/>
    <w:rsid w:val="002A1A8E"/>
    <w:rsid w:val="002D206F"/>
    <w:rsid w:val="002E705D"/>
    <w:rsid w:val="00321B61"/>
    <w:rsid w:val="00347835"/>
    <w:rsid w:val="00350A4C"/>
    <w:rsid w:val="00396B1D"/>
    <w:rsid w:val="003B5827"/>
    <w:rsid w:val="003E4F9A"/>
    <w:rsid w:val="00437BC0"/>
    <w:rsid w:val="004B2CEA"/>
    <w:rsid w:val="00516EEE"/>
    <w:rsid w:val="00536956"/>
    <w:rsid w:val="00582C59"/>
    <w:rsid w:val="00584282"/>
    <w:rsid w:val="0058511C"/>
    <w:rsid w:val="005A513D"/>
    <w:rsid w:val="005F4BFB"/>
    <w:rsid w:val="00615212"/>
    <w:rsid w:val="006175A8"/>
    <w:rsid w:val="0063228C"/>
    <w:rsid w:val="0063777E"/>
    <w:rsid w:val="00643162"/>
    <w:rsid w:val="0065035B"/>
    <w:rsid w:val="006607CD"/>
    <w:rsid w:val="00696356"/>
    <w:rsid w:val="006E5DF1"/>
    <w:rsid w:val="006F0AC3"/>
    <w:rsid w:val="006F5A10"/>
    <w:rsid w:val="006F5EBD"/>
    <w:rsid w:val="0076117F"/>
    <w:rsid w:val="00774A3F"/>
    <w:rsid w:val="007B1EA5"/>
    <w:rsid w:val="007E3EC4"/>
    <w:rsid w:val="008332FC"/>
    <w:rsid w:val="00861E53"/>
    <w:rsid w:val="00871DD1"/>
    <w:rsid w:val="00880832"/>
    <w:rsid w:val="008B1D12"/>
    <w:rsid w:val="00941977"/>
    <w:rsid w:val="00946276"/>
    <w:rsid w:val="00963B58"/>
    <w:rsid w:val="00963C3B"/>
    <w:rsid w:val="0097391A"/>
    <w:rsid w:val="00985B59"/>
    <w:rsid w:val="00A07D7E"/>
    <w:rsid w:val="00A222A4"/>
    <w:rsid w:val="00A23C3B"/>
    <w:rsid w:val="00A27B39"/>
    <w:rsid w:val="00A40704"/>
    <w:rsid w:val="00A7671D"/>
    <w:rsid w:val="00A8706F"/>
    <w:rsid w:val="00AB128E"/>
    <w:rsid w:val="00AB3B72"/>
    <w:rsid w:val="00AF11F6"/>
    <w:rsid w:val="00B539D1"/>
    <w:rsid w:val="00B65E00"/>
    <w:rsid w:val="00C148E5"/>
    <w:rsid w:val="00C156E1"/>
    <w:rsid w:val="00C22DFA"/>
    <w:rsid w:val="00C405F1"/>
    <w:rsid w:val="00C66896"/>
    <w:rsid w:val="00C813A2"/>
    <w:rsid w:val="00D14F10"/>
    <w:rsid w:val="00D34B1B"/>
    <w:rsid w:val="00D6310C"/>
    <w:rsid w:val="00D951B4"/>
    <w:rsid w:val="00DF2DB0"/>
    <w:rsid w:val="00E40489"/>
    <w:rsid w:val="00EA4D9B"/>
    <w:rsid w:val="00EB37DF"/>
    <w:rsid w:val="00F15A9A"/>
    <w:rsid w:val="00F20816"/>
    <w:rsid w:val="00F22467"/>
    <w:rsid w:val="00F62FB3"/>
    <w:rsid w:val="00FA0BA7"/>
    <w:rsid w:val="00FD2C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8E603-6676-42F7-8967-136C7FEF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7CD"/>
    <w:pPr>
      <w:spacing w:after="0" w:line="240" w:lineRule="auto"/>
    </w:pPr>
    <w:rPr>
      <w:rFonts w:ascii="Arial" w:eastAsia="Batang" w:hAnsi="Arial" w:cs="Arial"/>
      <w:szCs w:val="24"/>
      <w:lang w:eastAsia="ko-KR"/>
    </w:rPr>
  </w:style>
  <w:style w:type="paragraph" w:styleId="Heading3">
    <w:name w:val="heading 3"/>
    <w:basedOn w:val="Normal"/>
    <w:next w:val="Normal"/>
    <w:link w:val="Heading3Char"/>
    <w:uiPriority w:val="9"/>
    <w:unhideWhenUsed/>
    <w:qFormat/>
    <w:rsid w:val="006607CD"/>
    <w:pPr>
      <w:keepNext/>
      <w:keepLines/>
      <w:spacing w:before="200"/>
      <w:outlineLvl w:val="2"/>
    </w:pPr>
    <w:rPr>
      <w:rFonts w:eastAsiaTheme="majorEastAsia" w:cstheme="majorBidi"/>
      <w:b/>
      <w:bCs/>
      <w:i/>
      <w:color w:val="000000" w:themeColor="text1"/>
    </w:rPr>
  </w:style>
  <w:style w:type="paragraph" w:styleId="Heading4">
    <w:name w:val="heading 4"/>
    <w:basedOn w:val="Normal"/>
    <w:next w:val="Normal"/>
    <w:link w:val="Heading4Char"/>
    <w:uiPriority w:val="9"/>
    <w:semiHidden/>
    <w:unhideWhenUsed/>
    <w:qFormat/>
    <w:rsid w:val="006607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Bullet indent"/>
    <w:basedOn w:val="Normal"/>
    <w:link w:val="ListParagraphChar"/>
    <w:uiPriority w:val="34"/>
    <w:qFormat/>
    <w:rsid w:val="006607CD"/>
    <w:pPr>
      <w:ind w:left="720"/>
      <w:contextualSpacing/>
    </w:pPr>
    <w:rPr>
      <w:rFonts w:eastAsiaTheme="minorHAnsi" w:cstheme="minorBidi"/>
      <w:szCs w:val="22"/>
      <w:lang w:eastAsia="en-US"/>
    </w:rPr>
  </w:style>
  <w:style w:type="character" w:customStyle="1" w:styleId="ListParagraphChar">
    <w:name w:val="List Paragraph Char"/>
    <w:aliases w:val="List Paragraph numbered Char,List Bullet indent Char"/>
    <w:basedOn w:val="DefaultParagraphFont"/>
    <w:link w:val="ListParagraph"/>
    <w:uiPriority w:val="34"/>
    <w:rsid w:val="006607CD"/>
    <w:rPr>
      <w:rFonts w:ascii="Arial" w:hAnsi="Arial"/>
    </w:rPr>
  </w:style>
  <w:style w:type="paragraph" w:styleId="FootnoteText">
    <w:name w:val="footnote text"/>
    <w:aliases w:val="5_G,Note de bas de page2,Текст сноски Знак,Footnote Text Char1 Char,Footnote Text Char Char Char,Footnote Text Char Char Char Char Char Char Char Char Char Char Char,Footnote Text Char Char Char Char Char Char Char Char, Char,Char,FA Fu"/>
    <w:basedOn w:val="Normal"/>
    <w:link w:val="FootnoteTextChar"/>
    <w:uiPriority w:val="99"/>
    <w:unhideWhenUsed/>
    <w:rsid w:val="006607CD"/>
    <w:rPr>
      <w:rFonts w:eastAsiaTheme="minorEastAsia"/>
      <w:lang w:eastAsia="en-NZ"/>
    </w:rPr>
  </w:style>
  <w:style w:type="character" w:customStyle="1" w:styleId="FootnoteTextChar">
    <w:name w:val="Footnote Text Char"/>
    <w:aliases w:val="5_G Char,Note de bas de page2 Char,Текст сноски Знак Char,Footnote Text Char1 Char Char,Footnote Text Char Char Char Char,Footnote Text Char Char Char Char Char Char Char Char Char Char Char Char, Char Char,Char Char,FA Fu Char"/>
    <w:basedOn w:val="DefaultParagraphFont"/>
    <w:link w:val="FootnoteText"/>
    <w:uiPriority w:val="99"/>
    <w:rsid w:val="006607CD"/>
    <w:rPr>
      <w:rFonts w:ascii="Arial" w:eastAsiaTheme="minorEastAsia" w:hAnsi="Arial" w:cs="Arial"/>
      <w:szCs w:val="24"/>
      <w:lang w:eastAsia="en-NZ"/>
    </w:rPr>
  </w:style>
  <w:style w:type="character" w:styleId="FootnoteReference">
    <w:name w:val="footnote reference"/>
    <w:aliases w:val="4_G"/>
    <w:basedOn w:val="DefaultParagraphFont"/>
    <w:uiPriority w:val="99"/>
    <w:unhideWhenUsed/>
    <w:rsid w:val="006607CD"/>
    <w:rPr>
      <w:vertAlign w:val="superscript"/>
    </w:rPr>
  </w:style>
  <w:style w:type="character" w:customStyle="1" w:styleId="Heading3Char">
    <w:name w:val="Heading 3 Char"/>
    <w:basedOn w:val="DefaultParagraphFont"/>
    <w:link w:val="Heading3"/>
    <w:uiPriority w:val="9"/>
    <w:rsid w:val="006607CD"/>
    <w:rPr>
      <w:rFonts w:ascii="Arial" w:eastAsiaTheme="majorEastAsia" w:hAnsi="Arial" w:cstheme="majorBidi"/>
      <w:b/>
      <w:bCs/>
      <w:i/>
      <w:color w:val="000000" w:themeColor="text1"/>
      <w:szCs w:val="24"/>
      <w:lang w:eastAsia="ko-KR"/>
    </w:rPr>
  </w:style>
  <w:style w:type="character" w:styleId="Hyperlink">
    <w:name w:val="Hyperlink"/>
    <w:basedOn w:val="DefaultParagraphFont"/>
    <w:uiPriority w:val="99"/>
    <w:unhideWhenUsed/>
    <w:rsid w:val="006607CD"/>
    <w:rPr>
      <w:color w:val="0563C1" w:themeColor="hyperlink"/>
      <w:u w:val="single"/>
    </w:rPr>
  </w:style>
  <w:style w:type="character" w:customStyle="1" w:styleId="Heading4Char">
    <w:name w:val="Heading 4 Char"/>
    <w:basedOn w:val="DefaultParagraphFont"/>
    <w:link w:val="Heading4"/>
    <w:uiPriority w:val="9"/>
    <w:semiHidden/>
    <w:rsid w:val="006607CD"/>
    <w:rPr>
      <w:rFonts w:asciiTheme="majorHAnsi" w:eastAsiaTheme="majorEastAsia" w:hAnsiTheme="majorHAnsi" w:cstheme="majorBidi"/>
      <w:i/>
      <w:iCs/>
      <w:color w:val="2E74B5" w:themeColor="accent1" w:themeShade="BF"/>
      <w:szCs w:val="24"/>
      <w:lang w:eastAsia="ko-KR"/>
    </w:rPr>
  </w:style>
  <w:style w:type="paragraph" w:styleId="NormalWeb">
    <w:name w:val="Normal (Web)"/>
    <w:basedOn w:val="Normal"/>
    <w:uiPriority w:val="99"/>
    <w:semiHidden/>
    <w:unhideWhenUsed/>
    <w:rsid w:val="00070087"/>
    <w:rPr>
      <w:rFonts w:ascii="Times New Roman" w:eastAsia="Times New Roman" w:hAnsi="Times New Roman" w:cs="Times New Roman"/>
      <w:sz w:val="24"/>
      <w:lang w:eastAsia="en-NZ"/>
    </w:rPr>
  </w:style>
  <w:style w:type="paragraph" w:styleId="BalloonText">
    <w:name w:val="Balloon Text"/>
    <w:basedOn w:val="Normal"/>
    <w:link w:val="BalloonTextChar"/>
    <w:uiPriority w:val="99"/>
    <w:semiHidden/>
    <w:unhideWhenUsed/>
    <w:rsid w:val="00615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12"/>
    <w:rPr>
      <w:rFonts w:ascii="Segoe UI" w:eastAsia="Batang" w:hAnsi="Segoe UI" w:cs="Segoe UI"/>
      <w:sz w:val="18"/>
      <w:szCs w:val="18"/>
      <w:lang w:eastAsia="ko-KR"/>
    </w:rPr>
  </w:style>
  <w:style w:type="paragraph" w:styleId="Header">
    <w:name w:val="header"/>
    <w:basedOn w:val="Normal"/>
    <w:link w:val="HeaderChar"/>
    <w:uiPriority w:val="99"/>
    <w:unhideWhenUsed/>
    <w:rsid w:val="000603CD"/>
    <w:pPr>
      <w:tabs>
        <w:tab w:val="center" w:pos="4513"/>
        <w:tab w:val="right" w:pos="9026"/>
      </w:tabs>
    </w:pPr>
  </w:style>
  <w:style w:type="character" w:customStyle="1" w:styleId="HeaderChar">
    <w:name w:val="Header Char"/>
    <w:basedOn w:val="DefaultParagraphFont"/>
    <w:link w:val="Header"/>
    <w:uiPriority w:val="99"/>
    <w:rsid w:val="000603CD"/>
    <w:rPr>
      <w:rFonts w:ascii="Arial" w:eastAsia="Batang" w:hAnsi="Arial" w:cs="Arial"/>
      <w:szCs w:val="24"/>
      <w:lang w:eastAsia="ko-KR"/>
    </w:rPr>
  </w:style>
  <w:style w:type="paragraph" w:styleId="Footer">
    <w:name w:val="footer"/>
    <w:basedOn w:val="Normal"/>
    <w:link w:val="FooterChar"/>
    <w:uiPriority w:val="99"/>
    <w:unhideWhenUsed/>
    <w:rsid w:val="000603CD"/>
    <w:pPr>
      <w:tabs>
        <w:tab w:val="center" w:pos="4513"/>
        <w:tab w:val="right" w:pos="9026"/>
      </w:tabs>
    </w:pPr>
  </w:style>
  <w:style w:type="character" w:customStyle="1" w:styleId="FooterChar">
    <w:name w:val="Footer Char"/>
    <w:basedOn w:val="DefaultParagraphFont"/>
    <w:link w:val="Footer"/>
    <w:uiPriority w:val="99"/>
    <w:rsid w:val="000603CD"/>
    <w:rPr>
      <w:rFonts w:ascii="Arial" w:eastAsia="Batang" w:hAnsi="Arial" w:cs="Arial"/>
      <w:szCs w:val="24"/>
      <w:lang w:eastAsia="ko-KR"/>
    </w:rPr>
  </w:style>
  <w:style w:type="character" w:styleId="CommentReference">
    <w:name w:val="annotation reference"/>
    <w:basedOn w:val="DefaultParagraphFont"/>
    <w:uiPriority w:val="99"/>
    <w:semiHidden/>
    <w:unhideWhenUsed/>
    <w:rsid w:val="0065035B"/>
    <w:rPr>
      <w:sz w:val="16"/>
      <w:szCs w:val="16"/>
    </w:rPr>
  </w:style>
  <w:style w:type="paragraph" w:styleId="CommentText">
    <w:name w:val="annotation text"/>
    <w:basedOn w:val="Normal"/>
    <w:link w:val="CommentTextChar"/>
    <w:uiPriority w:val="99"/>
    <w:semiHidden/>
    <w:unhideWhenUsed/>
    <w:rsid w:val="0065035B"/>
    <w:rPr>
      <w:sz w:val="20"/>
      <w:szCs w:val="20"/>
    </w:rPr>
  </w:style>
  <w:style w:type="character" w:customStyle="1" w:styleId="CommentTextChar">
    <w:name w:val="Comment Text Char"/>
    <w:basedOn w:val="DefaultParagraphFont"/>
    <w:link w:val="CommentText"/>
    <w:uiPriority w:val="99"/>
    <w:semiHidden/>
    <w:rsid w:val="0065035B"/>
    <w:rPr>
      <w:rFonts w:ascii="Arial" w:eastAsia="Batang" w:hAnsi="Arial" w:cs="Arial"/>
      <w:sz w:val="20"/>
      <w:szCs w:val="20"/>
      <w:lang w:eastAsia="ko-KR"/>
    </w:rPr>
  </w:style>
  <w:style w:type="paragraph" w:styleId="CommentSubject">
    <w:name w:val="annotation subject"/>
    <w:basedOn w:val="CommentText"/>
    <w:next w:val="CommentText"/>
    <w:link w:val="CommentSubjectChar"/>
    <w:uiPriority w:val="99"/>
    <w:semiHidden/>
    <w:unhideWhenUsed/>
    <w:rsid w:val="0065035B"/>
    <w:rPr>
      <w:b/>
      <w:bCs/>
    </w:rPr>
  </w:style>
  <w:style w:type="character" w:customStyle="1" w:styleId="CommentSubjectChar">
    <w:name w:val="Comment Subject Char"/>
    <w:basedOn w:val="CommentTextChar"/>
    <w:link w:val="CommentSubject"/>
    <w:uiPriority w:val="99"/>
    <w:semiHidden/>
    <w:rsid w:val="0065035B"/>
    <w:rPr>
      <w:rFonts w:ascii="Arial" w:eastAsia="Batang" w:hAnsi="Arial" w:cs="Arial"/>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0815">
      <w:bodyDiv w:val="1"/>
      <w:marLeft w:val="0"/>
      <w:marRight w:val="0"/>
      <w:marTop w:val="0"/>
      <w:marBottom w:val="0"/>
      <w:divBdr>
        <w:top w:val="none" w:sz="0" w:space="0" w:color="auto"/>
        <w:left w:val="none" w:sz="0" w:space="0" w:color="auto"/>
        <w:bottom w:val="none" w:sz="0" w:space="0" w:color="auto"/>
        <w:right w:val="none" w:sz="0" w:space="0" w:color="auto"/>
      </w:divBdr>
      <w:divsChild>
        <w:div w:id="523638599">
          <w:marLeft w:val="0"/>
          <w:marRight w:val="0"/>
          <w:marTop w:val="0"/>
          <w:marBottom w:val="0"/>
          <w:divBdr>
            <w:top w:val="none" w:sz="0" w:space="0" w:color="auto"/>
            <w:left w:val="none" w:sz="0" w:space="0" w:color="auto"/>
            <w:bottom w:val="none" w:sz="0" w:space="0" w:color="auto"/>
            <w:right w:val="none" w:sz="0" w:space="0" w:color="auto"/>
          </w:divBdr>
          <w:divsChild>
            <w:div w:id="487207817">
              <w:marLeft w:val="0"/>
              <w:marRight w:val="0"/>
              <w:marTop w:val="0"/>
              <w:marBottom w:val="0"/>
              <w:divBdr>
                <w:top w:val="none" w:sz="0" w:space="0" w:color="auto"/>
                <w:left w:val="none" w:sz="0" w:space="0" w:color="auto"/>
                <w:bottom w:val="none" w:sz="0" w:space="0" w:color="auto"/>
                <w:right w:val="none" w:sz="0" w:space="0" w:color="auto"/>
              </w:divBdr>
              <w:divsChild>
                <w:div w:id="818497141">
                  <w:marLeft w:val="-225"/>
                  <w:marRight w:val="-225"/>
                  <w:marTop w:val="0"/>
                  <w:marBottom w:val="0"/>
                  <w:divBdr>
                    <w:top w:val="none" w:sz="0" w:space="0" w:color="auto"/>
                    <w:left w:val="none" w:sz="0" w:space="0" w:color="auto"/>
                    <w:bottom w:val="none" w:sz="0" w:space="0" w:color="auto"/>
                    <w:right w:val="none" w:sz="0" w:space="0" w:color="auto"/>
                  </w:divBdr>
                  <w:divsChild>
                    <w:div w:id="392432395">
                      <w:marLeft w:val="0"/>
                      <w:marRight w:val="0"/>
                      <w:marTop w:val="0"/>
                      <w:marBottom w:val="0"/>
                      <w:divBdr>
                        <w:top w:val="none" w:sz="0" w:space="0" w:color="auto"/>
                        <w:left w:val="none" w:sz="0" w:space="0" w:color="auto"/>
                        <w:bottom w:val="none" w:sz="0" w:space="0" w:color="auto"/>
                        <w:right w:val="none" w:sz="0" w:space="0" w:color="auto"/>
                      </w:divBdr>
                      <w:divsChild>
                        <w:div w:id="2029329894">
                          <w:marLeft w:val="0"/>
                          <w:marRight w:val="0"/>
                          <w:marTop w:val="0"/>
                          <w:marBottom w:val="0"/>
                          <w:divBdr>
                            <w:top w:val="none" w:sz="0" w:space="0" w:color="auto"/>
                            <w:left w:val="none" w:sz="0" w:space="0" w:color="auto"/>
                            <w:bottom w:val="none" w:sz="0" w:space="0" w:color="auto"/>
                            <w:right w:val="none" w:sz="0" w:space="0" w:color="auto"/>
                          </w:divBdr>
                          <w:divsChild>
                            <w:div w:id="894775049">
                              <w:marLeft w:val="0"/>
                              <w:marRight w:val="0"/>
                              <w:marTop w:val="0"/>
                              <w:marBottom w:val="0"/>
                              <w:divBdr>
                                <w:top w:val="none" w:sz="0" w:space="0" w:color="auto"/>
                                <w:left w:val="none" w:sz="0" w:space="0" w:color="auto"/>
                                <w:bottom w:val="none" w:sz="0" w:space="0" w:color="auto"/>
                                <w:right w:val="none" w:sz="0" w:space="0" w:color="auto"/>
                              </w:divBdr>
                              <w:divsChild>
                                <w:div w:id="69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365156">
      <w:bodyDiv w:val="1"/>
      <w:marLeft w:val="0"/>
      <w:marRight w:val="0"/>
      <w:marTop w:val="0"/>
      <w:marBottom w:val="0"/>
      <w:divBdr>
        <w:top w:val="none" w:sz="0" w:space="0" w:color="auto"/>
        <w:left w:val="none" w:sz="0" w:space="0" w:color="auto"/>
        <w:bottom w:val="none" w:sz="0" w:space="0" w:color="auto"/>
        <w:right w:val="none" w:sz="0" w:space="0" w:color="auto"/>
      </w:divBdr>
      <w:divsChild>
        <w:div w:id="501042333">
          <w:marLeft w:val="0"/>
          <w:marRight w:val="0"/>
          <w:marTop w:val="0"/>
          <w:marBottom w:val="0"/>
          <w:divBdr>
            <w:top w:val="none" w:sz="0" w:space="0" w:color="auto"/>
            <w:left w:val="none" w:sz="0" w:space="0" w:color="auto"/>
            <w:bottom w:val="none" w:sz="0" w:space="0" w:color="auto"/>
            <w:right w:val="none" w:sz="0" w:space="0" w:color="auto"/>
          </w:divBdr>
          <w:divsChild>
            <w:div w:id="2064481723">
              <w:marLeft w:val="0"/>
              <w:marRight w:val="0"/>
              <w:marTop w:val="0"/>
              <w:marBottom w:val="0"/>
              <w:divBdr>
                <w:top w:val="none" w:sz="0" w:space="0" w:color="auto"/>
                <w:left w:val="none" w:sz="0" w:space="0" w:color="auto"/>
                <w:bottom w:val="none" w:sz="0" w:space="0" w:color="auto"/>
                <w:right w:val="none" w:sz="0" w:space="0" w:color="auto"/>
              </w:divBdr>
              <w:divsChild>
                <w:div w:id="1969896719">
                  <w:marLeft w:val="0"/>
                  <w:marRight w:val="0"/>
                  <w:marTop w:val="0"/>
                  <w:marBottom w:val="0"/>
                  <w:divBdr>
                    <w:top w:val="none" w:sz="0" w:space="0" w:color="auto"/>
                    <w:left w:val="none" w:sz="0" w:space="0" w:color="auto"/>
                    <w:bottom w:val="none" w:sz="0" w:space="0" w:color="auto"/>
                    <w:right w:val="none" w:sz="0" w:space="0" w:color="auto"/>
                  </w:divBdr>
                  <w:divsChild>
                    <w:div w:id="14651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61760">
      <w:bodyDiv w:val="1"/>
      <w:marLeft w:val="0"/>
      <w:marRight w:val="0"/>
      <w:marTop w:val="0"/>
      <w:marBottom w:val="0"/>
      <w:divBdr>
        <w:top w:val="none" w:sz="0" w:space="0" w:color="auto"/>
        <w:left w:val="none" w:sz="0" w:space="0" w:color="auto"/>
        <w:bottom w:val="none" w:sz="0" w:space="0" w:color="auto"/>
        <w:right w:val="none" w:sz="0" w:space="0" w:color="auto"/>
      </w:divBdr>
      <w:divsChild>
        <w:div w:id="1656453905">
          <w:marLeft w:val="0"/>
          <w:marRight w:val="0"/>
          <w:marTop w:val="0"/>
          <w:marBottom w:val="0"/>
          <w:divBdr>
            <w:top w:val="none" w:sz="0" w:space="0" w:color="auto"/>
            <w:left w:val="none" w:sz="0" w:space="0" w:color="auto"/>
            <w:bottom w:val="none" w:sz="0" w:space="0" w:color="auto"/>
            <w:right w:val="none" w:sz="0" w:space="0" w:color="auto"/>
          </w:divBdr>
          <w:divsChild>
            <w:div w:id="11952641">
              <w:marLeft w:val="150"/>
              <w:marRight w:val="150"/>
              <w:marTop w:val="0"/>
              <w:marBottom w:val="0"/>
              <w:divBdr>
                <w:top w:val="none" w:sz="0" w:space="0" w:color="auto"/>
                <w:left w:val="none" w:sz="0" w:space="0" w:color="auto"/>
                <w:bottom w:val="none" w:sz="0" w:space="0" w:color="auto"/>
                <w:right w:val="none" w:sz="0" w:space="0" w:color="auto"/>
              </w:divBdr>
              <w:divsChild>
                <w:div w:id="1283347872">
                  <w:marLeft w:val="0"/>
                  <w:marRight w:val="0"/>
                  <w:marTop w:val="0"/>
                  <w:marBottom w:val="0"/>
                  <w:divBdr>
                    <w:top w:val="none" w:sz="0" w:space="0" w:color="auto"/>
                    <w:left w:val="none" w:sz="0" w:space="0" w:color="auto"/>
                    <w:bottom w:val="none" w:sz="0" w:space="0" w:color="auto"/>
                    <w:right w:val="none" w:sz="0" w:space="0" w:color="auto"/>
                  </w:divBdr>
                  <w:divsChild>
                    <w:div w:id="325476170">
                      <w:marLeft w:val="150"/>
                      <w:marRight w:val="150"/>
                      <w:marTop w:val="0"/>
                      <w:marBottom w:val="0"/>
                      <w:divBdr>
                        <w:top w:val="none" w:sz="0" w:space="0" w:color="auto"/>
                        <w:left w:val="none" w:sz="0" w:space="0" w:color="auto"/>
                        <w:bottom w:val="none" w:sz="0" w:space="0" w:color="auto"/>
                        <w:right w:val="none" w:sz="0" w:space="0" w:color="auto"/>
                      </w:divBdr>
                      <w:divsChild>
                        <w:div w:id="103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pa.hrc.co.nz/" TargetMode="External"/><Relationship Id="rId3" Type="http://schemas.openxmlformats.org/officeDocument/2006/relationships/hyperlink" Target="http://www.radionz.co.nz/news/te-manu-korihi/301435/health-workers-missing-at-risk-babies" TargetMode="External"/><Relationship Id="rId7" Type="http://schemas.openxmlformats.org/officeDocument/2006/relationships/hyperlink" Target="http://npa.hrc.co.nz/" TargetMode="External"/><Relationship Id="rId2" Type="http://schemas.openxmlformats.org/officeDocument/2006/relationships/hyperlink" Target="http://www.hqsc.govt.nz/news-and-events/media/2553/" TargetMode="External"/><Relationship Id="rId1" Type="http://schemas.openxmlformats.org/officeDocument/2006/relationships/hyperlink" Target="http://www.parliament.nz/resource/en-nz/50DBSCH_SCR6050_1/bbe4e16f5d440017fd3302f051aca3edff179b7f" TargetMode="External"/><Relationship Id="rId6" Type="http://schemas.openxmlformats.org/officeDocument/2006/relationships/hyperlink" Target="http://npa.hrc.co.nz/" TargetMode="External"/><Relationship Id="rId5" Type="http://schemas.openxmlformats.org/officeDocument/2006/relationships/hyperlink" Target="http://www.health.govt.nz/publication/annual-update-key-results-2014-15-new-zealand-health-survey" TargetMode="External"/><Relationship Id="rId10" Type="http://schemas.openxmlformats.org/officeDocument/2006/relationships/hyperlink" Target="http://npa.hrc.co.nz/" TargetMode="External"/><Relationship Id="rId4" Type="http://schemas.openxmlformats.org/officeDocument/2006/relationships/hyperlink" Target="http://www.health.govt.nz/our-work/populations/maori-health/tatau-kahukura-maori-health-statistics/nga-mana-hauora-tutohu-health-status-indicators/infectious-disease" TargetMode="External"/><Relationship Id="rId9" Type="http://schemas.openxmlformats.org/officeDocument/2006/relationships/hyperlink" Target="http://npa.hr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D5A8-7FE4-4422-AC84-17549B4E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Ngatai</dc:creator>
  <cp:keywords/>
  <dc:description/>
  <cp:lastModifiedBy>Jessica Ngatai</cp:lastModifiedBy>
  <cp:revision>3</cp:revision>
  <cp:lastPrinted>2016-07-03T21:13:00Z</cp:lastPrinted>
  <dcterms:created xsi:type="dcterms:W3CDTF">2016-07-05T21:41:00Z</dcterms:created>
  <dcterms:modified xsi:type="dcterms:W3CDTF">2016-07-05T21:41:00Z</dcterms:modified>
</cp:coreProperties>
</file>