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29B27" w14:textId="7698EEBA" w:rsidR="00E502BE" w:rsidRPr="00FC233D" w:rsidRDefault="00E502BE" w:rsidP="00E502BE">
      <w:pPr>
        <w:pStyle w:val="Heading1"/>
        <w:rPr>
          <w:rFonts w:eastAsiaTheme="minorEastAsia"/>
          <w:b/>
          <w:bCs/>
          <w:color w:val="auto"/>
          <w:lang w:val="en-US"/>
        </w:rPr>
      </w:pPr>
      <w:bookmarkStart w:id="0" w:name="_Toc54173255"/>
      <w:r w:rsidRPr="00FC233D">
        <w:rPr>
          <w:rFonts w:eastAsiaTheme="minorEastAsia"/>
          <w:b/>
          <w:bCs/>
          <w:color w:val="auto"/>
          <w:lang w:val="en-US"/>
        </w:rPr>
        <w:t>PRISM</w:t>
      </w:r>
      <w:r w:rsidR="00AE10FC">
        <w:rPr>
          <w:rFonts w:eastAsiaTheme="minorEastAsia"/>
          <w:b/>
          <w:bCs/>
          <w:color w:val="auto"/>
          <w:lang w:val="en-US"/>
        </w:rPr>
        <w:t xml:space="preserve"> (Summary)</w:t>
      </w:r>
      <w:r w:rsidRPr="00FC233D">
        <w:rPr>
          <w:rFonts w:eastAsiaTheme="minorEastAsia"/>
          <w:b/>
          <w:bCs/>
          <w:color w:val="auto"/>
          <w:lang w:val="en-US"/>
        </w:rPr>
        <w:t>:</w:t>
      </w:r>
      <w:bookmarkEnd w:id="0"/>
    </w:p>
    <w:p w14:paraId="2F1B0E99" w14:textId="43B7F5BB" w:rsidR="00E502BE" w:rsidRPr="00FC233D" w:rsidRDefault="00E502BE" w:rsidP="00E502BE">
      <w:pPr>
        <w:pStyle w:val="Heading1"/>
        <w:rPr>
          <w:b/>
          <w:bCs/>
          <w:color w:val="auto"/>
          <w:sz w:val="36"/>
          <w:szCs w:val="36"/>
        </w:rPr>
      </w:pPr>
      <w:bookmarkStart w:id="1" w:name="_Toc54173256"/>
      <w:r w:rsidRPr="00FC233D">
        <w:rPr>
          <w:b/>
          <w:bCs/>
          <w:color w:val="auto"/>
          <w:sz w:val="36"/>
          <w:szCs w:val="36"/>
        </w:rPr>
        <w:t>Human Rights issues relating to Sexual Orientation, Gender Identity and Expression, and Sex Characteristics (SOGIESC) in Aotearoa New Zealand - A report with recommendations</w:t>
      </w:r>
      <w:bookmarkEnd w:id="1"/>
    </w:p>
    <w:p w14:paraId="6E9F37ED" w14:textId="77777777" w:rsidR="00E502BE" w:rsidRDefault="00E502BE" w:rsidP="00E502BE">
      <w:pPr>
        <w:pStyle w:val="Heading1"/>
        <w:rPr>
          <w:b/>
          <w:bCs/>
          <w:color w:val="auto"/>
          <w:sz w:val="36"/>
          <w:szCs w:val="36"/>
        </w:rPr>
      </w:pPr>
      <w:bookmarkStart w:id="2" w:name="_Toc54173257"/>
      <w:r w:rsidRPr="00FC233D">
        <w:rPr>
          <w:b/>
          <w:bCs/>
          <w:color w:val="auto"/>
          <w:sz w:val="36"/>
          <w:szCs w:val="36"/>
        </w:rPr>
        <w:t>June 2020</w:t>
      </w:r>
      <w:bookmarkEnd w:id="2"/>
    </w:p>
    <w:p w14:paraId="1C3E7D8E" w14:textId="77777777" w:rsidR="00E502BE" w:rsidRDefault="00E502BE" w:rsidP="00E502BE">
      <w:pPr>
        <w:pStyle w:val="Heading1"/>
        <w:rPr>
          <w:b/>
          <w:bCs/>
          <w:color w:val="auto"/>
          <w:sz w:val="36"/>
          <w:szCs w:val="36"/>
        </w:rPr>
      </w:pPr>
    </w:p>
    <w:sdt>
      <w:sdtPr>
        <w:rPr>
          <w:rFonts w:asciiTheme="minorHAnsi" w:eastAsiaTheme="minorEastAsia" w:hAnsiTheme="minorHAnsi" w:cstheme="minorBidi"/>
          <w:color w:val="auto"/>
          <w:sz w:val="20"/>
          <w:szCs w:val="20"/>
          <w:lang w:val="en-NZ"/>
        </w:rPr>
        <w:id w:val="1259636741"/>
        <w:docPartObj>
          <w:docPartGallery w:val="Table of Contents"/>
          <w:docPartUnique/>
        </w:docPartObj>
      </w:sdtPr>
      <w:sdtEndPr>
        <w:rPr>
          <w:b/>
          <w:bCs/>
          <w:noProof/>
        </w:rPr>
      </w:sdtEndPr>
      <w:sdtContent>
        <w:p w14:paraId="6FA03304" w14:textId="5972D60B" w:rsidR="00E502BE" w:rsidRDefault="00E502BE">
          <w:pPr>
            <w:pStyle w:val="TOCHeading"/>
          </w:pPr>
          <w:r>
            <w:t>Contents</w:t>
          </w:r>
        </w:p>
        <w:p w14:paraId="771666E2" w14:textId="39D9AB88" w:rsidR="00E502BE" w:rsidRPr="003E1794" w:rsidRDefault="00E502BE">
          <w:pPr>
            <w:pStyle w:val="TOC1"/>
            <w:tabs>
              <w:tab w:val="right" w:leader="dot" w:pos="9010"/>
            </w:tabs>
            <w:rPr>
              <w:noProof/>
              <w:sz w:val="28"/>
              <w:szCs w:val="28"/>
            </w:rPr>
          </w:pPr>
          <w:r>
            <w:fldChar w:fldCharType="begin"/>
          </w:r>
          <w:r>
            <w:instrText xml:space="preserve"> TOC \o "1-3" \h \z \u </w:instrText>
          </w:r>
          <w:r>
            <w:fldChar w:fldCharType="separate"/>
          </w:r>
          <w:hyperlink w:anchor="_Toc54173258" w:history="1">
            <w:r w:rsidRPr="003E1794">
              <w:rPr>
                <w:rStyle w:val="Hyperlink"/>
                <w:b/>
                <w:bCs/>
                <w:noProof/>
                <w:sz w:val="28"/>
                <w:szCs w:val="28"/>
                <w:lang w:val="en-US"/>
              </w:rPr>
              <w:t>Executive Summary</w:t>
            </w:r>
            <w:r w:rsidRPr="003E1794">
              <w:rPr>
                <w:noProof/>
                <w:webHidden/>
                <w:sz w:val="28"/>
                <w:szCs w:val="28"/>
              </w:rPr>
              <w:tab/>
            </w:r>
            <w:r w:rsidRPr="003E1794">
              <w:rPr>
                <w:noProof/>
                <w:webHidden/>
                <w:sz w:val="28"/>
                <w:szCs w:val="28"/>
              </w:rPr>
              <w:fldChar w:fldCharType="begin"/>
            </w:r>
            <w:r w:rsidRPr="003E1794">
              <w:rPr>
                <w:noProof/>
                <w:webHidden/>
                <w:sz w:val="28"/>
                <w:szCs w:val="28"/>
              </w:rPr>
              <w:instrText xml:space="preserve"> PAGEREF _Toc54173258 \h </w:instrText>
            </w:r>
            <w:r w:rsidRPr="003E1794">
              <w:rPr>
                <w:noProof/>
                <w:webHidden/>
                <w:sz w:val="28"/>
                <w:szCs w:val="28"/>
              </w:rPr>
            </w:r>
            <w:r w:rsidRPr="003E1794">
              <w:rPr>
                <w:noProof/>
                <w:webHidden/>
                <w:sz w:val="28"/>
                <w:szCs w:val="28"/>
              </w:rPr>
              <w:fldChar w:fldCharType="separate"/>
            </w:r>
            <w:r w:rsidR="002F3AC9">
              <w:rPr>
                <w:noProof/>
                <w:webHidden/>
                <w:sz w:val="28"/>
                <w:szCs w:val="28"/>
              </w:rPr>
              <w:t>2</w:t>
            </w:r>
            <w:r w:rsidRPr="003E1794">
              <w:rPr>
                <w:noProof/>
                <w:webHidden/>
                <w:sz w:val="28"/>
                <w:szCs w:val="28"/>
              </w:rPr>
              <w:fldChar w:fldCharType="end"/>
            </w:r>
          </w:hyperlink>
        </w:p>
        <w:p w14:paraId="3175E2CA" w14:textId="15D519CF" w:rsidR="00E502BE" w:rsidRPr="003E1794" w:rsidRDefault="004C0B3E">
          <w:pPr>
            <w:pStyle w:val="TOC1"/>
            <w:tabs>
              <w:tab w:val="right" w:leader="dot" w:pos="9010"/>
            </w:tabs>
            <w:rPr>
              <w:noProof/>
              <w:sz w:val="28"/>
              <w:szCs w:val="28"/>
            </w:rPr>
          </w:pPr>
          <w:hyperlink w:anchor="_Toc54173259" w:history="1">
            <w:r w:rsidR="00E502BE" w:rsidRPr="003E1794">
              <w:rPr>
                <w:rStyle w:val="Hyperlink"/>
                <w:b/>
                <w:bCs/>
                <w:noProof/>
                <w:sz w:val="28"/>
                <w:szCs w:val="28"/>
                <w:lang w:val="en-US"/>
              </w:rPr>
              <w:t>Summary of Findings</w:t>
            </w:r>
            <w:r w:rsidR="00E502BE" w:rsidRPr="003E1794">
              <w:rPr>
                <w:noProof/>
                <w:webHidden/>
                <w:sz w:val="28"/>
                <w:szCs w:val="28"/>
              </w:rPr>
              <w:tab/>
            </w:r>
            <w:r w:rsidR="00E502BE" w:rsidRPr="003E1794">
              <w:rPr>
                <w:noProof/>
                <w:webHidden/>
                <w:sz w:val="28"/>
                <w:szCs w:val="28"/>
              </w:rPr>
              <w:fldChar w:fldCharType="begin"/>
            </w:r>
            <w:r w:rsidR="00E502BE" w:rsidRPr="003E1794">
              <w:rPr>
                <w:noProof/>
                <w:webHidden/>
                <w:sz w:val="28"/>
                <w:szCs w:val="28"/>
              </w:rPr>
              <w:instrText xml:space="preserve"> PAGEREF _Toc54173259 \h </w:instrText>
            </w:r>
            <w:r w:rsidR="00E502BE" w:rsidRPr="003E1794">
              <w:rPr>
                <w:noProof/>
                <w:webHidden/>
                <w:sz w:val="28"/>
                <w:szCs w:val="28"/>
              </w:rPr>
            </w:r>
            <w:r w:rsidR="00E502BE" w:rsidRPr="003E1794">
              <w:rPr>
                <w:noProof/>
                <w:webHidden/>
                <w:sz w:val="28"/>
                <w:szCs w:val="28"/>
              </w:rPr>
              <w:fldChar w:fldCharType="separate"/>
            </w:r>
            <w:r w:rsidR="002F3AC9">
              <w:rPr>
                <w:noProof/>
                <w:webHidden/>
                <w:sz w:val="28"/>
                <w:szCs w:val="28"/>
              </w:rPr>
              <w:t>3</w:t>
            </w:r>
            <w:r w:rsidR="00E502BE" w:rsidRPr="003E1794">
              <w:rPr>
                <w:noProof/>
                <w:webHidden/>
                <w:sz w:val="28"/>
                <w:szCs w:val="28"/>
              </w:rPr>
              <w:fldChar w:fldCharType="end"/>
            </w:r>
          </w:hyperlink>
        </w:p>
        <w:p w14:paraId="128A2E6F" w14:textId="15B6BC2E" w:rsidR="00E502BE" w:rsidRPr="003E1794" w:rsidRDefault="004C0B3E">
          <w:pPr>
            <w:pStyle w:val="TOC1"/>
            <w:tabs>
              <w:tab w:val="right" w:leader="dot" w:pos="9010"/>
            </w:tabs>
            <w:rPr>
              <w:noProof/>
              <w:sz w:val="28"/>
              <w:szCs w:val="28"/>
            </w:rPr>
          </w:pPr>
          <w:hyperlink w:anchor="_Toc54173260" w:history="1">
            <w:r w:rsidR="00E502BE" w:rsidRPr="003E1794">
              <w:rPr>
                <w:rStyle w:val="Hyperlink"/>
                <w:b/>
                <w:bCs/>
                <w:noProof/>
                <w:sz w:val="28"/>
                <w:szCs w:val="28"/>
                <w:lang w:val="en-US"/>
              </w:rPr>
              <w:t>Recommendations</w:t>
            </w:r>
            <w:r w:rsidR="00E502BE" w:rsidRPr="003E1794">
              <w:rPr>
                <w:noProof/>
                <w:webHidden/>
                <w:sz w:val="28"/>
                <w:szCs w:val="28"/>
              </w:rPr>
              <w:tab/>
            </w:r>
            <w:r w:rsidR="00E502BE" w:rsidRPr="003E1794">
              <w:rPr>
                <w:noProof/>
                <w:webHidden/>
                <w:sz w:val="28"/>
                <w:szCs w:val="28"/>
              </w:rPr>
              <w:fldChar w:fldCharType="begin"/>
            </w:r>
            <w:r w:rsidR="00E502BE" w:rsidRPr="003E1794">
              <w:rPr>
                <w:noProof/>
                <w:webHidden/>
                <w:sz w:val="28"/>
                <w:szCs w:val="28"/>
              </w:rPr>
              <w:instrText xml:space="preserve"> PAGEREF _Toc54173260 \h </w:instrText>
            </w:r>
            <w:r w:rsidR="00E502BE" w:rsidRPr="003E1794">
              <w:rPr>
                <w:noProof/>
                <w:webHidden/>
                <w:sz w:val="28"/>
                <w:szCs w:val="28"/>
              </w:rPr>
            </w:r>
            <w:r w:rsidR="00E502BE" w:rsidRPr="003E1794">
              <w:rPr>
                <w:noProof/>
                <w:webHidden/>
                <w:sz w:val="28"/>
                <w:szCs w:val="28"/>
              </w:rPr>
              <w:fldChar w:fldCharType="separate"/>
            </w:r>
            <w:r w:rsidR="002F3AC9">
              <w:rPr>
                <w:noProof/>
                <w:webHidden/>
                <w:sz w:val="28"/>
                <w:szCs w:val="28"/>
              </w:rPr>
              <w:t>5</w:t>
            </w:r>
            <w:r w:rsidR="00E502BE" w:rsidRPr="003E1794">
              <w:rPr>
                <w:noProof/>
                <w:webHidden/>
                <w:sz w:val="28"/>
                <w:szCs w:val="28"/>
              </w:rPr>
              <w:fldChar w:fldCharType="end"/>
            </w:r>
          </w:hyperlink>
        </w:p>
        <w:p w14:paraId="5A242400" w14:textId="123320AF" w:rsidR="00E502BE" w:rsidRPr="003E1794" w:rsidRDefault="004C0B3E">
          <w:pPr>
            <w:pStyle w:val="TOC2"/>
            <w:tabs>
              <w:tab w:val="right" w:leader="dot" w:pos="9010"/>
            </w:tabs>
            <w:rPr>
              <w:noProof/>
              <w:sz w:val="28"/>
              <w:szCs w:val="28"/>
            </w:rPr>
          </w:pPr>
          <w:hyperlink w:anchor="_Toc54173261" w:history="1">
            <w:r w:rsidR="00E502BE" w:rsidRPr="003E1794">
              <w:rPr>
                <w:rStyle w:val="Hyperlink"/>
                <w:b/>
                <w:bCs/>
                <w:noProof/>
                <w:sz w:val="28"/>
                <w:szCs w:val="28"/>
                <w:lang w:val="en-US"/>
              </w:rPr>
              <w:t>The right to freedom from discrimination</w:t>
            </w:r>
            <w:r w:rsidR="00E502BE" w:rsidRPr="003E1794">
              <w:rPr>
                <w:noProof/>
                <w:webHidden/>
                <w:sz w:val="28"/>
                <w:szCs w:val="28"/>
              </w:rPr>
              <w:tab/>
            </w:r>
            <w:r w:rsidR="00E502BE" w:rsidRPr="003E1794">
              <w:rPr>
                <w:noProof/>
                <w:webHidden/>
                <w:sz w:val="28"/>
                <w:szCs w:val="28"/>
              </w:rPr>
              <w:fldChar w:fldCharType="begin"/>
            </w:r>
            <w:r w:rsidR="00E502BE" w:rsidRPr="003E1794">
              <w:rPr>
                <w:noProof/>
                <w:webHidden/>
                <w:sz w:val="28"/>
                <w:szCs w:val="28"/>
              </w:rPr>
              <w:instrText xml:space="preserve"> PAGEREF _Toc54173261 \h </w:instrText>
            </w:r>
            <w:r w:rsidR="00E502BE" w:rsidRPr="003E1794">
              <w:rPr>
                <w:noProof/>
                <w:webHidden/>
                <w:sz w:val="28"/>
                <w:szCs w:val="28"/>
              </w:rPr>
            </w:r>
            <w:r w:rsidR="00E502BE" w:rsidRPr="003E1794">
              <w:rPr>
                <w:noProof/>
                <w:webHidden/>
                <w:sz w:val="28"/>
                <w:szCs w:val="28"/>
              </w:rPr>
              <w:fldChar w:fldCharType="separate"/>
            </w:r>
            <w:r w:rsidR="002F3AC9">
              <w:rPr>
                <w:noProof/>
                <w:webHidden/>
                <w:sz w:val="28"/>
                <w:szCs w:val="28"/>
              </w:rPr>
              <w:t>5</w:t>
            </w:r>
            <w:r w:rsidR="00E502BE" w:rsidRPr="003E1794">
              <w:rPr>
                <w:noProof/>
                <w:webHidden/>
                <w:sz w:val="28"/>
                <w:szCs w:val="28"/>
              </w:rPr>
              <w:fldChar w:fldCharType="end"/>
            </w:r>
          </w:hyperlink>
        </w:p>
        <w:p w14:paraId="3785FF60" w14:textId="27C90189" w:rsidR="00E502BE" w:rsidRPr="003E1794" w:rsidRDefault="004C0B3E">
          <w:pPr>
            <w:pStyle w:val="TOC2"/>
            <w:tabs>
              <w:tab w:val="right" w:leader="dot" w:pos="9010"/>
            </w:tabs>
            <w:rPr>
              <w:noProof/>
              <w:sz w:val="28"/>
              <w:szCs w:val="28"/>
            </w:rPr>
          </w:pPr>
          <w:hyperlink w:anchor="_Toc54173262" w:history="1">
            <w:r w:rsidR="00E502BE" w:rsidRPr="003E1794">
              <w:rPr>
                <w:rStyle w:val="Hyperlink"/>
                <w:b/>
                <w:bCs/>
                <w:noProof/>
                <w:sz w:val="28"/>
                <w:szCs w:val="28"/>
                <w:lang w:val="en-US"/>
              </w:rPr>
              <w:t>The right to information: data collection</w:t>
            </w:r>
            <w:r w:rsidR="00E502BE" w:rsidRPr="003E1794">
              <w:rPr>
                <w:noProof/>
                <w:webHidden/>
                <w:sz w:val="28"/>
                <w:szCs w:val="28"/>
              </w:rPr>
              <w:tab/>
            </w:r>
            <w:r w:rsidR="00E502BE" w:rsidRPr="003E1794">
              <w:rPr>
                <w:noProof/>
                <w:webHidden/>
                <w:sz w:val="28"/>
                <w:szCs w:val="28"/>
              </w:rPr>
              <w:fldChar w:fldCharType="begin"/>
            </w:r>
            <w:r w:rsidR="00E502BE" w:rsidRPr="003E1794">
              <w:rPr>
                <w:noProof/>
                <w:webHidden/>
                <w:sz w:val="28"/>
                <w:szCs w:val="28"/>
              </w:rPr>
              <w:instrText xml:space="preserve"> PAGEREF _Toc54173262 \h </w:instrText>
            </w:r>
            <w:r w:rsidR="00E502BE" w:rsidRPr="003E1794">
              <w:rPr>
                <w:noProof/>
                <w:webHidden/>
                <w:sz w:val="28"/>
                <w:szCs w:val="28"/>
              </w:rPr>
            </w:r>
            <w:r w:rsidR="00E502BE" w:rsidRPr="003E1794">
              <w:rPr>
                <w:noProof/>
                <w:webHidden/>
                <w:sz w:val="28"/>
                <w:szCs w:val="28"/>
              </w:rPr>
              <w:fldChar w:fldCharType="separate"/>
            </w:r>
            <w:r w:rsidR="002F3AC9">
              <w:rPr>
                <w:noProof/>
                <w:webHidden/>
                <w:sz w:val="28"/>
                <w:szCs w:val="28"/>
              </w:rPr>
              <w:t>5</w:t>
            </w:r>
            <w:r w:rsidR="00E502BE" w:rsidRPr="003E1794">
              <w:rPr>
                <w:noProof/>
                <w:webHidden/>
                <w:sz w:val="28"/>
                <w:szCs w:val="28"/>
              </w:rPr>
              <w:fldChar w:fldCharType="end"/>
            </w:r>
          </w:hyperlink>
        </w:p>
        <w:p w14:paraId="2AA2C484" w14:textId="48EC1E5E" w:rsidR="00E502BE" w:rsidRPr="003E1794" w:rsidRDefault="004C0B3E">
          <w:pPr>
            <w:pStyle w:val="TOC2"/>
            <w:tabs>
              <w:tab w:val="right" w:leader="dot" w:pos="9010"/>
            </w:tabs>
            <w:rPr>
              <w:noProof/>
              <w:sz w:val="28"/>
              <w:szCs w:val="28"/>
            </w:rPr>
          </w:pPr>
          <w:hyperlink w:anchor="_Toc54173263" w:history="1">
            <w:r w:rsidR="00E502BE" w:rsidRPr="003E1794">
              <w:rPr>
                <w:rStyle w:val="Hyperlink"/>
                <w:b/>
                <w:bCs/>
                <w:noProof/>
                <w:sz w:val="28"/>
                <w:szCs w:val="28"/>
              </w:rPr>
              <w:t>The right to recognition before the law</w:t>
            </w:r>
            <w:r w:rsidR="00E502BE" w:rsidRPr="003E1794">
              <w:rPr>
                <w:noProof/>
                <w:webHidden/>
                <w:sz w:val="28"/>
                <w:szCs w:val="28"/>
              </w:rPr>
              <w:tab/>
            </w:r>
            <w:r w:rsidR="00E502BE" w:rsidRPr="003E1794">
              <w:rPr>
                <w:noProof/>
                <w:webHidden/>
                <w:sz w:val="28"/>
                <w:szCs w:val="28"/>
              </w:rPr>
              <w:fldChar w:fldCharType="begin"/>
            </w:r>
            <w:r w:rsidR="00E502BE" w:rsidRPr="003E1794">
              <w:rPr>
                <w:noProof/>
                <w:webHidden/>
                <w:sz w:val="28"/>
                <w:szCs w:val="28"/>
              </w:rPr>
              <w:instrText xml:space="preserve"> PAGEREF _Toc54173263 \h </w:instrText>
            </w:r>
            <w:r w:rsidR="00E502BE" w:rsidRPr="003E1794">
              <w:rPr>
                <w:noProof/>
                <w:webHidden/>
                <w:sz w:val="28"/>
                <w:szCs w:val="28"/>
              </w:rPr>
            </w:r>
            <w:r w:rsidR="00E502BE" w:rsidRPr="003E1794">
              <w:rPr>
                <w:noProof/>
                <w:webHidden/>
                <w:sz w:val="28"/>
                <w:szCs w:val="28"/>
              </w:rPr>
              <w:fldChar w:fldCharType="separate"/>
            </w:r>
            <w:r w:rsidR="002F3AC9">
              <w:rPr>
                <w:noProof/>
                <w:webHidden/>
                <w:sz w:val="28"/>
                <w:szCs w:val="28"/>
              </w:rPr>
              <w:t>5</w:t>
            </w:r>
            <w:r w:rsidR="00E502BE" w:rsidRPr="003E1794">
              <w:rPr>
                <w:noProof/>
                <w:webHidden/>
                <w:sz w:val="28"/>
                <w:szCs w:val="28"/>
              </w:rPr>
              <w:fldChar w:fldCharType="end"/>
            </w:r>
          </w:hyperlink>
        </w:p>
        <w:p w14:paraId="4159D019" w14:textId="6686B908" w:rsidR="00E502BE" w:rsidRPr="003E1794" w:rsidRDefault="004C0B3E">
          <w:pPr>
            <w:pStyle w:val="TOC2"/>
            <w:tabs>
              <w:tab w:val="right" w:leader="dot" w:pos="9010"/>
            </w:tabs>
            <w:rPr>
              <w:noProof/>
              <w:sz w:val="28"/>
              <w:szCs w:val="28"/>
            </w:rPr>
          </w:pPr>
          <w:hyperlink w:anchor="_Toc54173264" w:history="1">
            <w:r w:rsidR="00E502BE" w:rsidRPr="003E1794">
              <w:rPr>
                <w:rStyle w:val="Hyperlink"/>
                <w:b/>
                <w:bCs/>
                <w:noProof/>
                <w:sz w:val="28"/>
                <w:szCs w:val="28"/>
              </w:rPr>
              <w:t>The right to the highest attainable standard of health</w:t>
            </w:r>
            <w:r w:rsidR="00E502BE" w:rsidRPr="003E1794">
              <w:rPr>
                <w:noProof/>
                <w:webHidden/>
                <w:sz w:val="28"/>
                <w:szCs w:val="28"/>
              </w:rPr>
              <w:tab/>
            </w:r>
            <w:r w:rsidR="00E502BE" w:rsidRPr="003E1794">
              <w:rPr>
                <w:noProof/>
                <w:webHidden/>
                <w:sz w:val="28"/>
                <w:szCs w:val="28"/>
              </w:rPr>
              <w:fldChar w:fldCharType="begin"/>
            </w:r>
            <w:r w:rsidR="00E502BE" w:rsidRPr="003E1794">
              <w:rPr>
                <w:noProof/>
                <w:webHidden/>
                <w:sz w:val="28"/>
                <w:szCs w:val="28"/>
              </w:rPr>
              <w:instrText xml:space="preserve"> PAGEREF _Toc54173264 \h </w:instrText>
            </w:r>
            <w:r w:rsidR="00E502BE" w:rsidRPr="003E1794">
              <w:rPr>
                <w:noProof/>
                <w:webHidden/>
                <w:sz w:val="28"/>
                <w:szCs w:val="28"/>
              </w:rPr>
            </w:r>
            <w:r w:rsidR="00E502BE" w:rsidRPr="003E1794">
              <w:rPr>
                <w:noProof/>
                <w:webHidden/>
                <w:sz w:val="28"/>
                <w:szCs w:val="28"/>
              </w:rPr>
              <w:fldChar w:fldCharType="separate"/>
            </w:r>
            <w:r w:rsidR="002F3AC9">
              <w:rPr>
                <w:noProof/>
                <w:webHidden/>
                <w:sz w:val="28"/>
                <w:szCs w:val="28"/>
              </w:rPr>
              <w:t>6</w:t>
            </w:r>
            <w:r w:rsidR="00E502BE" w:rsidRPr="003E1794">
              <w:rPr>
                <w:noProof/>
                <w:webHidden/>
                <w:sz w:val="28"/>
                <w:szCs w:val="28"/>
              </w:rPr>
              <w:fldChar w:fldCharType="end"/>
            </w:r>
          </w:hyperlink>
        </w:p>
        <w:p w14:paraId="2D912840" w14:textId="05FA24F0" w:rsidR="00E502BE" w:rsidRPr="003E1794" w:rsidRDefault="004C0B3E">
          <w:pPr>
            <w:pStyle w:val="TOC2"/>
            <w:tabs>
              <w:tab w:val="right" w:leader="dot" w:pos="9010"/>
            </w:tabs>
            <w:rPr>
              <w:noProof/>
              <w:sz w:val="28"/>
              <w:szCs w:val="28"/>
            </w:rPr>
          </w:pPr>
          <w:hyperlink w:anchor="_Toc54173265" w:history="1">
            <w:r w:rsidR="00E502BE" w:rsidRPr="003E1794">
              <w:rPr>
                <w:rStyle w:val="Hyperlink"/>
                <w:b/>
                <w:bCs/>
                <w:noProof/>
                <w:sz w:val="28"/>
                <w:szCs w:val="28"/>
              </w:rPr>
              <w:t>The right to education</w:t>
            </w:r>
            <w:r w:rsidR="00E502BE" w:rsidRPr="003E1794">
              <w:rPr>
                <w:noProof/>
                <w:webHidden/>
                <w:sz w:val="28"/>
                <w:szCs w:val="28"/>
              </w:rPr>
              <w:tab/>
            </w:r>
            <w:r w:rsidR="00E502BE" w:rsidRPr="003E1794">
              <w:rPr>
                <w:noProof/>
                <w:webHidden/>
                <w:sz w:val="28"/>
                <w:szCs w:val="28"/>
              </w:rPr>
              <w:fldChar w:fldCharType="begin"/>
            </w:r>
            <w:r w:rsidR="00E502BE" w:rsidRPr="003E1794">
              <w:rPr>
                <w:noProof/>
                <w:webHidden/>
                <w:sz w:val="28"/>
                <w:szCs w:val="28"/>
              </w:rPr>
              <w:instrText xml:space="preserve"> PAGEREF _Toc54173265 \h </w:instrText>
            </w:r>
            <w:r w:rsidR="00E502BE" w:rsidRPr="003E1794">
              <w:rPr>
                <w:noProof/>
                <w:webHidden/>
                <w:sz w:val="28"/>
                <w:szCs w:val="28"/>
              </w:rPr>
            </w:r>
            <w:r w:rsidR="00E502BE" w:rsidRPr="003E1794">
              <w:rPr>
                <w:noProof/>
                <w:webHidden/>
                <w:sz w:val="28"/>
                <w:szCs w:val="28"/>
              </w:rPr>
              <w:fldChar w:fldCharType="separate"/>
            </w:r>
            <w:r w:rsidR="002F3AC9">
              <w:rPr>
                <w:noProof/>
                <w:webHidden/>
                <w:sz w:val="28"/>
                <w:szCs w:val="28"/>
              </w:rPr>
              <w:t>7</w:t>
            </w:r>
            <w:r w:rsidR="00E502BE" w:rsidRPr="003E1794">
              <w:rPr>
                <w:noProof/>
                <w:webHidden/>
                <w:sz w:val="28"/>
                <w:szCs w:val="28"/>
              </w:rPr>
              <w:fldChar w:fldCharType="end"/>
            </w:r>
          </w:hyperlink>
        </w:p>
        <w:p w14:paraId="34C1D892" w14:textId="6E0D5CCF" w:rsidR="00E502BE" w:rsidRPr="003E1794" w:rsidRDefault="004C0B3E">
          <w:pPr>
            <w:pStyle w:val="TOC2"/>
            <w:tabs>
              <w:tab w:val="right" w:leader="dot" w:pos="9010"/>
            </w:tabs>
            <w:rPr>
              <w:noProof/>
              <w:sz w:val="28"/>
              <w:szCs w:val="28"/>
            </w:rPr>
          </w:pPr>
          <w:hyperlink w:anchor="_Toc54173266" w:history="1">
            <w:r w:rsidR="00E502BE" w:rsidRPr="003E1794">
              <w:rPr>
                <w:rStyle w:val="Hyperlink"/>
                <w:b/>
                <w:bCs/>
                <w:noProof/>
                <w:sz w:val="28"/>
                <w:szCs w:val="28"/>
              </w:rPr>
              <w:t>The right to work</w:t>
            </w:r>
            <w:r w:rsidR="00E502BE" w:rsidRPr="003E1794">
              <w:rPr>
                <w:noProof/>
                <w:webHidden/>
                <w:sz w:val="28"/>
                <w:szCs w:val="28"/>
              </w:rPr>
              <w:tab/>
            </w:r>
            <w:r w:rsidR="00E502BE" w:rsidRPr="003E1794">
              <w:rPr>
                <w:noProof/>
                <w:webHidden/>
                <w:sz w:val="28"/>
                <w:szCs w:val="28"/>
              </w:rPr>
              <w:fldChar w:fldCharType="begin"/>
            </w:r>
            <w:r w:rsidR="00E502BE" w:rsidRPr="003E1794">
              <w:rPr>
                <w:noProof/>
                <w:webHidden/>
                <w:sz w:val="28"/>
                <w:szCs w:val="28"/>
              </w:rPr>
              <w:instrText xml:space="preserve"> PAGEREF _Toc54173266 \h </w:instrText>
            </w:r>
            <w:r w:rsidR="00E502BE" w:rsidRPr="003E1794">
              <w:rPr>
                <w:noProof/>
                <w:webHidden/>
                <w:sz w:val="28"/>
                <w:szCs w:val="28"/>
              </w:rPr>
            </w:r>
            <w:r w:rsidR="00E502BE" w:rsidRPr="003E1794">
              <w:rPr>
                <w:noProof/>
                <w:webHidden/>
                <w:sz w:val="28"/>
                <w:szCs w:val="28"/>
              </w:rPr>
              <w:fldChar w:fldCharType="separate"/>
            </w:r>
            <w:r w:rsidR="002F3AC9">
              <w:rPr>
                <w:noProof/>
                <w:webHidden/>
                <w:sz w:val="28"/>
                <w:szCs w:val="28"/>
              </w:rPr>
              <w:t>7</w:t>
            </w:r>
            <w:r w:rsidR="00E502BE" w:rsidRPr="003E1794">
              <w:rPr>
                <w:noProof/>
                <w:webHidden/>
                <w:sz w:val="28"/>
                <w:szCs w:val="28"/>
              </w:rPr>
              <w:fldChar w:fldCharType="end"/>
            </w:r>
          </w:hyperlink>
        </w:p>
        <w:p w14:paraId="0B9E3129" w14:textId="690B3326" w:rsidR="00E502BE" w:rsidRPr="003E1794" w:rsidRDefault="004C0B3E">
          <w:pPr>
            <w:pStyle w:val="TOC1"/>
            <w:tabs>
              <w:tab w:val="right" w:leader="dot" w:pos="9010"/>
            </w:tabs>
            <w:rPr>
              <w:noProof/>
              <w:sz w:val="28"/>
              <w:szCs w:val="28"/>
            </w:rPr>
          </w:pPr>
          <w:hyperlink w:anchor="_Toc54173267" w:history="1">
            <w:r w:rsidR="00E502BE" w:rsidRPr="003E1794">
              <w:rPr>
                <w:rStyle w:val="Hyperlink"/>
                <w:b/>
                <w:bCs/>
                <w:noProof/>
                <w:sz w:val="28"/>
                <w:szCs w:val="28"/>
                <w:lang w:val="en-US"/>
              </w:rPr>
              <w:t>Conclusion</w:t>
            </w:r>
            <w:r w:rsidR="00E502BE" w:rsidRPr="003E1794">
              <w:rPr>
                <w:noProof/>
                <w:webHidden/>
                <w:sz w:val="28"/>
                <w:szCs w:val="28"/>
              </w:rPr>
              <w:tab/>
            </w:r>
            <w:r w:rsidR="00E502BE" w:rsidRPr="003E1794">
              <w:rPr>
                <w:noProof/>
                <w:webHidden/>
                <w:sz w:val="28"/>
                <w:szCs w:val="28"/>
              </w:rPr>
              <w:fldChar w:fldCharType="begin"/>
            </w:r>
            <w:r w:rsidR="00E502BE" w:rsidRPr="003E1794">
              <w:rPr>
                <w:noProof/>
                <w:webHidden/>
                <w:sz w:val="28"/>
                <w:szCs w:val="28"/>
              </w:rPr>
              <w:instrText xml:space="preserve"> PAGEREF _Toc54173267 \h </w:instrText>
            </w:r>
            <w:r w:rsidR="00E502BE" w:rsidRPr="003E1794">
              <w:rPr>
                <w:noProof/>
                <w:webHidden/>
                <w:sz w:val="28"/>
                <w:szCs w:val="28"/>
              </w:rPr>
            </w:r>
            <w:r w:rsidR="00E502BE" w:rsidRPr="003E1794">
              <w:rPr>
                <w:noProof/>
                <w:webHidden/>
                <w:sz w:val="28"/>
                <w:szCs w:val="28"/>
              </w:rPr>
              <w:fldChar w:fldCharType="separate"/>
            </w:r>
            <w:r w:rsidR="002F3AC9">
              <w:rPr>
                <w:noProof/>
                <w:webHidden/>
                <w:sz w:val="28"/>
                <w:szCs w:val="28"/>
              </w:rPr>
              <w:t>8</w:t>
            </w:r>
            <w:r w:rsidR="00E502BE" w:rsidRPr="003E1794">
              <w:rPr>
                <w:noProof/>
                <w:webHidden/>
                <w:sz w:val="28"/>
                <w:szCs w:val="28"/>
              </w:rPr>
              <w:fldChar w:fldCharType="end"/>
            </w:r>
          </w:hyperlink>
        </w:p>
        <w:p w14:paraId="6FD212A4" w14:textId="1F13E632" w:rsidR="00E502BE" w:rsidRDefault="00E502BE">
          <w:r>
            <w:rPr>
              <w:b/>
              <w:bCs/>
              <w:noProof/>
            </w:rPr>
            <w:fldChar w:fldCharType="end"/>
          </w:r>
        </w:p>
      </w:sdtContent>
    </w:sdt>
    <w:p w14:paraId="2A82D4B7" w14:textId="663BF4DB" w:rsidR="00E502BE" w:rsidRPr="00E502BE" w:rsidRDefault="00E502BE" w:rsidP="00E502BE">
      <w:pPr>
        <w:pStyle w:val="Heading1"/>
        <w:rPr>
          <w:sz w:val="36"/>
          <w:szCs w:val="36"/>
        </w:rPr>
      </w:pPr>
      <w:r>
        <w:rPr>
          <w:sz w:val="36"/>
          <w:szCs w:val="36"/>
        </w:rPr>
        <w:br w:type="page"/>
      </w:r>
      <w:bookmarkStart w:id="3" w:name="_Toc34119884"/>
    </w:p>
    <w:p w14:paraId="782738DC" w14:textId="77777777" w:rsidR="00E502BE" w:rsidRPr="00FC233D" w:rsidRDefault="00E502BE" w:rsidP="00E502BE">
      <w:pPr>
        <w:pStyle w:val="Heading1"/>
        <w:rPr>
          <w:b/>
          <w:bCs/>
          <w:color w:val="auto"/>
          <w:lang w:val="en-US"/>
        </w:rPr>
      </w:pPr>
      <w:bookmarkStart w:id="4" w:name="_Toc54173258"/>
      <w:r w:rsidRPr="00FC233D">
        <w:rPr>
          <w:b/>
          <w:bCs/>
          <w:color w:val="auto"/>
          <w:lang w:val="en-US"/>
        </w:rPr>
        <w:t>Executive Summary</w:t>
      </w:r>
      <w:bookmarkEnd w:id="4"/>
    </w:p>
    <w:bookmarkEnd w:id="3"/>
    <w:p w14:paraId="13BD3B99" w14:textId="77777777" w:rsidR="00E502BE" w:rsidRDefault="00E502BE" w:rsidP="00E502BE">
      <w:pPr>
        <w:widowControl w:val="0"/>
        <w:suppressAutoHyphens/>
        <w:autoSpaceDE w:val="0"/>
        <w:autoSpaceDN w:val="0"/>
        <w:adjustRightInd w:val="0"/>
        <w:spacing w:after="0" w:line="270" w:lineRule="atLeast"/>
        <w:textAlignment w:val="center"/>
        <w:rPr>
          <w:rFonts w:ascii="Arial" w:hAnsi="Arial" w:cs="Arial"/>
          <w:color w:val="000000"/>
          <w:lang w:val="en-US"/>
        </w:rPr>
      </w:pPr>
    </w:p>
    <w:p w14:paraId="5DA410CE" w14:textId="77777777" w:rsidR="00E502BE" w:rsidRPr="00F26B5B" w:rsidRDefault="00E502BE" w:rsidP="00E502BE">
      <w:pPr>
        <w:widowControl w:val="0"/>
        <w:suppressAutoHyphens/>
        <w:autoSpaceDE w:val="0"/>
        <w:autoSpaceDN w:val="0"/>
        <w:adjustRightInd w:val="0"/>
        <w:spacing w:after="0" w:line="270" w:lineRule="atLeast"/>
        <w:textAlignment w:val="center"/>
        <w:rPr>
          <w:rFonts w:ascii="Arial" w:hAnsi="Arial" w:cs="Arial"/>
          <w:color w:val="000000"/>
          <w:sz w:val="24"/>
          <w:szCs w:val="24"/>
          <w:lang w:val="en-US"/>
        </w:rPr>
      </w:pPr>
      <w:r w:rsidRPr="00F26B5B">
        <w:rPr>
          <w:rFonts w:ascii="Arial" w:hAnsi="Arial" w:cs="Arial"/>
          <w:color w:val="000000"/>
          <w:sz w:val="24"/>
          <w:szCs w:val="24"/>
          <w:lang w:val="en-US"/>
        </w:rPr>
        <w:t>Prism explores six human rights issues relating to people with a diverse sexual orientation, gender identity and expression, and sex characteristics in Aotearoa New Zealand. While not exhaustive, this analysis reflects the voices of the SOGIESC-diverse people who attended the Commission’s consultation hui in 2018. The purpose of this paper is to introduce these six human rights issues and to assist in providing a baseline understanding for greater discussion and collaboration.</w:t>
      </w:r>
    </w:p>
    <w:p w14:paraId="7A259FD3" w14:textId="77777777" w:rsidR="00E502BE" w:rsidRPr="00F26B5B" w:rsidRDefault="00E502BE" w:rsidP="00E502BE">
      <w:pPr>
        <w:widowControl w:val="0"/>
        <w:suppressAutoHyphens/>
        <w:autoSpaceDE w:val="0"/>
        <w:autoSpaceDN w:val="0"/>
        <w:adjustRightInd w:val="0"/>
        <w:spacing w:after="0" w:line="270" w:lineRule="atLeast"/>
        <w:textAlignment w:val="center"/>
        <w:rPr>
          <w:rFonts w:ascii="Arial" w:hAnsi="Arial" w:cs="Arial"/>
          <w:color w:val="000000"/>
          <w:sz w:val="24"/>
          <w:szCs w:val="24"/>
          <w:lang w:val="en-US"/>
        </w:rPr>
      </w:pPr>
    </w:p>
    <w:p w14:paraId="10715E90" w14:textId="77777777" w:rsidR="00E502BE" w:rsidRPr="00F26B5B" w:rsidRDefault="00E502BE" w:rsidP="00E502BE">
      <w:pPr>
        <w:rPr>
          <w:rFonts w:ascii="Arial" w:eastAsia="Arial" w:hAnsi="Arial" w:cs="Arial"/>
          <w:sz w:val="24"/>
          <w:szCs w:val="24"/>
        </w:rPr>
      </w:pPr>
      <w:r w:rsidRPr="00F26B5B">
        <w:rPr>
          <w:rFonts w:ascii="Arial" w:hAnsi="Arial" w:cs="Arial"/>
          <w:color w:val="000000"/>
          <w:sz w:val="24"/>
          <w:szCs w:val="24"/>
          <w:lang w:val="en-US"/>
        </w:rPr>
        <w:t>Prism is an original contribution to the human rights landscape in Aotearoa New Zealand. It is not common for these rights to be discussed with explicit regard to people with a diverse sexual orientation, gender identity and expression, or sex characteristics. These rights are enshrined in international covenants, conventions, and declarations. All people, including SOGIESC-diverse people, are entitled to the full enjoyment of these rights.</w:t>
      </w:r>
    </w:p>
    <w:p w14:paraId="684565FE" w14:textId="77777777" w:rsidR="00E502BE" w:rsidRPr="001144AB" w:rsidRDefault="00E502BE" w:rsidP="00E502BE">
      <w:pPr>
        <w:rPr>
          <w:rFonts w:ascii="Arial" w:eastAsia="Arial" w:hAnsi="Arial" w:cs="Arial"/>
          <w:sz w:val="24"/>
          <w:szCs w:val="24"/>
        </w:rPr>
      </w:pPr>
    </w:p>
    <w:p w14:paraId="4966BD81" w14:textId="77777777" w:rsidR="00E502BE" w:rsidRPr="001144AB" w:rsidRDefault="00E502BE" w:rsidP="00E502BE">
      <w:pPr>
        <w:rPr>
          <w:rFonts w:ascii="Arial" w:eastAsia="Arial" w:hAnsi="Arial" w:cs="Arial"/>
          <w:sz w:val="24"/>
          <w:szCs w:val="24"/>
        </w:rPr>
      </w:pPr>
    </w:p>
    <w:p w14:paraId="0580DDDA" w14:textId="77777777" w:rsidR="00E502BE" w:rsidRDefault="00E502BE" w:rsidP="00E502BE">
      <w:pPr>
        <w:rPr>
          <w:rFonts w:ascii="Arial" w:eastAsia="Arial" w:hAnsi="Arial" w:cs="Arial"/>
          <w:sz w:val="24"/>
          <w:szCs w:val="24"/>
        </w:rPr>
      </w:pPr>
    </w:p>
    <w:p w14:paraId="3BCB9B75" w14:textId="77777777" w:rsidR="00E502BE" w:rsidRDefault="00E502BE" w:rsidP="00E502BE">
      <w:pPr>
        <w:rPr>
          <w:rFonts w:ascii="Arial" w:eastAsia="Arial" w:hAnsi="Arial" w:cs="Arial"/>
          <w:sz w:val="24"/>
          <w:szCs w:val="24"/>
        </w:rPr>
      </w:pPr>
    </w:p>
    <w:p w14:paraId="0D17B83D" w14:textId="77777777" w:rsidR="00E502BE" w:rsidRDefault="00E502BE" w:rsidP="00E502BE">
      <w:pPr>
        <w:rPr>
          <w:rFonts w:ascii="Arial" w:eastAsia="Arial" w:hAnsi="Arial" w:cs="Arial"/>
          <w:sz w:val="24"/>
          <w:szCs w:val="24"/>
        </w:rPr>
      </w:pPr>
    </w:p>
    <w:p w14:paraId="6203C2BE" w14:textId="77777777" w:rsidR="00E502BE" w:rsidRDefault="00E502BE" w:rsidP="00E502BE">
      <w:pPr>
        <w:rPr>
          <w:rFonts w:ascii="Arial" w:eastAsia="Arial" w:hAnsi="Arial" w:cs="Arial"/>
          <w:sz w:val="24"/>
          <w:szCs w:val="24"/>
        </w:rPr>
      </w:pPr>
    </w:p>
    <w:p w14:paraId="4552D0E9" w14:textId="77777777" w:rsidR="00E502BE" w:rsidRDefault="00E502BE" w:rsidP="00E502BE">
      <w:pPr>
        <w:rPr>
          <w:rFonts w:ascii="Arial" w:eastAsia="Arial" w:hAnsi="Arial" w:cs="Arial"/>
          <w:sz w:val="24"/>
          <w:szCs w:val="24"/>
        </w:rPr>
      </w:pPr>
    </w:p>
    <w:p w14:paraId="152544FA" w14:textId="77777777" w:rsidR="00E502BE" w:rsidRDefault="00E502BE" w:rsidP="00E502BE">
      <w:pPr>
        <w:rPr>
          <w:rFonts w:ascii="Arial" w:eastAsia="Arial" w:hAnsi="Arial" w:cs="Arial"/>
          <w:sz w:val="24"/>
          <w:szCs w:val="24"/>
        </w:rPr>
      </w:pPr>
    </w:p>
    <w:p w14:paraId="51D3E57D" w14:textId="77777777" w:rsidR="00E502BE" w:rsidRDefault="00E502BE" w:rsidP="00E502BE">
      <w:pPr>
        <w:rPr>
          <w:rFonts w:ascii="Arial" w:eastAsia="Arial" w:hAnsi="Arial" w:cs="Arial"/>
          <w:sz w:val="24"/>
          <w:szCs w:val="24"/>
        </w:rPr>
      </w:pPr>
    </w:p>
    <w:p w14:paraId="4917CEDE" w14:textId="77777777" w:rsidR="00E502BE" w:rsidRDefault="00E502BE" w:rsidP="00E502BE">
      <w:pPr>
        <w:rPr>
          <w:rFonts w:ascii="Arial" w:eastAsia="Arial" w:hAnsi="Arial" w:cs="Arial"/>
          <w:sz w:val="24"/>
          <w:szCs w:val="24"/>
        </w:rPr>
      </w:pPr>
    </w:p>
    <w:p w14:paraId="3167E80D" w14:textId="77777777" w:rsidR="00E502BE" w:rsidRDefault="00E502BE" w:rsidP="00E502BE">
      <w:pPr>
        <w:rPr>
          <w:rFonts w:ascii="Arial" w:eastAsia="Arial" w:hAnsi="Arial" w:cs="Arial"/>
          <w:sz w:val="24"/>
          <w:szCs w:val="24"/>
        </w:rPr>
      </w:pPr>
    </w:p>
    <w:p w14:paraId="7A3E068C" w14:textId="77777777" w:rsidR="00E502BE" w:rsidRDefault="00E502BE" w:rsidP="00E502BE">
      <w:pPr>
        <w:rPr>
          <w:rFonts w:ascii="Arial" w:eastAsia="Arial" w:hAnsi="Arial" w:cs="Arial"/>
          <w:sz w:val="24"/>
          <w:szCs w:val="24"/>
        </w:rPr>
      </w:pPr>
    </w:p>
    <w:p w14:paraId="388E222B" w14:textId="77777777" w:rsidR="00E502BE" w:rsidRDefault="00E502BE" w:rsidP="00E502BE">
      <w:pPr>
        <w:rPr>
          <w:rFonts w:ascii="Arial" w:eastAsia="Arial" w:hAnsi="Arial" w:cs="Arial"/>
          <w:sz w:val="24"/>
          <w:szCs w:val="24"/>
        </w:rPr>
      </w:pPr>
    </w:p>
    <w:p w14:paraId="3FC1A875" w14:textId="77777777" w:rsidR="00E502BE" w:rsidRDefault="00E502BE" w:rsidP="00E502BE">
      <w:pPr>
        <w:rPr>
          <w:rFonts w:ascii="Arial" w:eastAsia="Arial" w:hAnsi="Arial" w:cs="Arial"/>
          <w:sz w:val="24"/>
          <w:szCs w:val="24"/>
        </w:rPr>
      </w:pPr>
    </w:p>
    <w:p w14:paraId="03686C5F" w14:textId="77777777" w:rsidR="00E502BE" w:rsidRDefault="00E502BE" w:rsidP="00E502BE">
      <w:pPr>
        <w:rPr>
          <w:rFonts w:ascii="Arial" w:eastAsia="Arial" w:hAnsi="Arial" w:cs="Arial"/>
          <w:sz w:val="24"/>
          <w:szCs w:val="24"/>
        </w:rPr>
      </w:pPr>
    </w:p>
    <w:p w14:paraId="58122026" w14:textId="77777777" w:rsidR="00E502BE" w:rsidRDefault="00E502BE" w:rsidP="00E502BE">
      <w:pPr>
        <w:rPr>
          <w:rFonts w:ascii="Arial" w:eastAsia="Arial" w:hAnsi="Arial" w:cs="Arial"/>
          <w:sz w:val="24"/>
          <w:szCs w:val="24"/>
        </w:rPr>
      </w:pPr>
    </w:p>
    <w:p w14:paraId="4A682F04" w14:textId="77777777" w:rsidR="00E502BE" w:rsidRDefault="00E502BE" w:rsidP="00E502BE">
      <w:pPr>
        <w:rPr>
          <w:rFonts w:ascii="Arial" w:eastAsia="Arial" w:hAnsi="Arial" w:cs="Arial"/>
          <w:sz w:val="24"/>
          <w:szCs w:val="24"/>
        </w:rPr>
      </w:pPr>
      <w:r>
        <w:rPr>
          <w:rFonts w:ascii="Arial" w:eastAsia="Arial" w:hAnsi="Arial" w:cs="Arial"/>
          <w:sz w:val="24"/>
          <w:szCs w:val="24"/>
        </w:rPr>
        <w:br w:type="page"/>
      </w:r>
    </w:p>
    <w:p w14:paraId="19E084CC" w14:textId="77777777" w:rsidR="00E502BE" w:rsidRPr="00FC233D" w:rsidRDefault="00E502BE" w:rsidP="00E502BE">
      <w:pPr>
        <w:pStyle w:val="Heading1"/>
        <w:rPr>
          <w:b/>
          <w:bCs/>
          <w:color w:val="auto"/>
          <w:lang w:val="en-US"/>
        </w:rPr>
      </w:pPr>
      <w:bookmarkStart w:id="5" w:name="_Toc54173259"/>
      <w:r w:rsidRPr="00FC233D">
        <w:rPr>
          <w:b/>
          <w:bCs/>
          <w:color w:val="auto"/>
          <w:lang w:val="en-US"/>
        </w:rPr>
        <w:t>Summary of Findings</w:t>
      </w:r>
      <w:bookmarkEnd w:id="5"/>
    </w:p>
    <w:p w14:paraId="55533F81" w14:textId="77777777" w:rsidR="00E502BE" w:rsidRDefault="00E502BE" w:rsidP="00E502BE">
      <w:pPr>
        <w:widowControl w:val="0"/>
        <w:suppressAutoHyphens/>
        <w:autoSpaceDE w:val="0"/>
        <w:autoSpaceDN w:val="0"/>
        <w:adjustRightInd w:val="0"/>
        <w:spacing w:after="0" w:line="270" w:lineRule="atLeast"/>
        <w:textAlignment w:val="center"/>
        <w:rPr>
          <w:rFonts w:ascii="Arial" w:hAnsi="Arial" w:cs="Arial"/>
          <w:color w:val="000000"/>
          <w:lang w:val="en-US"/>
        </w:rPr>
      </w:pPr>
    </w:p>
    <w:p w14:paraId="75B816F2" w14:textId="77777777" w:rsidR="00E502BE" w:rsidRPr="006C5035" w:rsidRDefault="00E502BE" w:rsidP="00E502BE">
      <w:pPr>
        <w:pStyle w:val="BodyBullets"/>
        <w:ind w:left="0" w:firstLine="0"/>
        <w:rPr>
          <w:rFonts w:ascii="Arial" w:hAnsi="Arial" w:cs="Arial"/>
        </w:rPr>
      </w:pPr>
      <w:r w:rsidRPr="006C5035">
        <w:rPr>
          <w:rStyle w:val="Hyperlink"/>
          <w:rFonts w:ascii="Arial" w:hAnsi="Arial" w:cs="Arial"/>
        </w:rPr>
        <w:t>THE RIGHT TO FREEDOM FROM DISCRIMINATION (ARTICLE 2, UDHR)</w:t>
      </w:r>
    </w:p>
    <w:p w14:paraId="32552F03" w14:textId="77777777" w:rsidR="00E502BE" w:rsidRPr="00F26B5B" w:rsidRDefault="00E502BE" w:rsidP="00E502BE">
      <w:pPr>
        <w:pStyle w:val="BodyBullets"/>
        <w:rPr>
          <w:rFonts w:ascii="Arial" w:hAnsi="Arial" w:cs="Arial"/>
          <w:sz w:val="24"/>
          <w:szCs w:val="24"/>
        </w:rPr>
      </w:pPr>
      <w:r w:rsidRPr="006C5035">
        <w:rPr>
          <w:rFonts w:ascii="Arial" w:hAnsi="Arial" w:cs="Arial"/>
        </w:rPr>
        <w:t>•</w:t>
      </w:r>
      <w:r w:rsidRPr="006C5035">
        <w:rPr>
          <w:rFonts w:ascii="Arial" w:hAnsi="Arial" w:cs="Arial"/>
        </w:rPr>
        <w:tab/>
      </w:r>
      <w:r w:rsidRPr="00F26B5B">
        <w:rPr>
          <w:rFonts w:ascii="Arial" w:hAnsi="Arial" w:cs="Arial"/>
          <w:sz w:val="24"/>
          <w:szCs w:val="24"/>
        </w:rPr>
        <w:t>The Human Rights Act 1993 does not provide explicit legal protection from discrimination with regards to gender identity, gender expression, or sex characteristics.</w:t>
      </w:r>
    </w:p>
    <w:p w14:paraId="08F94B8D" w14:textId="77777777" w:rsidR="00E502BE" w:rsidRPr="00F26B5B" w:rsidRDefault="00E502BE" w:rsidP="00E502BE">
      <w:pPr>
        <w:pStyle w:val="BodyBullets"/>
        <w:rPr>
          <w:rFonts w:ascii="Arial" w:hAnsi="Arial" w:cs="Arial"/>
          <w:sz w:val="24"/>
          <w:szCs w:val="24"/>
        </w:rPr>
      </w:pPr>
      <w:r w:rsidRPr="00F26B5B">
        <w:rPr>
          <w:rFonts w:ascii="Arial" w:hAnsi="Arial" w:cs="Arial"/>
          <w:sz w:val="24"/>
          <w:szCs w:val="24"/>
        </w:rPr>
        <w:t>•</w:t>
      </w:r>
      <w:r w:rsidRPr="00F26B5B">
        <w:rPr>
          <w:rFonts w:ascii="Arial" w:hAnsi="Arial" w:cs="Arial"/>
          <w:sz w:val="24"/>
          <w:szCs w:val="24"/>
        </w:rPr>
        <w:tab/>
        <w:t>Overt and subtle forms of discrimination are widespread against people with an actual or perceived diverse SOGIESC, and they are more likely to become victims of crime.</w:t>
      </w:r>
    </w:p>
    <w:p w14:paraId="5ED4224F" w14:textId="77777777" w:rsidR="00E502BE" w:rsidRPr="00F26B5B" w:rsidRDefault="00E502BE" w:rsidP="00E502BE">
      <w:pPr>
        <w:pStyle w:val="BodyBullets"/>
        <w:rPr>
          <w:rFonts w:ascii="Arial" w:hAnsi="Arial" w:cs="Arial"/>
          <w:sz w:val="24"/>
          <w:szCs w:val="24"/>
        </w:rPr>
      </w:pPr>
    </w:p>
    <w:p w14:paraId="0B35127C" w14:textId="77777777" w:rsidR="00E502BE" w:rsidRPr="006C5035" w:rsidRDefault="00E502BE" w:rsidP="00E502BE">
      <w:pPr>
        <w:pStyle w:val="BodyBullets"/>
        <w:ind w:left="0" w:firstLine="0"/>
        <w:rPr>
          <w:rFonts w:ascii="Arial" w:hAnsi="Arial" w:cs="Arial"/>
        </w:rPr>
      </w:pPr>
      <w:r w:rsidRPr="006C5035">
        <w:rPr>
          <w:rStyle w:val="Hyperlink"/>
          <w:rFonts w:ascii="Arial" w:hAnsi="Arial" w:cs="Arial"/>
        </w:rPr>
        <w:t>THE RIGHT TO INFORMATION (ARTICLE 19, UDHR)</w:t>
      </w:r>
    </w:p>
    <w:p w14:paraId="0E12D419" w14:textId="77777777" w:rsidR="00E502BE" w:rsidRPr="00F26B5B" w:rsidRDefault="00E502BE" w:rsidP="00E502BE">
      <w:pPr>
        <w:pStyle w:val="BodyBullets"/>
        <w:rPr>
          <w:rFonts w:ascii="Arial" w:hAnsi="Arial" w:cs="Arial"/>
          <w:sz w:val="24"/>
          <w:szCs w:val="24"/>
        </w:rPr>
      </w:pPr>
      <w:r w:rsidRPr="006C5035">
        <w:rPr>
          <w:rFonts w:ascii="Arial" w:hAnsi="Arial" w:cs="Arial"/>
        </w:rPr>
        <w:t>•</w:t>
      </w:r>
      <w:r w:rsidRPr="006C5035">
        <w:rPr>
          <w:rFonts w:ascii="Arial" w:hAnsi="Arial" w:cs="Arial"/>
        </w:rPr>
        <w:tab/>
      </w:r>
      <w:r w:rsidRPr="00F26B5B">
        <w:rPr>
          <w:rFonts w:ascii="Arial" w:hAnsi="Arial" w:cs="Arial"/>
          <w:sz w:val="24"/>
          <w:szCs w:val="24"/>
        </w:rPr>
        <w:t>Unmet information needs are a considerable obstacle for the identification and resolution of issues concerning people with a diverse SOGIESC.</w:t>
      </w:r>
    </w:p>
    <w:p w14:paraId="035F8DA4" w14:textId="77777777" w:rsidR="00E502BE" w:rsidRPr="00F26B5B" w:rsidRDefault="00E502BE" w:rsidP="00E502BE">
      <w:pPr>
        <w:pStyle w:val="BodyBullets"/>
        <w:rPr>
          <w:rFonts w:ascii="Arial" w:hAnsi="Arial" w:cs="Arial"/>
          <w:sz w:val="24"/>
          <w:szCs w:val="24"/>
        </w:rPr>
      </w:pPr>
      <w:r w:rsidRPr="00F26B5B">
        <w:rPr>
          <w:rFonts w:ascii="Arial" w:hAnsi="Arial" w:cs="Arial"/>
          <w:sz w:val="24"/>
          <w:szCs w:val="24"/>
        </w:rPr>
        <w:t>•</w:t>
      </w:r>
      <w:r w:rsidRPr="00F26B5B">
        <w:rPr>
          <w:rFonts w:ascii="Arial" w:hAnsi="Arial" w:cs="Arial"/>
          <w:sz w:val="24"/>
          <w:szCs w:val="24"/>
        </w:rPr>
        <w:tab/>
        <w:t>Data collection does not currently reflect a human rights-based approach. This is particularly clear in response options that limit diverse answers and the ability of SOGIESC-diverse people to be counted.</w:t>
      </w:r>
    </w:p>
    <w:p w14:paraId="03C975CB" w14:textId="77777777" w:rsidR="00E502BE" w:rsidRPr="006C5035" w:rsidRDefault="00E502BE" w:rsidP="00E502BE">
      <w:pPr>
        <w:pStyle w:val="BodyBullets"/>
        <w:rPr>
          <w:rFonts w:ascii="Arial" w:hAnsi="Arial" w:cs="Arial"/>
        </w:rPr>
      </w:pPr>
    </w:p>
    <w:p w14:paraId="62B89C79" w14:textId="77777777" w:rsidR="00E502BE" w:rsidRPr="006C5035" w:rsidRDefault="00E502BE" w:rsidP="00E502BE">
      <w:pPr>
        <w:pStyle w:val="BodyBullets"/>
        <w:ind w:left="0" w:firstLine="0"/>
        <w:rPr>
          <w:rFonts w:ascii="Arial" w:hAnsi="Arial" w:cs="Arial"/>
        </w:rPr>
      </w:pPr>
      <w:r w:rsidRPr="006C5035">
        <w:rPr>
          <w:rStyle w:val="Hyperlink"/>
          <w:rFonts w:ascii="Arial" w:hAnsi="Arial" w:cs="Arial"/>
        </w:rPr>
        <w:t>THE RIGHT TO RECOGNITION BEFORE THE LAW (ARTICLE 16, ICCPR)</w:t>
      </w:r>
    </w:p>
    <w:p w14:paraId="5F57C2D8" w14:textId="77777777" w:rsidR="00E502BE" w:rsidRPr="00F26B5B" w:rsidRDefault="00E502BE" w:rsidP="00E502BE">
      <w:pPr>
        <w:pStyle w:val="BodyBullets"/>
        <w:rPr>
          <w:rFonts w:ascii="Arial" w:hAnsi="Arial" w:cs="Arial"/>
          <w:sz w:val="24"/>
          <w:szCs w:val="24"/>
        </w:rPr>
      </w:pPr>
      <w:r w:rsidRPr="006C5035">
        <w:rPr>
          <w:rFonts w:ascii="Arial" w:hAnsi="Arial" w:cs="Arial"/>
        </w:rPr>
        <w:t>•</w:t>
      </w:r>
      <w:r w:rsidRPr="006C5035">
        <w:rPr>
          <w:rFonts w:ascii="Arial" w:hAnsi="Arial" w:cs="Arial"/>
        </w:rPr>
        <w:tab/>
      </w:r>
      <w:r w:rsidRPr="00F26B5B">
        <w:rPr>
          <w:rFonts w:ascii="Arial" w:hAnsi="Arial" w:cs="Arial"/>
          <w:sz w:val="24"/>
          <w:szCs w:val="24"/>
        </w:rPr>
        <w:t>New Zealand’s official identity documents contain sex/gender information which can be difficult to correct for transgender, non-binary, and intersex people.</w:t>
      </w:r>
    </w:p>
    <w:p w14:paraId="44DAC018" w14:textId="77777777" w:rsidR="00E502BE" w:rsidRPr="00F26B5B" w:rsidRDefault="00E502BE" w:rsidP="00E502BE">
      <w:pPr>
        <w:pStyle w:val="BodyBullets"/>
        <w:rPr>
          <w:rFonts w:ascii="Arial" w:hAnsi="Arial" w:cs="Arial"/>
          <w:sz w:val="24"/>
          <w:szCs w:val="24"/>
        </w:rPr>
      </w:pPr>
      <w:r w:rsidRPr="00F26B5B">
        <w:rPr>
          <w:rFonts w:ascii="Arial" w:hAnsi="Arial" w:cs="Arial"/>
          <w:sz w:val="24"/>
          <w:szCs w:val="24"/>
        </w:rPr>
        <w:t>•</w:t>
      </w:r>
      <w:r w:rsidRPr="00F26B5B">
        <w:rPr>
          <w:rFonts w:ascii="Arial" w:hAnsi="Arial" w:cs="Arial"/>
          <w:sz w:val="24"/>
          <w:szCs w:val="24"/>
        </w:rPr>
        <w:tab/>
        <w:t xml:space="preserve">The human rights principle of self-declaration for identity documents is not yet fully implemented; it applies for passport and drivers’ </w:t>
      </w:r>
      <w:proofErr w:type="spellStart"/>
      <w:r w:rsidRPr="00F26B5B">
        <w:rPr>
          <w:rFonts w:ascii="Arial" w:hAnsi="Arial" w:cs="Arial"/>
          <w:sz w:val="24"/>
          <w:szCs w:val="24"/>
        </w:rPr>
        <w:t>licence</w:t>
      </w:r>
      <w:proofErr w:type="spellEnd"/>
      <w:r w:rsidRPr="00F26B5B">
        <w:rPr>
          <w:rFonts w:ascii="Arial" w:hAnsi="Arial" w:cs="Arial"/>
          <w:sz w:val="24"/>
          <w:szCs w:val="24"/>
        </w:rPr>
        <w:t xml:space="preserve"> records but not for birth certificates.</w:t>
      </w:r>
    </w:p>
    <w:p w14:paraId="17083A94" w14:textId="77777777" w:rsidR="00E502BE" w:rsidRPr="00F26B5B" w:rsidRDefault="00E502BE" w:rsidP="00E502BE">
      <w:pPr>
        <w:pStyle w:val="BodyBullets"/>
        <w:rPr>
          <w:rFonts w:ascii="Arial" w:hAnsi="Arial" w:cs="Arial"/>
          <w:sz w:val="24"/>
          <w:szCs w:val="24"/>
        </w:rPr>
      </w:pPr>
      <w:r w:rsidRPr="00F26B5B">
        <w:rPr>
          <w:rFonts w:ascii="Arial" w:hAnsi="Arial" w:cs="Arial"/>
          <w:sz w:val="24"/>
          <w:szCs w:val="24"/>
        </w:rPr>
        <w:t>•</w:t>
      </w:r>
      <w:r w:rsidRPr="00F26B5B">
        <w:rPr>
          <w:rFonts w:ascii="Arial" w:hAnsi="Arial" w:cs="Arial"/>
          <w:sz w:val="24"/>
          <w:szCs w:val="24"/>
        </w:rPr>
        <w:tab/>
        <w:t>The current process to amend sex on a birth certificate requires meeting a medical threshold and the involvement of the Family Court, presenting barriers to having a child, enrolling in school, getting married, and other areas of life.</w:t>
      </w:r>
    </w:p>
    <w:p w14:paraId="31BBFBC9" w14:textId="77777777" w:rsidR="00E502BE" w:rsidRPr="006C5035" w:rsidRDefault="00E502BE" w:rsidP="00E502BE">
      <w:pPr>
        <w:pStyle w:val="BodyBullets"/>
        <w:rPr>
          <w:rFonts w:ascii="Arial" w:hAnsi="Arial" w:cs="Arial"/>
        </w:rPr>
      </w:pPr>
    </w:p>
    <w:p w14:paraId="13B71475" w14:textId="77777777" w:rsidR="00E502BE" w:rsidRPr="006C5035" w:rsidRDefault="00E502BE" w:rsidP="00E502BE">
      <w:pPr>
        <w:pStyle w:val="BodyBullets"/>
        <w:ind w:left="0" w:firstLine="0"/>
        <w:rPr>
          <w:rFonts w:ascii="Arial" w:hAnsi="Arial" w:cs="Arial"/>
        </w:rPr>
      </w:pPr>
      <w:r w:rsidRPr="006C5035">
        <w:rPr>
          <w:rStyle w:val="Hyperlink"/>
          <w:rFonts w:ascii="Arial" w:hAnsi="Arial" w:cs="Arial"/>
        </w:rPr>
        <w:t>THE RIGHT TO THE HIGHEST ATTAINABLE STANDARD OF HEALTH (ARTICLE 12, ICESCR)</w:t>
      </w:r>
    </w:p>
    <w:p w14:paraId="71987616" w14:textId="77777777" w:rsidR="00E502BE" w:rsidRPr="00F26B5B" w:rsidRDefault="00E502BE" w:rsidP="00E502BE">
      <w:pPr>
        <w:pStyle w:val="BodyBullets"/>
        <w:rPr>
          <w:rFonts w:ascii="Arial" w:hAnsi="Arial" w:cs="Arial"/>
          <w:sz w:val="24"/>
          <w:szCs w:val="24"/>
        </w:rPr>
      </w:pPr>
      <w:r w:rsidRPr="006C5035">
        <w:rPr>
          <w:rFonts w:ascii="Arial" w:hAnsi="Arial" w:cs="Arial"/>
        </w:rPr>
        <w:t>•</w:t>
      </w:r>
      <w:r w:rsidRPr="006C5035">
        <w:rPr>
          <w:rFonts w:ascii="Arial" w:hAnsi="Arial" w:cs="Arial"/>
        </w:rPr>
        <w:tab/>
      </w:r>
      <w:r w:rsidRPr="00F26B5B">
        <w:rPr>
          <w:rFonts w:ascii="Arial" w:hAnsi="Arial" w:cs="Arial"/>
          <w:sz w:val="24"/>
          <w:szCs w:val="24"/>
        </w:rPr>
        <w:t>Surgical interventions not required for the preservation of life continue to be performed on people with diverse sex characteristics before an age at which they can consent to these procedures.</w:t>
      </w:r>
    </w:p>
    <w:p w14:paraId="00F722EE" w14:textId="77777777" w:rsidR="00E502BE" w:rsidRPr="00F26B5B" w:rsidRDefault="00E502BE" w:rsidP="00E502BE">
      <w:pPr>
        <w:pStyle w:val="BodyBullets"/>
        <w:rPr>
          <w:rFonts w:ascii="Arial" w:hAnsi="Arial" w:cs="Arial"/>
          <w:sz w:val="24"/>
          <w:szCs w:val="24"/>
        </w:rPr>
      </w:pPr>
      <w:r w:rsidRPr="00F26B5B">
        <w:rPr>
          <w:rFonts w:ascii="Arial" w:hAnsi="Arial" w:cs="Arial"/>
          <w:sz w:val="24"/>
          <w:szCs w:val="24"/>
        </w:rPr>
        <w:t>•</w:t>
      </w:r>
      <w:r w:rsidRPr="00F26B5B">
        <w:rPr>
          <w:rFonts w:ascii="Arial" w:hAnsi="Arial" w:cs="Arial"/>
          <w:sz w:val="24"/>
          <w:szCs w:val="24"/>
        </w:rPr>
        <w:tab/>
        <w:t>People with a diverse SOGIESC have poorer physical and mental health outcomes than the general population.</w:t>
      </w:r>
    </w:p>
    <w:p w14:paraId="2403BE88" w14:textId="77777777" w:rsidR="00E502BE" w:rsidRPr="00F26B5B" w:rsidRDefault="00E502BE" w:rsidP="00E502BE">
      <w:pPr>
        <w:pStyle w:val="BodyBullets"/>
        <w:rPr>
          <w:rFonts w:ascii="Arial" w:hAnsi="Arial" w:cs="Arial"/>
          <w:sz w:val="24"/>
          <w:szCs w:val="24"/>
        </w:rPr>
      </w:pPr>
      <w:r w:rsidRPr="00F26B5B">
        <w:rPr>
          <w:rFonts w:ascii="Arial" w:hAnsi="Arial" w:cs="Arial"/>
          <w:sz w:val="24"/>
          <w:szCs w:val="24"/>
        </w:rPr>
        <w:t>•</w:t>
      </w:r>
      <w:r w:rsidRPr="00F26B5B">
        <w:rPr>
          <w:rFonts w:ascii="Arial" w:hAnsi="Arial" w:cs="Arial"/>
          <w:sz w:val="24"/>
          <w:szCs w:val="24"/>
        </w:rPr>
        <w:tab/>
        <w:t>Healthcare practitioners and providers often lack the training to meet the needs of SOGIESC-diverse service users.</w:t>
      </w:r>
    </w:p>
    <w:p w14:paraId="3EB1387B" w14:textId="77777777" w:rsidR="00E502BE" w:rsidRPr="00F26B5B" w:rsidRDefault="00E502BE" w:rsidP="00E502BE">
      <w:pPr>
        <w:pStyle w:val="BodyBullets"/>
        <w:rPr>
          <w:rFonts w:ascii="Arial" w:hAnsi="Arial" w:cs="Arial"/>
          <w:sz w:val="24"/>
          <w:szCs w:val="24"/>
        </w:rPr>
      </w:pPr>
      <w:r w:rsidRPr="00F26B5B">
        <w:rPr>
          <w:rFonts w:ascii="Arial" w:hAnsi="Arial" w:cs="Arial"/>
          <w:sz w:val="24"/>
          <w:szCs w:val="24"/>
        </w:rPr>
        <w:t>•</w:t>
      </w:r>
      <w:r w:rsidRPr="00F26B5B">
        <w:rPr>
          <w:rFonts w:ascii="Arial" w:hAnsi="Arial" w:cs="Arial"/>
          <w:sz w:val="24"/>
          <w:szCs w:val="24"/>
        </w:rPr>
        <w:tab/>
        <w:t>Gender affirming healthcare is difficult to access and highly dependent on geographical residence.</w:t>
      </w:r>
    </w:p>
    <w:p w14:paraId="2FD09A31" w14:textId="77777777" w:rsidR="00E502BE" w:rsidRPr="006C5035" w:rsidRDefault="00E502BE" w:rsidP="00E502BE">
      <w:pPr>
        <w:pStyle w:val="BodyBullets"/>
        <w:rPr>
          <w:rFonts w:ascii="Arial" w:hAnsi="Arial" w:cs="Arial"/>
        </w:rPr>
      </w:pPr>
    </w:p>
    <w:p w14:paraId="70B82150" w14:textId="77777777" w:rsidR="00E502BE" w:rsidRPr="006C5035" w:rsidRDefault="00E502BE" w:rsidP="00E502BE">
      <w:pPr>
        <w:pStyle w:val="BodyBullets"/>
        <w:ind w:left="0" w:firstLine="0"/>
        <w:rPr>
          <w:rStyle w:val="Hyperlink"/>
          <w:rFonts w:ascii="Arial" w:hAnsi="Arial" w:cs="Arial"/>
        </w:rPr>
      </w:pPr>
      <w:r w:rsidRPr="006C5035">
        <w:rPr>
          <w:rStyle w:val="Hyperlink"/>
          <w:rFonts w:ascii="Arial" w:hAnsi="Arial" w:cs="Arial"/>
          <w:spacing w:val="-2"/>
        </w:rPr>
        <w:t>THE RIGHT TO EDUCATION (ARTICLE 26, UDHR)</w:t>
      </w:r>
    </w:p>
    <w:p w14:paraId="62E30042" w14:textId="77777777" w:rsidR="00E502BE" w:rsidRPr="00F26B5B" w:rsidRDefault="00E502BE" w:rsidP="00E502BE">
      <w:pPr>
        <w:pStyle w:val="BodyBullets"/>
        <w:rPr>
          <w:rFonts w:ascii="Arial" w:hAnsi="Arial" w:cs="Arial"/>
          <w:sz w:val="24"/>
          <w:szCs w:val="24"/>
        </w:rPr>
      </w:pPr>
      <w:r w:rsidRPr="006C5035">
        <w:rPr>
          <w:rFonts w:ascii="Arial" w:hAnsi="Arial" w:cs="Arial"/>
        </w:rPr>
        <w:t>•</w:t>
      </w:r>
      <w:r w:rsidRPr="006C5035">
        <w:rPr>
          <w:rFonts w:ascii="Arial" w:hAnsi="Arial" w:cs="Arial"/>
        </w:rPr>
        <w:tab/>
      </w:r>
      <w:r w:rsidRPr="00F26B5B">
        <w:rPr>
          <w:rFonts w:ascii="Arial" w:hAnsi="Arial" w:cs="Arial"/>
          <w:sz w:val="24"/>
          <w:szCs w:val="24"/>
        </w:rPr>
        <w:t>Young people have a right to learn about diversity in SOGIESC. The New Zealand Curriculum allows for such learning within health education, but this is not adequately integrated into practice in schools.</w:t>
      </w:r>
    </w:p>
    <w:p w14:paraId="398DCA1B" w14:textId="77777777" w:rsidR="00E502BE" w:rsidRPr="00F26B5B" w:rsidRDefault="00E502BE" w:rsidP="00E502BE">
      <w:pPr>
        <w:pStyle w:val="BodyBullets"/>
        <w:rPr>
          <w:rFonts w:ascii="Arial" w:hAnsi="Arial" w:cs="Arial"/>
          <w:sz w:val="24"/>
          <w:szCs w:val="24"/>
        </w:rPr>
      </w:pPr>
      <w:r w:rsidRPr="00F26B5B">
        <w:rPr>
          <w:rFonts w:ascii="Arial" w:hAnsi="Arial" w:cs="Arial"/>
          <w:sz w:val="24"/>
          <w:szCs w:val="24"/>
        </w:rPr>
        <w:t>•</w:t>
      </w:r>
      <w:r w:rsidRPr="00F26B5B">
        <w:rPr>
          <w:rFonts w:ascii="Arial" w:hAnsi="Arial" w:cs="Arial"/>
          <w:sz w:val="24"/>
          <w:szCs w:val="24"/>
        </w:rPr>
        <w:tab/>
        <w:t>For youth with a diverse SOGIESC, school is often not a safe environment in which they can thrive and learn.</w:t>
      </w:r>
    </w:p>
    <w:p w14:paraId="0F8F3764" w14:textId="77777777" w:rsidR="00E502BE" w:rsidRPr="00F26B5B" w:rsidRDefault="00E502BE" w:rsidP="00E502BE">
      <w:pPr>
        <w:pStyle w:val="BodyBullets"/>
        <w:rPr>
          <w:rFonts w:ascii="Arial" w:hAnsi="Arial" w:cs="Arial"/>
          <w:sz w:val="24"/>
          <w:szCs w:val="24"/>
        </w:rPr>
      </w:pPr>
      <w:r w:rsidRPr="00F26B5B">
        <w:rPr>
          <w:rFonts w:ascii="Arial" w:hAnsi="Arial" w:cs="Arial"/>
          <w:sz w:val="24"/>
          <w:szCs w:val="24"/>
        </w:rPr>
        <w:t>•</w:t>
      </w:r>
      <w:r w:rsidRPr="00F26B5B">
        <w:rPr>
          <w:rFonts w:ascii="Arial" w:hAnsi="Arial" w:cs="Arial"/>
          <w:sz w:val="24"/>
          <w:szCs w:val="24"/>
        </w:rPr>
        <w:tab/>
        <w:t xml:space="preserve">Youth </w:t>
      </w:r>
      <w:r w:rsidRPr="00F26B5B">
        <w:rPr>
          <w:rFonts w:ascii="Arial" w:hAnsi="Arial" w:cs="Arial"/>
          <w:color w:val="auto"/>
          <w:sz w:val="24"/>
          <w:szCs w:val="24"/>
          <w:lang w:val="en-NZ"/>
        </w:rPr>
        <w:t>with a diverse</w:t>
      </w:r>
      <w:r w:rsidRPr="00F26B5B">
        <w:rPr>
          <w:rFonts w:ascii="Arial" w:hAnsi="Arial" w:cs="Arial"/>
          <w:sz w:val="24"/>
          <w:szCs w:val="24"/>
        </w:rPr>
        <w:t xml:space="preserve"> sexual orientation or gender identity are, respectively, three and four-and-a-half times as likely as other students to be bullied.</w:t>
      </w:r>
    </w:p>
    <w:p w14:paraId="044CB90B" w14:textId="77777777" w:rsidR="00E502BE" w:rsidRPr="00F26B5B" w:rsidRDefault="00E502BE" w:rsidP="00E502BE">
      <w:pPr>
        <w:pStyle w:val="BodyBullets"/>
        <w:rPr>
          <w:rFonts w:ascii="Arial" w:hAnsi="Arial" w:cs="Arial"/>
          <w:sz w:val="24"/>
          <w:szCs w:val="24"/>
        </w:rPr>
      </w:pPr>
    </w:p>
    <w:p w14:paraId="0E6399F0" w14:textId="77777777" w:rsidR="00E502BE" w:rsidRPr="006C5035" w:rsidRDefault="00E502BE" w:rsidP="00E502BE">
      <w:pPr>
        <w:pStyle w:val="BodyBullets"/>
        <w:ind w:left="0" w:firstLine="0"/>
        <w:rPr>
          <w:rStyle w:val="Hyperlink"/>
          <w:rFonts w:ascii="Arial" w:hAnsi="Arial" w:cs="Arial"/>
        </w:rPr>
      </w:pPr>
      <w:r w:rsidRPr="006C5035">
        <w:rPr>
          <w:rStyle w:val="Hyperlink"/>
          <w:rFonts w:ascii="Arial" w:hAnsi="Arial" w:cs="Arial"/>
        </w:rPr>
        <w:t>THE RIGHT TO WORK (ARTICLE 23, UDHR)</w:t>
      </w:r>
    </w:p>
    <w:p w14:paraId="1E1555D8" w14:textId="77777777" w:rsidR="00E502BE" w:rsidRPr="00F26B5B" w:rsidRDefault="00E502BE" w:rsidP="00E502BE">
      <w:pPr>
        <w:pStyle w:val="BodyBullets"/>
        <w:rPr>
          <w:rFonts w:ascii="Arial" w:hAnsi="Arial" w:cs="Arial"/>
          <w:sz w:val="24"/>
          <w:szCs w:val="24"/>
        </w:rPr>
      </w:pPr>
      <w:r w:rsidRPr="006C5035">
        <w:rPr>
          <w:rFonts w:ascii="Arial" w:hAnsi="Arial" w:cs="Arial"/>
        </w:rPr>
        <w:t>•</w:t>
      </w:r>
      <w:r w:rsidRPr="006C5035">
        <w:rPr>
          <w:rFonts w:ascii="Arial" w:hAnsi="Arial" w:cs="Arial"/>
        </w:rPr>
        <w:tab/>
      </w:r>
      <w:r w:rsidRPr="00F26B5B">
        <w:rPr>
          <w:rFonts w:ascii="Arial" w:hAnsi="Arial" w:cs="Arial"/>
          <w:color w:val="auto"/>
          <w:sz w:val="24"/>
          <w:szCs w:val="24"/>
          <w:lang w:val="en-NZ"/>
        </w:rPr>
        <w:t>People with a diverse</w:t>
      </w:r>
      <w:r w:rsidRPr="00F26B5B">
        <w:rPr>
          <w:rFonts w:ascii="Arial" w:hAnsi="Arial" w:cs="Arial"/>
          <w:sz w:val="24"/>
          <w:szCs w:val="24"/>
        </w:rPr>
        <w:t xml:space="preserve"> SOGIESC experience discrimination and bullying in the workplace.</w:t>
      </w:r>
    </w:p>
    <w:p w14:paraId="338B0826" w14:textId="77777777" w:rsidR="00E502BE" w:rsidRPr="00F26B5B" w:rsidRDefault="00E502BE" w:rsidP="00E502BE">
      <w:pPr>
        <w:pStyle w:val="BodyBullets"/>
        <w:rPr>
          <w:sz w:val="24"/>
          <w:szCs w:val="24"/>
        </w:rPr>
      </w:pPr>
      <w:r w:rsidRPr="00F26B5B">
        <w:rPr>
          <w:rFonts w:ascii="Arial" w:hAnsi="Arial" w:cs="Arial"/>
          <w:sz w:val="24"/>
          <w:szCs w:val="24"/>
        </w:rPr>
        <w:t>•</w:t>
      </w:r>
      <w:r w:rsidRPr="00F26B5B">
        <w:rPr>
          <w:rFonts w:ascii="Arial" w:hAnsi="Arial" w:cs="Arial"/>
          <w:sz w:val="24"/>
          <w:szCs w:val="24"/>
        </w:rPr>
        <w:tab/>
        <w:t>The most common complaint received by the Human Rights Commission on the ground of sexual orientation is related to discrimination in employment.</w:t>
      </w:r>
      <w:r w:rsidRPr="00F26B5B">
        <w:rPr>
          <w:sz w:val="24"/>
          <w:szCs w:val="24"/>
        </w:rPr>
        <w:t xml:space="preserve"> </w:t>
      </w:r>
    </w:p>
    <w:p w14:paraId="77C47AFC" w14:textId="77777777" w:rsidR="00E502BE" w:rsidRPr="00F26B5B" w:rsidRDefault="00E502BE" w:rsidP="00E502BE">
      <w:pPr>
        <w:pStyle w:val="BodyBullets"/>
        <w:rPr>
          <w:rFonts w:ascii="Arial" w:hAnsi="Arial" w:cs="Arial"/>
          <w:sz w:val="24"/>
          <w:szCs w:val="24"/>
        </w:rPr>
      </w:pPr>
      <w:r w:rsidRPr="00F26B5B">
        <w:rPr>
          <w:rFonts w:ascii="Arial" w:hAnsi="Arial" w:cs="Arial"/>
          <w:sz w:val="24"/>
          <w:szCs w:val="24"/>
        </w:rPr>
        <w:t>•</w:t>
      </w:r>
      <w:r w:rsidRPr="00F26B5B">
        <w:rPr>
          <w:rFonts w:ascii="Arial" w:hAnsi="Arial" w:cs="Arial"/>
          <w:sz w:val="24"/>
          <w:szCs w:val="24"/>
        </w:rPr>
        <w:tab/>
        <w:t>A significant percentage of people with a diverse SOGIESC do not feel safe enough or fear discrimination at work or when applying for jobs. They often conceal their identities or partners for fear of discrimination if these details are disclosed to others in their work environments.</w:t>
      </w:r>
    </w:p>
    <w:p w14:paraId="47AF05F0" w14:textId="77777777" w:rsidR="00E502BE" w:rsidRDefault="00E502BE" w:rsidP="00E502BE">
      <w:pPr>
        <w:rPr>
          <w:rFonts w:ascii="Arial" w:hAnsi="Arial" w:cs="Arial"/>
        </w:rPr>
      </w:pPr>
      <w:r>
        <w:rPr>
          <w:rFonts w:ascii="Arial" w:hAnsi="Arial" w:cs="Arial"/>
        </w:rPr>
        <w:br w:type="page"/>
      </w:r>
    </w:p>
    <w:p w14:paraId="2083B3B6" w14:textId="77777777" w:rsidR="00E502BE" w:rsidRPr="00FC233D" w:rsidRDefault="00E502BE" w:rsidP="00E502BE">
      <w:pPr>
        <w:pStyle w:val="Heading1"/>
        <w:rPr>
          <w:b/>
          <w:bCs/>
          <w:color w:val="auto"/>
          <w:lang w:val="en-US"/>
        </w:rPr>
      </w:pPr>
      <w:bookmarkStart w:id="6" w:name="_Toc54173260"/>
      <w:r w:rsidRPr="00FC233D">
        <w:rPr>
          <w:b/>
          <w:bCs/>
          <w:color w:val="auto"/>
          <w:lang w:val="en-US"/>
        </w:rPr>
        <w:t>Recommendations</w:t>
      </w:r>
      <w:bookmarkEnd w:id="6"/>
    </w:p>
    <w:p w14:paraId="779219B1" w14:textId="77777777" w:rsidR="00E502BE" w:rsidRDefault="00E502BE" w:rsidP="00E502BE">
      <w:pPr>
        <w:rPr>
          <w:rFonts w:ascii="Arial" w:eastAsia="Arial" w:hAnsi="Arial" w:cs="Arial"/>
          <w:sz w:val="24"/>
          <w:szCs w:val="24"/>
        </w:rPr>
      </w:pPr>
    </w:p>
    <w:p w14:paraId="3AF08D91" w14:textId="77777777" w:rsidR="00E502BE" w:rsidRDefault="00E502BE" w:rsidP="00E502BE">
      <w:pPr>
        <w:pStyle w:val="Heading2"/>
        <w:spacing w:line="276" w:lineRule="auto"/>
        <w:rPr>
          <w:b/>
          <w:bCs/>
          <w:color w:val="auto"/>
          <w:lang w:val="en-US"/>
        </w:rPr>
      </w:pPr>
      <w:bookmarkStart w:id="7" w:name="_Toc54173261"/>
      <w:r w:rsidRPr="00FC233D">
        <w:rPr>
          <w:b/>
          <w:bCs/>
          <w:color w:val="auto"/>
          <w:lang w:val="en-US"/>
        </w:rPr>
        <w:t>The right to freedom from discrimination</w:t>
      </w:r>
      <w:bookmarkEnd w:id="7"/>
    </w:p>
    <w:p w14:paraId="3973CDAA" w14:textId="77777777" w:rsidR="00E502BE" w:rsidRPr="003E1794" w:rsidRDefault="00E502BE" w:rsidP="002F3AC9">
      <w:pPr>
        <w:pStyle w:val="BodyText"/>
        <w:numPr>
          <w:ilvl w:val="0"/>
          <w:numId w:val="1"/>
        </w:numPr>
        <w:spacing w:line="276" w:lineRule="auto"/>
        <w:rPr>
          <w:rFonts w:ascii="Arial" w:eastAsiaTheme="minorEastAsia" w:hAnsi="Arial" w:cs="Arial"/>
          <w:sz w:val="24"/>
          <w:szCs w:val="24"/>
        </w:rPr>
      </w:pPr>
      <w:r w:rsidRPr="003E1794">
        <w:rPr>
          <w:rFonts w:ascii="Arial" w:eastAsiaTheme="minorEastAsia" w:hAnsi="Arial" w:cs="Arial"/>
          <w:sz w:val="24"/>
          <w:szCs w:val="24"/>
        </w:rPr>
        <w:t>Amend section 21(1)(a) of the Human Rights Act 1993 to explicitly include gender identity, gender expression, and sex characteristics as specific prohibited grounds of discrimination;</w:t>
      </w:r>
    </w:p>
    <w:p w14:paraId="2AA5D25E" w14:textId="77777777" w:rsidR="00E502BE" w:rsidRPr="003E1794" w:rsidRDefault="00E502BE" w:rsidP="003E1794">
      <w:pPr>
        <w:pStyle w:val="BodyText"/>
        <w:spacing w:line="276" w:lineRule="auto"/>
        <w:rPr>
          <w:rFonts w:ascii="Arial" w:hAnsi="Arial" w:cs="Arial"/>
          <w:sz w:val="24"/>
          <w:szCs w:val="24"/>
        </w:rPr>
      </w:pPr>
    </w:p>
    <w:p w14:paraId="3684314C" w14:textId="77777777" w:rsidR="00E502BE" w:rsidRPr="003E1794" w:rsidRDefault="00E502BE" w:rsidP="002F3AC9">
      <w:pPr>
        <w:pStyle w:val="BodyText"/>
        <w:numPr>
          <w:ilvl w:val="0"/>
          <w:numId w:val="1"/>
        </w:numPr>
        <w:spacing w:line="276" w:lineRule="auto"/>
        <w:rPr>
          <w:rFonts w:ascii="Arial" w:hAnsi="Arial" w:cs="Arial"/>
          <w:sz w:val="24"/>
          <w:szCs w:val="24"/>
        </w:rPr>
      </w:pPr>
      <w:r w:rsidRPr="003E1794">
        <w:rPr>
          <w:rFonts w:ascii="Arial" w:hAnsi="Arial" w:cs="Arial"/>
          <w:sz w:val="24"/>
          <w:szCs w:val="24"/>
        </w:rPr>
        <w:t>Update hate speech provisions to effectively address hate speech based on sexual orientation, gender identity, gender expression, and sex characteristics;</w:t>
      </w:r>
    </w:p>
    <w:p w14:paraId="0863FF96" w14:textId="77777777" w:rsidR="00E502BE" w:rsidRPr="003E1794" w:rsidRDefault="00E502BE" w:rsidP="003E1794">
      <w:pPr>
        <w:pStyle w:val="BodyText"/>
        <w:spacing w:line="276" w:lineRule="auto"/>
        <w:rPr>
          <w:rFonts w:ascii="Arial" w:hAnsi="Arial" w:cs="Arial"/>
          <w:sz w:val="24"/>
          <w:szCs w:val="24"/>
        </w:rPr>
      </w:pPr>
    </w:p>
    <w:p w14:paraId="7F50E233" w14:textId="77777777" w:rsidR="00E502BE" w:rsidRPr="003E1794" w:rsidRDefault="00E502BE" w:rsidP="002F3AC9">
      <w:pPr>
        <w:pStyle w:val="BodyText"/>
        <w:numPr>
          <w:ilvl w:val="0"/>
          <w:numId w:val="1"/>
        </w:numPr>
        <w:spacing w:line="276" w:lineRule="auto"/>
        <w:rPr>
          <w:rFonts w:ascii="Arial" w:hAnsi="Arial" w:cs="Arial"/>
          <w:sz w:val="24"/>
          <w:szCs w:val="24"/>
        </w:rPr>
      </w:pPr>
      <w:r w:rsidRPr="003E1794">
        <w:rPr>
          <w:rFonts w:ascii="Arial" w:hAnsi="Arial" w:cs="Arial"/>
          <w:sz w:val="24"/>
          <w:szCs w:val="24"/>
        </w:rPr>
        <w:t>Collect data about crimes motivated by hostility towards people with a diverse SOGIESC, including through research and effective police and justice sector recording processes;</w:t>
      </w:r>
    </w:p>
    <w:p w14:paraId="5D02AE05" w14:textId="77777777" w:rsidR="00E502BE" w:rsidRPr="003E1794" w:rsidRDefault="00E502BE" w:rsidP="003E1794">
      <w:pPr>
        <w:pStyle w:val="BodyText"/>
        <w:spacing w:line="276" w:lineRule="auto"/>
        <w:rPr>
          <w:rFonts w:ascii="Arial" w:hAnsi="Arial" w:cs="Arial"/>
          <w:sz w:val="24"/>
          <w:szCs w:val="24"/>
        </w:rPr>
      </w:pPr>
    </w:p>
    <w:p w14:paraId="4ADADA72" w14:textId="77777777" w:rsidR="00E502BE" w:rsidRPr="003E1794" w:rsidRDefault="00E502BE" w:rsidP="002F3AC9">
      <w:pPr>
        <w:pStyle w:val="BodyText"/>
        <w:numPr>
          <w:ilvl w:val="0"/>
          <w:numId w:val="1"/>
        </w:numPr>
        <w:spacing w:line="276" w:lineRule="auto"/>
        <w:rPr>
          <w:rFonts w:ascii="Arial" w:hAnsi="Arial" w:cs="Arial"/>
          <w:sz w:val="24"/>
          <w:szCs w:val="24"/>
        </w:rPr>
      </w:pPr>
      <w:r w:rsidRPr="003E1794">
        <w:rPr>
          <w:rFonts w:ascii="Arial" w:hAnsi="Arial" w:cs="Arial"/>
          <w:sz w:val="24"/>
          <w:szCs w:val="24"/>
        </w:rPr>
        <w:t>Provide comprehensive resources to employers, educational institutions, government agencies, sports bodies, housing rental agencies, health, aged care, and other service providers outlining how people with a diverse gender identity, gender expression, and sex characteristics are fully protected from discrimination under section 21 of the Human Rights Act 1993;</w:t>
      </w:r>
    </w:p>
    <w:p w14:paraId="48FB1F14" w14:textId="77777777" w:rsidR="00E502BE" w:rsidRPr="003E1794" w:rsidRDefault="00E502BE" w:rsidP="003E1794">
      <w:pPr>
        <w:pStyle w:val="BodyText"/>
        <w:spacing w:line="276" w:lineRule="auto"/>
        <w:rPr>
          <w:rFonts w:ascii="Arial" w:hAnsi="Arial" w:cs="Arial"/>
          <w:sz w:val="24"/>
          <w:szCs w:val="24"/>
        </w:rPr>
      </w:pPr>
    </w:p>
    <w:p w14:paraId="64E43009" w14:textId="77777777" w:rsidR="00E502BE" w:rsidRPr="003E1794" w:rsidRDefault="00E502BE" w:rsidP="002F3AC9">
      <w:pPr>
        <w:pStyle w:val="BodyText"/>
        <w:numPr>
          <w:ilvl w:val="0"/>
          <w:numId w:val="1"/>
        </w:numPr>
        <w:spacing w:line="276" w:lineRule="auto"/>
        <w:rPr>
          <w:rFonts w:ascii="Arial" w:hAnsi="Arial" w:cs="Arial"/>
          <w:sz w:val="24"/>
          <w:szCs w:val="24"/>
        </w:rPr>
      </w:pPr>
      <w:r w:rsidRPr="003E1794">
        <w:rPr>
          <w:rFonts w:ascii="Arial" w:hAnsi="Arial" w:cs="Arial"/>
          <w:sz w:val="24"/>
          <w:szCs w:val="24"/>
        </w:rPr>
        <w:t>Ensure that anti-violence strategies, policies, and services developed or funded by government specify and address the experiences and needs of SOGIESC-diverse persons and communities, as identified by them.</w:t>
      </w:r>
    </w:p>
    <w:p w14:paraId="2113A715" w14:textId="77777777" w:rsidR="00E502BE" w:rsidRDefault="00E502BE" w:rsidP="00E502BE">
      <w:pPr>
        <w:widowControl w:val="0"/>
        <w:suppressAutoHyphens/>
        <w:autoSpaceDE w:val="0"/>
        <w:autoSpaceDN w:val="0"/>
        <w:adjustRightInd w:val="0"/>
        <w:spacing w:after="0" w:line="270" w:lineRule="atLeast"/>
        <w:textAlignment w:val="center"/>
        <w:rPr>
          <w:rFonts w:ascii="Arial" w:hAnsi="Arial" w:cs="Arial"/>
          <w:color w:val="000000"/>
          <w:lang w:val="en-US"/>
        </w:rPr>
      </w:pPr>
    </w:p>
    <w:p w14:paraId="09FD93FE" w14:textId="77777777" w:rsidR="00E502BE" w:rsidRDefault="00E502BE" w:rsidP="00E502BE">
      <w:pPr>
        <w:pStyle w:val="Heading2"/>
        <w:spacing w:line="276" w:lineRule="auto"/>
        <w:rPr>
          <w:b/>
          <w:bCs/>
          <w:color w:val="auto"/>
          <w:lang w:val="en-US"/>
        </w:rPr>
      </w:pPr>
      <w:bookmarkStart w:id="8" w:name="_Toc54173262"/>
      <w:r w:rsidRPr="00FC233D">
        <w:rPr>
          <w:b/>
          <w:bCs/>
          <w:color w:val="auto"/>
          <w:lang w:val="en-US"/>
        </w:rPr>
        <w:t>The right to information: data collection</w:t>
      </w:r>
      <w:bookmarkEnd w:id="8"/>
    </w:p>
    <w:p w14:paraId="60233610" w14:textId="77777777" w:rsidR="00E502BE" w:rsidRPr="003E1794" w:rsidRDefault="00E502BE" w:rsidP="002F3AC9">
      <w:pPr>
        <w:pStyle w:val="BodyText"/>
        <w:numPr>
          <w:ilvl w:val="0"/>
          <w:numId w:val="2"/>
        </w:numPr>
        <w:spacing w:line="276" w:lineRule="auto"/>
        <w:rPr>
          <w:rFonts w:ascii="Arial" w:eastAsiaTheme="minorEastAsia" w:hAnsi="Arial" w:cs="Arial"/>
          <w:sz w:val="24"/>
          <w:szCs w:val="24"/>
        </w:rPr>
      </w:pPr>
      <w:r w:rsidRPr="003E1794">
        <w:rPr>
          <w:rFonts w:ascii="Arial" w:eastAsiaTheme="minorEastAsia" w:hAnsi="Arial" w:cs="Arial"/>
          <w:sz w:val="24"/>
          <w:szCs w:val="24"/>
        </w:rPr>
        <w:t>Develop and implement, in consultation with SOGIESC-diverse people, a comprehensive plan to collect sexual orientation, gender identity, and sex characteristics data in population and household surveys;</w:t>
      </w:r>
    </w:p>
    <w:p w14:paraId="41DDE5E5" w14:textId="77777777" w:rsidR="00E502BE" w:rsidRPr="003E1794" w:rsidRDefault="00E502BE" w:rsidP="003E1794">
      <w:pPr>
        <w:pStyle w:val="BodyText"/>
        <w:spacing w:line="276" w:lineRule="auto"/>
        <w:rPr>
          <w:rFonts w:ascii="Arial" w:eastAsiaTheme="minorEastAsia" w:hAnsi="Arial" w:cs="Arial"/>
          <w:sz w:val="24"/>
          <w:szCs w:val="24"/>
        </w:rPr>
      </w:pPr>
    </w:p>
    <w:p w14:paraId="78C9531C" w14:textId="77777777" w:rsidR="00E502BE" w:rsidRPr="003E1794" w:rsidRDefault="00E502BE" w:rsidP="002F3AC9">
      <w:pPr>
        <w:pStyle w:val="BodyText"/>
        <w:numPr>
          <w:ilvl w:val="0"/>
          <w:numId w:val="2"/>
        </w:numPr>
        <w:spacing w:line="276" w:lineRule="auto"/>
        <w:rPr>
          <w:rFonts w:ascii="Arial" w:eastAsiaTheme="minorEastAsia" w:hAnsi="Arial" w:cs="Arial"/>
          <w:sz w:val="24"/>
          <w:szCs w:val="24"/>
        </w:rPr>
      </w:pPr>
      <w:r w:rsidRPr="003E1794">
        <w:rPr>
          <w:rFonts w:ascii="Arial" w:eastAsiaTheme="minorEastAsia" w:hAnsi="Arial" w:cs="Arial"/>
          <w:sz w:val="24"/>
          <w:szCs w:val="24"/>
        </w:rPr>
        <w:t>Develop definitions, classifications, data standards, and data collection guidelines reflective of SOGIESC-diverse groups in accordance with this plan.</w:t>
      </w:r>
    </w:p>
    <w:p w14:paraId="5E865FF7" w14:textId="77777777" w:rsidR="00E502BE" w:rsidRDefault="00E502BE" w:rsidP="00E502BE">
      <w:pPr>
        <w:widowControl w:val="0"/>
        <w:suppressAutoHyphens/>
        <w:autoSpaceDE w:val="0"/>
        <w:autoSpaceDN w:val="0"/>
        <w:adjustRightInd w:val="0"/>
        <w:spacing w:after="0" w:line="270" w:lineRule="atLeast"/>
        <w:ind w:left="454"/>
        <w:textAlignment w:val="center"/>
        <w:rPr>
          <w:rFonts w:ascii="Arial" w:hAnsi="Arial" w:cs="Arial"/>
          <w:color w:val="000000"/>
          <w:lang w:val="en-US"/>
        </w:rPr>
      </w:pPr>
    </w:p>
    <w:p w14:paraId="641C7E3D" w14:textId="77777777" w:rsidR="00E502BE" w:rsidRPr="00FC233D" w:rsidRDefault="00E502BE" w:rsidP="00E502BE">
      <w:pPr>
        <w:pStyle w:val="Heading2"/>
        <w:spacing w:line="276" w:lineRule="auto"/>
        <w:rPr>
          <w:rFonts w:eastAsiaTheme="minorEastAsia"/>
          <w:b/>
          <w:bCs/>
        </w:rPr>
      </w:pPr>
      <w:bookmarkStart w:id="9" w:name="_Toc54173263"/>
      <w:r w:rsidRPr="00FC233D">
        <w:rPr>
          <w:rFonts w:eastAsiaTheme="minorEastAsia"/>
          <w:b/>
          <w:bCs/>
        </w:rPr>
        <w:t>The right to recognition before the law</w:t>
      </w:r>
      <w:bookmarkEnd w:id="9"/>
    </w:p>
    <w:p w14:paraId="3423DF80" w14:textId="77777777" w:rsidR="00E502BE" w:rsidRPr="003E1794" w:rsidRDefault="00E502BE" w:rsidP="002F3AC9">
      <w:pPr>
        <w:pStyle w:val="BodyText"/>
        <w:numPr>
          <w:ilvl w:val="0"/>
          <w:numId w:val="3"/>
        </w:numPr>
        <w:kinsoku w:val="0"/>
        <w:overflowPunct w:val="0"/>
        <w:spacing w:before="134" w:line="276" w:lineRule="auto"/>
        <w:rPr>
          <w:rFonts w:ascii="Arial" w:eastAsiaTheme="minorEastAsia" w:hAnsi="Arial" w:cs="Arial"/>
          <w:sz w:val="24"/>
          <w:szCs w:val="24"/>
        </w:rPr>
      </w:pPr>
      <w:r w:rsidRPr="003E1794">
        <w:rPr>
          <w:rFonts w:ascii="Arial" w:eastAsiaTheme="minorEastAsia" w:hAnsi="Arial" w:cs="Arial"/>
          <w:sz w:val="24"/>
          <w:szCs w:val="24"/>
        </w:rPr>
        <w:t>Amend the Births, Deaths, Marriages, and Relationships Registration Act to ensure that the process for an individual to update the nominated sex on their birth record is predicated on a rights-based model of self-determination, bodily integrity, and non-discrimination in accordance with New Zealand’s international human rights obligations;</w:t>
      </w:r>
    </w:p>
    <w:p w14:paraId="5F41F635" w14:textId="77777777" w:rsidR="00E502BE" w:rsidRPr="003E1794" w:rsidRDefault="00E502BE" w:rsidP="003E1794">
      <w:pPr>
        <w:pStyle w:val="BodyText"/>
        <w:kinsoku w:val="0"/>
        <w:overflowPunct w:val="0"/>
        <w:spacing w:before="134" w:line="276" w:lineRule="auto"/>
        <w:ind w:left="424"/>
        <w:rPr>
          <w:rFonts w:ascii="Arial" w:eastAsiaTheme="minorEastAsia" w:hAnsi="Arial" w:cs="Arial"/>
          <w:sz w:val="24"/>
          <w:szCs w:val="24"/>
        </w:rPr>
      </w:pPr>
    </w:p>
    <w:p w14:paraId="008F3EC0" w14:textId="77777777" w:rsidR="00E502BE" w:rsidRPr="003E1794" w:rsidRDefault="00E502BE" w:rsidP="002F3AC9">
      <w:pPr>
        <w:pStyle w:val="BodyText"/>
        <w:numPr>
          <w:ilvl w:val="0"/>
          <w:numId w:val="3"/>
        </w:numPr>
        <w:kinsoku w:val="0"/>
        <w:overflowPunct w:val="0"/>
        <w:spacing w:before="22" w:line="276" w:lineRule="auto"/>
        <w:ind w:right="2"/>
        <w:rPr>
          <w:rFonts w:ascii="Arial" w:eastAsiaTheme="minorEastAsia" w:hAnsi="Arial" w:cs="Arial"/>
          <w:sz w:val="24"/>
          <w:szCs w:val="24"/>
        </w:rPr>
      </w:pPr>
      <w:r w:rsidRPr="003E1794">
        <w:rPr>
          <w:rFonts w:ascii="Arial" w:eastAsiaTheme="minorEastAsia" w:hAnsi="Arial" w:cs="Arial"/>
          <w:sz w:val="24"/>
          <w:szCs w:val="24"/>
        </w:rPr>
        <w:t>Ensure that individuals who amend the sex on their birth certificate can nominate a non-binary gender identity and consult with transgender, non-binary, and other gender diverse individuals, and intersex people, as to what the third option should be;</w:t>
      </w:r>
    </w:p>
    <w:p w14:paraId="12670A05" w14:textId="77777777" w:rsidR="00E502BE" w:rsidRPr="003E1794" w:rsidRDefault="00E502BE" w:rsidP="003E1794">
      <w:pPr>
        <w:pStyle w:val="BodyText"/>
        <w:kinsoku w:val="0"/>
        <w:overflowPunct w:val="0"/>
        <w:spacing w:before="22" w:line="276" w:lineRule="auto"/>
        <w:ind w:left="424" w:right="2"/>
        <w:rPr>
          <w:rFonts w:ascii="Arial" w:eastAsiaTheme="minorEastAsia" w:hAnsi="Arial" w:cs="Arial"/>
          <w:sz w:val="24"/>
          <w:szCs w:val="24"/>
        </w:rPr>
      </w:pPr>
    </w:p>
    <w:p w14:paraId="15F81320" w14:textId="77777777" w:rsidR="00E502BE" w:rsidRPr="003E1794" w:rsidRDefault="00E502BE" w:rsidP="002F3AC9">
      <w:pPr>
        <w:pStyle w:val="BodyText"/>
        <w:numPr>
          <w:ilvl w:val="0"/>
          <w:numId w:val="3"/>
        </w:numPr>
        <w:kinsoku w:val="0"/>
        <w:overflowPunct w:val="0"/>
        <w:spacing w:before="22" w:line="276" w:lineRule="auto"/>
        <w:ind w:right="2"/>
        <w:rPr>
          <w:rFonts w:ascii="Arial" w:eastAsiaTheme="minorEastAsia" w:hAnsi="Arial" w:cs="Arial"/>
          <w:sz w:val="24"/>
          <w:szCs w:val="24"/>
        </w:rPr>
      </w:pPr>
      <w:r w:rsidRPr="003E1794">
        <w:rPr>
          <w:rFonts w:ascii="Arial" w:eastAsiaTheme="minorEastAsia" w:hAnsi="Arial" w:cs="Arial"/>
          <w:sz w:val="24"/>
          <w:szCs w:val="24"/>
        </w:rPr>
        <w:t xml:space="preserve">Remove the intersex sex option suggested by the Select Committee after the Bill’s first reading; </w:t>
      </w:r>
    </w:p>
    <w:p w14:paraId="69025F2B" w14:textId="77777777" w:rsidR="00E502BE" w:rsidRPr="003E1794" w:rsidRDefault="00E502BE" w:rsidP="003E1794">
      <w:pPr>
        <w:pStyle w:val="BodyText"/>
        <w:kinsoku w:val="0"/>
        <w:overflowPunct w:val="0"/>
        <w:spacing w:before="22" w:line="276" w:lineRule="auto"/>
        <w:ind w:left="424" w:right="2"/>
        <w:rPr>
          <w:rFonts w:ascii="Arial" w:eastAsiaTheme="minorEastAsia" w:hAnsi="Arial" w:cs="Arial"/>
          <w:sz w:val="24"/>
          <w:szCs w:val="24"/>
        </w:rPr>
      </w:pPr>
    </w:p>
    <w:p w14:paraId="1B09E115" w14:textId="77777777" w:rsidR="00E502BE" w:rsidRPr="003E1794" w:rsidRDefault="00E502BE" w:rsidP="002F3AC9">
      <w:pPr>
        <w:pStyle w:val="BodyText"/>
        <w:numPr>
          <w:ilvl w:val="0"/>
          <w:numId w:val="3"/>
        </w:numPr>
        <w:kinsoku w:val="0"/>
        <w:overflowPunct w:val="0"/>
        <w:spacing w:before="22" w:line="276" w:lineRule="auto"/>
        <w:ind w:right="2"/>
        <w:rPr>
          <w:rFonts w:ascii="Arial" w:eastAsiaTheme="minorEastAsia" w:hAnsi="Arial" w:cs="Arial"/>
          <w:sz w:val="24"/>
          <w:szCs w:val="24"/>
        </w:rPr>
      </w:pPr>
      <w:r w:rsidRPr="003E1794">
        <w:rPr>
          <w:rFonts w:ascii="Arial" w:eastAsiaTheme="minorEastAsia" w:hAnsi="Arial" w:cs="Arial"/>
          <w:sz w:val="24"/>
          <w:szCs w:val="24"/>
        </w:rPr>
        <w:t>Include in the definitions clauses a provision that defines “gender identity” along the lines of the definition adopted in Argentina and Malta;</w:t>
      </w:r>
    </w:p>
    <w:p w14:paraId="650CA65D" w14:textId="77777777" w:rsidR="00E502BE" w:rsidRPr="003E1794" w:rsidRDefault="00E502BE" w:rsidP="003E1794">
      <w:pPr>
        <w:pStyle w:val="BodyText"/>
        <w:kinsoku w:val="0"/>
        <w:overflowPunct w:val="0"/>
        <w:spacing w:before="22" w:line="276" w:lineRule="auto"/>
        <w:ind w:left="424" w:right="2"/>
        <w:rPr>
          <w:rFonts w:ascii="Arial" w:eastAsiaTheme="minorEastAsia" w:hAnsi="Arial" w:cs="Arial"/>
          <w:sz w:val="24"/>
          <w:szCs w:val="24"/>
        </w:rPr>
      </w:pPr>
    </w:p>
    <w:p w14:paraId="31571F6B" w14:textId="77777777" w:rsidR="00E502BE" w:rsidRPr="003E1794" w:rsidRDefault="00E502BE" w:rsidP="002F3AC9">
      <w:pPr>
        <w:pStyle w:val="BodyText"/>
        <w:numPr>
          <w:ilvl w:val="0"/>
          <w:numId w:val="3"/>
        </w:numPr>
        <w:kinsoku w:val="0"/>
        <w:overflowPunct w:val="0"/>
        <w:spacing w:before="22" w:line="276" w:lineRule="auto"/>
        <w:ind w:right="2"/>
        <w:rPr>
          <w:rFonts w:ascii="Arial" w:eastAsiaTheme="minorEastAsia" w:hAnsi="Arial" w:cs="Arial"/>
          <w:sz w:val="24"/>
          <w:szCs w:val="24"/>
        </w:rPr>
      </w:pPr>
      <w:r w:rsidRPr="003E1794">
        <w:rPr>
          <w:rFonts w:ascii="Arial" w:eastAsiaTheme="minorEastAsia" w:hAnsi="Arial" w:cs="Arial"/>
          <w:sz w:val="24"/>
          <w:szCs w:val="24"/>
        </w:rPr>
        <w:t>Consider whether New Zealand’s legislative framework should provide for the right of official recognition of gender identity;</w:t>
      </w:r>
    </w:p>
    <w:p w14:paraId="765D1958" w14:textId="77777777" w:rsidR="00E502BE" w:rsidRPr="003E1794" w:rsidRDefault="00E502BE" w:rsidP="003E1794">
      <w:pPr>
        <w:pStyle w:val="BodyText"/>
        <w:kinsoku w:val="0"/>
        <w:overflowPunct w:val="0"/>
        <w:spacing w:before="22" w:line="276" w:lineRule="auto"/>
        <w:ind w:left="424" w:right="2"/>
        <w:rPr>
          <w:rFonts w:ascii="Arial" w:eastAsiaTheme="minorEastAsia" w:hAnsi="Arial" w:cs="Arial"/>
          <w:sz w:val="24"/>
          <w:szCs w:val="24"/>
        </w:rPr>
      </w:pPr>
    </w:p>
    <w:p w14:paraId="6CA23E20" w14:textId="77777777" w:rsidR="00E502BE" w:rsidRPr="003E1794" w:rsidRDefault="00E502BE" w:rsidP="002F3AC9">
      <w:pPr>
        <w:pStyle w:val="BodyText"/>
        <w:numPr>
          <w:ilvl w:val="0"/>
          <w:numId w:val="3"/>
        </w:numPr>
        <w:kinsoku w:val="0"/>
        <w:overflowPunct w:val="0"/>
        <w:spacing w:before="22" w:line="276" w:lineRule="auto"/>
        <w:rPr>
          <w:rFonts w:ascii="Arial" w:eastAsiaTheme="minorEastAsia" w:hAnsi="Arial" w:cs="Arial"/>
          <w:sz w:val="24"/>
          <w:szCs w:val="24"/>
        </w:rPr>
      </w:pPr>
      <w:r w:rsidRPr="003E1794">
        <w:rPr>
          <w:rFonts w:ascii="Arial" w:eastAsiaTheme="minorEastAsia" w:hAnsi="Arial" w:cs="Arial"/>
          <w:sz w:val="24"/>
          <w:szCs w:val="24"/>
        </w:rPr>
        <w:t>Enable transgender and intersex refugees and asylum seekers to obtain official documentation reflecting their self-defined gender and name based on a statutory declaration, until they can change these details using processes available to permanent residents. Extend this option to migrants who cannot amend their name and gender marker on official documents in their country of origin.</w:t>
      </w:r>
    </w:p>
    <w:p w14:paraId="273646E4" w14:textId="77777777" w:rsidR="00E502BE" w:rsidRPr="003E1794" w:rsidRDefault="00E502BE" w:rsidP="00E502BE">
      <w:pPr>
        <w:pStyle w:val="BodyText"/>
        <w:kinsoku w:val="0"/>
        <w:overflowPunct w:val="0"/>
        <w:spacing w:before="22" w:line="237" w:lineRule="auto"/>
        <w:ind w:left="426" w:right="2"/>
        <w:rPr>
          <w:rFonts w:ascii="Arial" w:eastAsiaTheme="minorEastAsia" w:hAnsi="Arial" w:cs="Arial"/>
          <w:sz w:val="24"/>
          <w:szCs w:val="24"/>
        </w:rPr>
      </w:pPr>
    </w:p>
    <w:p w14:paraId="684A56A4" w14:textId="77777777" w:rsidR="00E502BE" w:rsidRDefault="00E502BE" w:rsidP="00E502BE">
      <w:pPr>
        <w:widowControl w:val="0"/>
        <w:suppressAutoHyphens/>
        <w:autoSpaceDE w:val="0"/>
        <w:autoSpaceDN w:val="0"/>
        <w:adjustRightInd w:val="0"/>
        <w:spacing w:after="0" w:line="270" w:lineRule="atLeast"/>
        <w:ind w:left="454"/>
        <w:textAlignment w:val="center"/>
        <w:rPr>
          <w:rFonts w:ascii="Arial" w:hAnsi="Arial" w:cs="Arial"/>
          <w:color w:val="000000"/>
          <w:lang w:val="en-US"/>
        </w:rPr>
      </w:pPr>
    </w:p>
    <w:p w14:paraId="06EACC2A" w14:textId="77777777" w:rsidR="00E502BE" w:rsidRDefault="00E502BE" w:rsidP="00E502BE">
      <w:pPr>
        <w:pStyle w:val="Heading2"/>
        <w:spacing w:line="276" w:lineRule="auto"/>
        <w:rPr>
          <w:b/>
          <w:bCs/>
          <w:color w:val="auto"/>
        </w:rPr>
      </w:pPr>
      <w:bookmarkStart w:id="10" w:name="_Toc54173264"/>
      <w:r w:rsidRPr="00FC233D">
        <w:rPr>
          <w:rFonts w:eastAsiaTheme="minorEastAsia"/>
          <w:b/>
          <w:bCs/>
          <w:color w:val="auto"/>
        </w:rPr>
        <w:t>The right to the highest attainable standard of health</w:t>
      </w:r>
      <w:bookmarkEnd w:id="10"/>
    </w:p>
    <w:p w14:paraId="78A72106" w14:textId="77777777" w:rsidR="00E502BE" w:rsidRPr="00FC233D" w:rsidRDefault="00E502BE" w:rsidP="002F3AC9">
      <w:pPr>
        <w:pStyle w:val="BodyText"/>
        <w:numPr>
          <w:ilvl w:val="0"/>
          <w:numId w:val="4"/>
        </w:numPr>
        <w:kinsoku w:val="0"/>
        <w:overflowPunct w:val="0"/>
        <w:spacing w:before="20" w:line="276" w:lineRule="auto"/>
        <w:rPr>
          <w:rFonts w:ascii="Arial" w:eastAsiaTheme="minorEastAsia" w:hAnsi="Arial" w:cs="Arial"/>
          <w:color w:val="000000"/>
          <w:sz w:val="24"/>
          <w:szCs w:val="24"/>
        </w:rPr>
      </w:pPr>
      <w:r w:rsidRPr="00FC233D">
        <w:rPr>
          <w:rFonts w:ascii="Arial" w:eastAsiaTheme="minorEastAsia" w:hAnsi="Arial" w:cs="Arial"/>
          <w:color w:val="000000"/>
          <w:sz w:val="24"/>
          <w:szCs w:val="24"/>
        </w:rPr>
        <w:t>Urgently implement measures to address current disparities experienced by the SOGIESC communities in accessing services throughout the health sector;</w:t>
      </w:r>
    </w:p>
    <w:p w14:paraId="3EAAE51B" w14:textId="77777777" w:rsidR="00E502BE" w:rsidRDefault="00E502BE" w:rsidP="003E1794">
      <w:pPr>
        <w:pStyle w:val="BodyText"/>
        <w:kinsoku w:val="0"/>
        <w:overflowPunct w:val="0"/>
        <w:spacing w:before="22" w:line="276" w:lineRule="auto"/>
        <w:ind w:left="21" w:right="2"/>
        <w:rPr>
          <w:rFonts w:ascii="Arial" w:eastAsiaTheme="minorEastAsia" w:hAnsi="Arial" w:cs="Arial"/>
          <w:color w:val="000000"/>
          <w:sz w:val="24"/>
          <w:szCs w:val="24"/>
        </w:rPr>
      </w:pPr>
    </w:p>
    <w:p w14:paraId="3D241573" w14:textId="77777777" w:rsidR="00E502BE" w:rsidRPr="00FC233D" w:rsidRDefault="00E502BE" w:rsidP="002F3AC9">
      <w:pPr>
        <w:pStyle w:val="BodyText"/>
        <w:numPr>
          <w:ilvl w:val="0"/>
          <w:numId w:val="4"/>
        </w:numPr>
        <w:kinsoku w:val="0"/>
        <w:overflowPunct w:val="0"/>
        <w:spacing w:before="22" w:line="276" w:lineRule="auto"/>
        <w:ind w:right="2"/>
        <w:rPr>
          <w:rFonts w:ascii="Arial" w:eastAsiaTheme="minorEastAsia" w:hAnsi="Arial" w:cs="Arial"/>
          <w:color w:val="000000"/>
          <w:sz w:val="24"/>
          <w:szCs w:val="24"/>
        </w:rPr>
      </w:pPr>
      <w:r w:rsidRPr="00FC233D">
        <w:rPr>
          <w:rFonts w:ascii="Arial" w:eastAsiaTheme="minorEastAsia" w:hAnsi="Arial" w:cs="Arial"/>
          <w:color w:val="000000"/>
          <w:sz w:val="24"/>
          <w:szCs w:val="24"/>
        </w:rPr>
        <w:t xml:space="preserve">Develop practice standards to improve access to health and peer-led service delivery for </w:t>
      </w:r>
      <w:proofErr w:type="spellStart"/>
      <w:r w:rsidRPr="00FC233D">
        <w:rPr>
          <w:rFonts w:ascii="Arial" w:eastAsiaTheme="minorEastAsia" w:hAnsi="Arial" w:cs="Arial"/>
          <w:color w:val="000000"/>
          <w:sz w:val="24"/>
          <w:szCs w:val="24"/>
        </w:rPr>
        <w:t>marginalised</w:t>
      </w:r>
      <w:proofErr w:type="spellEnd"/>
      <w:r w:rsidRPr="00FC233D">
        <w:rPr>
          <w:rFonts w:ascii="Arial" w:eastAsiaTheme="minorEastAsia" w:hAnsi="Arial" w:cs="Arial"/>
          <w:color w:val="000000"/>
          <w:sz w:val="24"/>
          <w:szCs w:val="24"/>
        </w:rPr>
        <w:t xml:space="preserve"> SOGIESC-diverse communities, particularly Māori, Pacific peoples, people with disabilities, trans people in detention, and older people;</w:t>
      </w:r>
    </w:p>
    <w:p w14:paraId="2C57B20C" w14:textId="77777777" w:rsidR="00E502BE" w:rsidRPr="00FC233D" w:rsidRDefault="00E502BE" w:rsidP="003E1794">
      <w:pPr>
        <w:pStyle w:val="BodyText"/>
        <w:kinsoku w:val="0"/>
        <w:overflowPunct w:val="0"/>
        <w:spacing w:before="134" w:line="276" w:lineRule="auto"/>
        <w:ind w:left="426" w:firstLine="406"/>
        <w:rPr>
          <w:rFonts w:ascii="Arial" w:eastAsiaTheme="minorEastAsia" w:hAnsi="Arial" w:cs="Arial"/>
          <w:color w:val="000000"/>
          <w:sz w:val="24"/>
          <w:szCs w:val="24"/>
        </w:rPr>
      </w:pPr>
    </w:p>
    <w:p w14:paraId="3B5644F6" w14:textId="77777777" w:rsidR="00E502BE" w:rsidRPr="00FC233D" w:rsidRDefault="00E502BE" w:rsidP="002F3AC9">
      <w:pPr>
        <w:pStyle w:val="BodyText"/>
        <w:numPr>
          <w:ilvl w:val="0"/>
          <w:numId w:val="4"/>
        </w:numPr>
        <w:kinsoku w:val="0"/>
        <w:overflowPunct w:val="0"/>
        <w:spacing w:before="22" w:line="276" w:lineRule="auto"/>
        <w:rPr>
          <w:rFonts w:ascii="Arial" w:eastAsiaTheme="minorEastAsia" w:hAnsi="Arial" w:cs="Arial"/>
          <w:color w:val="000000"/>
          <w:sz w:val="24"/>
          <w:szCs w:val="24"/>
        </w:rPr>
      </w:pPr>
      <w:r w:rsidRPr="00FC233D">
        <w:rPr>
          <w:rFonts w:ascii="Arial" w:eastAsiaTheme="minorEastAsia" w:hAnsi="Arial" w:cs="Arial"/>
          <w:color w:val="000000"/>
          <w:sz w:val="24"/>
          <w:szCs w:val="24"/>
        </w:rPr>
        <w:t>Provide guidance, training, and resources for all workers in the aged care sector on diversity in sexual orientation, gender identity and expression, and sex characteristics;</w:t>
      </w:r>
    </w:p>
    <w:p w14:paraId="77A05998" w14:textId="77777777" w:rsidR="00E502BE" w:rsidRPr="00FC233D" w:rsidRDefault="00E502BE" w:rsidP="003E1794">
      <w:pPr>
        <w:widowControl w:val="0"/>
        <w:suppressAutoHyphens/>
        <w:autoSpaceDE w:val="0"/>
        <w:autoSpaceDN w:val="0"/>
        <w:adjustRightInd w:val="0"/>
        <w:spacing w:after="0" w:line="276" w:lineRule="auto"/>
        <w:ind w:left="454" w:firstLine="406"/>
        <w:textAlignment w:val="center"/>
        <w:rPr>
          <w:rFonts w:ascii="Arial" w:hAnsi="Arial" w:cs="Arial"/>
          <w:color w:val="000000"/>
          <w:sz w:val="24"/>
          <w:szCs w:val="24"/>
          <w:lang w:val="en-US"/>
        </w:rPr>
      </w:pPr>
    </w:p>
    <w:p w14:paraId="5D9A2051" w14:textId="77777777" w:rsidR="00E502BE" w:rsidRPr="00FC233D" w:rsidRDefault="00E502BE" w:rsidP="002F3AC9">
      <w:pPr>
        <w:pStyle w:val="BodyText"/>
        <w:numPr>
          <w:ilvl w:val="0"/>
          <w:numId w:val="4"/>
        </w:numPr>
        <w:kinsoku w:val="0"/>
        <w:overflowPunct w:val="0"/>
        <w:spacing w:before="22" w:line="276" w:lineRule="auto"/>
        <w:rPr>
          <w:rFonts w:ascii="Arial" w:eastAsiaTheme="minorEastAsia" w:hAnsi="Arial" w:cs="Arial"/>
          <w:color w:val="000000"/>
          <w:sz w:val="24"/>
          <w:szCs w:val="24"/>
        </w:rPr>
      </w:pPr>
      <w:r w:rsidRPr="00FC233D">
        <w:rPr>
          <w:rFonts w:ascii="Arial" w:eastAsiaTheme="minorEastAsia" w:hAnsi="Arial" w:cs="Arial"/>
          <w:color w:val="000000"/>
          <w:sz w:val="24"/>
          <w:szCs w:val="24"/>
        </w:rPr>
        <w:t>Require District Health Boards to ensure trans and non-binary people’s access to gender affirming health services available in New Zealand, over their lifespan, based on an informed consent model of healthcare, aligned with evidence-based international standards;</w:t>
      </w:r>
    </w:p>
    <w:p w14:paraId="7CD6A641" w14:textId="77777777" w:rsidR="00E502BE" w:rsidRPr="00FC233D" w:rsidRDefault="00E502BE" w:rsidP="003E1794">
      <w:pPr>
        <w:widowControl w:val="0"/>
        <w:suppressAutoHyphens/>
        <w:autoSpaceDE w:val="0"/>
        <w:autoSpaceDN w:val="0"/>
        <w:adjustRightInd w:val="0"/>
        <w:spacing w:after="0" w:line="276" w:lineRule="auto"/>
        <w:ind w:left="454" w:firstLine="406"/>
        <w:textAlignment w:val="center"/>
        <w:rPr>
          <w:rFonts w:ascii="Arial" w:hAnsi="Arial" w:cs="Arial"/>
          <w:color w:val="000000"/>
          <w:sz w:val="24"/>
          <w:szCs w:val="24"/>
          <w:lang w:val="en-US"/>
        </w:rPr>
      </w:pPr>
    </w:p>
    <w:p w14:paraId="51B4FBDB" w14:textId="77777777" w:rsidR="00E502BE" w:rsidRPr="00FC233D" w:rsidRDefault="00E502BE" w:rsidP="002F3AC9">
      <w:pPr>
        <w:pStyle w:val="BodyText"/>
        <w:numPr>
          <w:ilvl w:val="0"/>
          <w:numId w:val="4"/>
        </w:numPr>
        <w:tabs>
          <w:tab w:val="left" w:pos="426"/>
        </w:tabs>
        <w:kinsoku w:val="0"/>
        <w:overflowPunct w:val="0"/>
        <w:spacing w:before="22" w:line="276" w:lineRule="auto"/>
        <w:ind w:right="2"/>
        <w:rPr>
          <w:rFonts w:ascii="Arial" w:eastAsiaTheme="minorEastAsia" w:hAnsi="Arial" w:cs="Arial"/>
          <w:color w:val="000000"/>
          <w:sz w:val="24"/>
          <w:szCs w:val="24"/>
        </w:rPr>
      </w:pPr>
      <w:r w:rsidRPr="00FC233D">
        <w:rPr>
          <w:rFonts w:ascii="Arial" w:eastAsiaTheme="minorEastAsia" w:hAnsi="Arial" w:cs="Arial"/>
          <w:color w:val="000000"/>
          <w:sz w:val="24"/>
          <w:szCs w:val="24"/>
        </w:rPr>
        <w:t>Support the development of guidelines, training and resources for health professionals on an informed consent model of healthcare for trans and non-binary people and provide information and resources for individuals, families and communities about accessing gender affirming services;</w:t>
      </w:r>
    </w:p>
    <w:p w14:paraId="272EDE4C" w14:textId="77777777" w:rsidR="00E502BE" w:rsidRPr="00FC233D" w:rsidRDefault="00E502BE" w:rsidP="003E1794">
      <w:pPr>
        <w:widowControl w:val="0"/>
        <w:tabs>
          <w:tab w:val="left" w:pos="426"/>
        </w:tabs>
        <w:suppressAutoHyphens/>
        <w:autoSpaceDE w:val="0"/>
        <w:autoSpaceDN w:val="0"/>
        <w:adjustRightInd w:val="0"/>
        <w:spacing w:after="0" w:line="276" w:lineRule="auto"/>
        <w:ind w:firstLine="406"/>
        <w:textAlignment w:val="center"/>
        <w:rPr>
          <w:rFonts w:ascii="Arial" w:hAnsi="Arial" w:cs="Arial"/>
          <w:color w:val="000000"/>
          <w:sz w:val="24"/>
          <w:szCs w:val="24"/>
          <w:lang w:val="en-US"/>
        </w:rPr>
      </w:pPr>
    </w:p>
    <w:p w14:paraId="4C12C600" w14:textId="77777777" w:rsidR="00E502BE" w:rsidRPr="00FC233D" w:rsidRDefault="00E502BE" w:rsidP="002F3AC9">
      <w:pPr>
        <w:pStyle w:val="BodyText"/>
        <w:numPr>
          <w:ilvl w:val="0"/>
          <w:numId w:val="4"/>
        </w:numPr>
        <w:tabs>
          <w:tab w:val="left" w:pos="426"/>
        </w:tabs>
        <w:kinsoku w:val="0"/>
        <w:overflowPunct w:val="0"/>
        <w:spacing w:before="22" w:line="276" w:lineRule="auto"/>
        <w:ind w:right="1"/>
        <w:rPr>
          <w:rFonts w:ascii="Arial" w:eastAsiaTheme="minorEastAsia" w:hAnsi="Arial" w:cs="Arial"/>
          <w:color w:val="000000"/>
          <w:sz w:val="24"/>
          <w:szCs w:val="24"/>
        </w:rPr>
      </w:pPr>
      <w:r w:rsidRPr="00FC233D">
        <w:rPr>
          <w:rFonts w:ascii="Arial" w:eastAsiaTheme="minorEastAsia" w:hAnsi="Arial" w:cs="Arial"/>
          <w:color w:val="000000"/>
          <w:sz w:val="24"/>
          <w:szCs w:val="24"/>
        </w:rPr>
        <w:t>End the practice of medical interventions on people with variations of sex characteristics which can be deferred to a later age;</w:t>
      </w:r>
    </w:p>
    <w:p w14:paraId="0742D747" w14:textId="77777777" w:rsidR="00E502BE" w:rsidRPr="00FC233D" w:rsidRDefault="00E502BE" w:rsidP="003E1794">
      <w:pPr>
        <w:widowControl w:val="0"/>
        <w:tabs>
          <w:tab w:val="left" w:pos="426"/>
        </w:tabs>
        <w:suppressAutoHyphens/>
        <w:autoSpaceDE w:val="0"/>
        <w:autoSpaceDN w:val="0"/>
        <w:adjustRightInd w:val="0"/>
        <w:spacing w:after="0" w:line="276" w:lineRule="auto"/>
        <w:ind w:firstLine="406"/>
        <w:textAlignment w:val="center"/>
        <w:rPr>
          <w:rFonts w:ascii="Arial" w:hAnsi="Arial" w:cs="Arial"/>
          <w:color w:val="000000"/>
          <w:sz w:val="24"/>
          <w:szCs w:val="24"/>
          <w:lang w:val="en-US"/>
        </w:rPr>
      </w:pPr>
    </w:p>
    <w:p w14:paraId="2A497A23" w14:textId="77777777" w:rsidR="00E502BE" w:rsidRPr="00FC233D" w:rsidRDefault="00E502BE" w:rsidP="002F3AC9">
      <w:pPr>
        <w:pStyle w:val="BodyText"/>
        <w:numPr>
          <w:ilvl w:val="0"/>
          <w:numId w:val="4"/>
        </w:numPr>
        <w:tabs>
          <w:tab w:val="left" w:pos="426"/>
        </w:tabs>
        <w:kinsoku w:val="0"/>
        <w:overflowPunct w:val="0"/>
        <w:spacing w:before="22" w:line="276" w:lineRule="auto"/>
        <w:ind w:right="1"/>
        <w:rPr>
          <w:rFonts w:ascii="Arial" w:eastAsiaTheme="minorEastAsia" w:hAnsi="Arial" w:cs="Arial"/>
          <w:color w:val="000000"/>
          <w:sz w:val="24"/>
          <w:szCs w:val="24"/>
        </w:rPr>
      </w:pPr>
      <w:r w:rsidRPr="00FC233D">
        <w:rPr>
          <w:rFonts w:ascii="Arial" w:eastAsiaTheme="minorEastAsia" w:hAnsi="Arial" w:cs="Arial"/>
          <w:color w:val="000000"/>
          <w:sz w:val="24"/>
          <w:szCs w:val="24"/>
        </w:rPr>
        <w:t>Create clear pathways to access publicly funded reparative surgery and support for people with variations of sex characteristics through each District Health Board.</w:t>
      </w:r>
    </w:p>
    <w:p w14:paraId="5FDF6528" w14:textId="77777777" w:rsidR="00E502BE" w:rsidRDefault="00E502BE" w:rsidP="003E1794">
      <w:pPr>
        <w:widowControl w:val="0"/>
        <w:tabs>
          <w:tab w:val="left" w:pos="426"/>
        </w:tabs>
        <w:suppressAutoHyphens/>
        <w:autoSpaceDE w:val="0"/>
        <w:autoSpaceDN w:val="0"/>
        <w:adjustRightInd w:val="0"/>
        <w:spacing w:after="0" w:line="276" w:lineRule="auto"/>
        <w:textAlignment w:val="center"/>
        <w:rPr>
          <w:rFonts w:ascii="Arial" w:hAnsi="Arial" w:cs="Arial"/>
          <w:color w:val="000000"/>
          <w:lang w:val="en-US"/>
        </w:rPr>
      </w:pPr>
    </w:p>
    <w:p w14:paraId="1838A492" w14:textId="77777777" w:rsidR="00E502BE" w:rsidRPr="00FC233D" w:rsidRDefault="00E502BE" w:rsidP="00E502BE">
      <w:pPr>
        <w:pStyle w:val="Heading2"/>
        <w:rPr>
          <w:rFonts w:eastAsiaTheme="minorEastAsia"/>
          <w:b/>
          <w:bCs/>
          <w:color w:val="auto"/>
        </w:rPr>
      </w:pPr>
      <w:bookmarkStart w:id="11" w:name="_Toc54173265"/>
      <w:r w:rsidRPr="00FC233D">
        <w:rPr>
          <w:rFonts w:eastAsiaTheme="minorEastAsia"/>
          <w:b/>
          <w:bCs/>
          <w:color w:val="auto"/>
        </w:rPr>
        <w:t>The right to education</w:t>
      </w:r>
      <w:bookmarkEnd w:id="11"/>
    </w:p>
    <w:p w14:paraId="500E443D" w14:textId="77777777" w:rsidR="00E502BE" w:rsidRPr="003E1794" w:rsidRDefault="00E502BE" w:rsidP="002F3AC9">
      <w:pPr>
        <w:pStyle w:val="BodyText"/>
        <w:numPr>
          <w:ilvl w:val="0"/>
          <w:numId w:val="5"/>
        </w:numPr>
        <w:rPr>
          <w:rFonts w:ascii="Arial" w:eastAsiaTheme="minorEastAsia" w:hAnsi="Arial" w:cs="Arial"/>
          <w:sz w:val="24"/>
          <w:szCs w:val="24"/>
        </w:rPr>
      </w:pPr>
      <w:r w:rsidRPr="003E1794">
        <w:rPr>
          <w:rFonts w:ascii="Arial" w:eastAsiaTheme="minorEastAsia" w:hAnsi="Arial" w:cs="Arial"/>
          <w:sz w:val="24"/>
          <w:szCs w:val="24"/>
        </w:rPr>
        <w:t>Implement anti-discrimination policies and guidelines for teachers and coaches in all schools that explicitly name sexual orientation, gender identity and expression, and sex characteristics;</w:t>
      </w:r>
    </w:p>
    <w:p w14:paraId="4E5CB1C6" w14:textId="77777777" w:rsidR="00E502BE" w:rsidRPr="003E1794" w:rsidRDefault="00E502BE" w:rsidP="003E1794">
      <w:pPr>
        <w:pStyle w:val="BodyText"/>
        <w:rPr>
          <w:rFonts w:ascii="Arial" w:eastAsiaTheme="minorEastAsia" w:hAnsi="Arial" w:cs="Arial"/>
          <w:sz w:val="24"/>
          <w:szCs w:val="24"/>
        </w:rPr>
      </w:pPr>
    </w:p>
    <w:p w14:paraId="551CDC0F" w14:textId="77777777" w:rsidR="00E502BE" w:rsidRPr="003E1794" w:rsidRDefault="00E502BE" w:rsidP="002F3AC9">
      <w:pPr>
        <w:pStyle w:val="BodyText"/>
        <w:numPr>
          <w:ilvl w:val="0"/>
          <w:numId w:val="5"/>
        </w:numPr>
        <w:rPr>
          <w:rFonts w:ascii="Arial" w:eastAsiaTheme="minorEastAsia" w:hAnsi="Arial" w:cs="Arial"/>
          <w:sz w:val="24"/>
          <w:szCs w:val="24"/>
        </w:rPr>
      </w:pPr>
      <w:r w:rsidRPr="003E1794">
        <w:rPr>
          <w:rFonts w:ascii="Arial" w:eastAsiaTheme="minorEastAsia" w:hAnsi="Arial" w:cs="Arial"/>
          <w:sz w:val="24"/>
          <w:szCs w:val="24"/>
        </w:rPr>
        <w:t>Legislate that schools must update names and gender markers on student records by request, before a legal name change;</w:t>
      </w:r>
    </w:p>
    <w:p w14:paraId="4F331134" w14:textId="77777777" w:rsidR="00E502BE" w:rsidRPr="003E1794" w:rsidRDefault="00E502BE" w:rsidP="003E1794">
      <w:pPr>
        <w:pStyle w:val="BodyText"/>
        <w:rPr>
          <w:rFonts w:ascii="Arial" w:hAnsi="Arial" w:cs="Arial"/>
          <w:sz w:val="24"/>
          <w:szCs w:val="24"/>
        </w:rPr>
      </w:pPr>
    </w:p>
    <w:p w14:paraId="7527C4FD" w14:textId="77777777" w:rsidR="00E502BE" w:rsidRPr="003E1794" w:rsidRDefault="00E502BE" w:rsidP="002F3AC9">
      <w:pPr>
        <w:pStyle w:val="BodyText"/>
        <w:numPr>
          <w:ilvl w:val="0"/>
          <w:numId w:val="5"/>
        </w:numPr>
        <w:rPr>
          <w:rFonts w:ascii="Arial" w:eastAsiaTheme="minorEastAsia" w:hAnsi="Arial" w:cs="Arial"/>
          <w:sz w:val="24"/>
          <w:szCs w:val="24"/>
        </w:rPr>
      </w:pPr>
      <w:r w:rsidRPr="003E1794">
        <w:rPr>
          <w:rFonts w:ascii="Arial" w:eastAsiaTheme="minorEastAsia" w:hAnsi="Arial" w:cs="Arial"/>
          <w:sz w:val="24"/>
          <w:szCs w:val="24"/>
        </w:rPr>
        <w:t>Provide further guidance from the Ministry of Education to support schools to be inclusive of trans and non-binary students, including by reiterating that school records and databases should reflect a student’s chosen name and gender and this does not require changes to name or sex on a birth certificate;</w:t>
      </w:r>
    </w:p>
    <w:p w14:paraId="11BD1A98" w14:textId="77777777" w:rsidR="00E502BE" w:rsidRPr="003E1794" w:rsidRDefault="00E502BE" w:rsidP="003E1794">
      <w:pPr>
        <w:pStyle w:val="BodyText"/>
        <w:rPr>
          <w:rFonts w:ascii="Arial" w:hAnsi="Arial" w:cs="Arial"/>
          <w:sz w:val="24"/>
          <w:szCs w:val="24"/>
        </w:rPr>
      </w:pPr>
    </w:p>
    <w:p w14:paraId="1EB1F64A" w14:textId="77777777" w:rsidR="00E502BE" w:rsidRPr="003E1794" w:rsidRDefault="00E502BE" w:rsidP="002F3AC9">
      <w:pPr>
        <w:pStyle w:val="BodyText"/>
        <w:numPr>
          <w:ilvl w:val="0"/>
          <w:numId w:val="5"/>
        </w:numPr>
        <w:rPr>
          <w:rFonts w:ascii="Arial" w:eastAsiaTheme="minorEastAsia" w:hAnsi="Arial" w:cs="Arial"/>
          <w:sz w:val="24"/>
          <w:szCs w:val="24"/>
        </w:rPr>
      </w:pPr>
      <w:r w:rsidRPr="003E1794">
        <w:rPr>
          <w:rFonts w:ascii="Arial" w:eastAsiaTheme="minorEastAsia" w:hAnsi="Arial" w:cs="Arial"/>
          <w:sz w:val="24"/>
          <w:szCs w:val="24"/>
        </w:rPr>
        <w:t>Provide dedicated, ongoing support and professional learning development to teachers and schools regarding SOGIESC diversity;</w:t>
      </w:r>
    </w:p>
    <w:p w14:paraId="2C4229C9" w14:textId="77777777" w:rsidR="00E502BE" w:rsidRPr="003E1794" w:rsidRDefault="00E502BE" w:rsidP="003E1794">
      <w:pPr>
        <w:pStyle w:val="BodyText"/>
        <w:rPr>
          <w:rFonts w:ascii="Arial" w:hAnsi="Arial" w:cs="Arial"/>
          <w:sz w:val="24"/>
          <w:szCs w:val="24"/>
        </w:rPr>
      </w:pPr>
    </w:p>
    <w:p w14:paraId="0149C0A4" w14:textId="77777777" w:rsidR="00E502BE" w:rsidRPr="003E1794" w:rsidRDefault="00E502BE" w:rsidP="002F3AC9">
      <w:pPr>
        <w:pStyle w:val="BodyText"/>
        <w:numPr>
          <w:ilvl w:val="0"/>
          <w:numId w:val="5"/>
        </w:numPr>
        <w:rPr>
          <w:rFonts w:ascii="Arial" w:eastAsiaTheme="minorEastAsia" w:hAnsi="Arial" w:cs="Arial"/>
          <w:sz w:val="24"/>
          <w:szCs w:val="24"/>
        </w:rPr>
      </w:pPr>
      <w:proofErr w:type="spellStart"/>
      <w:r w:rsidRPr="003E1794">
        <w:rPr>
          <w:rFonts w:ascii="Arial" w:eastAsiaTheme="minorEastAsia" w:hAnsi="Arial" w:cs="Arial"/>
          <w:sz w:val="24"/>
          <w:szCs w:val="24"/>
        </w:rPr>
        <w:t>Standardise</w:t>
      </w:r>
      <w:proofErr w:type="spellEnd"/>
      <w:r w:rsidRPr="003E1794">
        <w:rPr>
          <w:rFonts w:ascii="Arial" w:eastAsiaTheme="minorEastAsia" w:hAnsi="Arial" w:cs="Arial"/>
          <w:sz w:val="24"/>
          <w:szCs w:val="24"/>
        </w:rPr>
        <w:t xml:space="preserve"> health education in the timetable at least two times per week or cycle;</w:t>
      </w:r>
    </w:p>
    <w:p w14:paraId="05700509" w14:textId="77777777" w:rsidR="00E502BE" w:rsidRPr="003E1794" w:rsidRDefault="00E502BE" w:rsidP="003E1794">
      <w:pPr>
        <w:pStyle w:val="BodyText"/>
        <w:rPr>
          <w:rFonts w:ascii="Arial" w:hAnsi="Arial" w:cs="Arial"/>
          <w:sz w:val="24"/>
          <w:szCs w:val="24"/>
        </w:rPr>
      </w:pPr>
    </w:p>
    <w:p w14:paraId="357DD940" w14:textId="77777777" w:rsidR="00E502BE" w:rsidRPr="003E1794" w:rsidRDefault="00E502BE" w:rsidP="002F3AC9">
      <w:pPr>
        <w:pStyle w:val="BodyText"/>
        <w:numPr>
          <w:ilvl w:val="0"/>
          <w:numId w:val="5"/>
        </w:numPr>
        <w:rPr>
          <w:rFonts w:ascii="Arial" w:eastAsiaTheme="minorEastAsia" w:hAnsi="Arial" w:cs="Arial"/>
          <w:sz w:val="24"/>
          <w:szCs w:val="24"/>
        </w:rPr>
      </w:pPr>
      <w:r w:rsidRPr="003E1794">
        <w:rPr>
          <w:rFonts w:ascii="Arial" w:eastAsiaTheme="minorEastAsia" w:hAnsi="Arial" w:cs="Arial"/>
          <w:sz w:val="24"/>
          <w:szCs w:val="24"/>
        </w:rPr>
        <w:t>Include sexuality education (12-15 lessons per year minimum); and mental health education, including learning about drugs and alcohol, identity, wellbeing, interpersonal skills, social and political contexts; and access to health care; in health education content;</w:t>
      </w:r>
    </w:p>
    <w:p w14:paraId="38044D51" w14:textId="77777777" w:rsidR="00E502BE" w:rsidRPr="003E1794" w:rsidRDefault="00E502BE" w:rsidP="003E1794">
      <w:pPr>
        <w:pStyle w:val="BodyText"/>
        <w:rPr>
          <w:rFonts w:ascii="Arial" w:hAnsi="Arial" w:cs="Arial"/>
          <w:sz w:val="24"/>
          <w:szCs w:val="24"/>
        </w:rPr>
      </w:pPr>
    </w:p>
    <w:p w14:paraId="1816E795" w14:textId="77777777" w:rsidR="00E502BE" w:rsidRPr="003E1794" w:rsidRDefault="00E502BE" w:rsidP="002F3AC9">
      <w:pPr>
        <w:pStyle w:val="BodyText"/>
        <w:numPr>
          <w:ilvl w:val="0"/>
          <w:numId w:val="5"/>
        </w:numPr>
        <w:rPr>
          <w:rFonts w:ascii="Arial" w:eastAsiaTheme="minorEastAsia" w:hAnsi="Arial" w:cs="Arial"/>
          <w:sz w:val="24"/>
          <w:szCs w:val="24"/>
        </w:rPr>
      </w:pPr>
      <w:r w:rsidRPr="003E1794">
        <w:rPr>
          <w:rFonts w:ascii="Arial" w:eastAsiaTheme="minorEastAsia" w:hAnsi="Arial" w:cs="Arial"/>
          <w:sz w:val="24"/>
          <w:szCs w:val="24"/>
        </w:rPr>
        <w:t>Ensure all students have access to free and confidential health services at school.</w:t>
      </w:r>
    </w:p>
    <w:p w14:paraId="41BEF9B9" w14:textId="77777777" w:rsidR="00E502BE" w:rsidRDefault="00E502BE" w:rsidP="00E502BE">
      <w:pPr>
        <w:widowControl w:val="0"/>
        <w:tabs>
          <w:tab w:val="left" w:pos="426"/>
        </w:tabs>
        <w:suppressAutoHyphens/>
        <w:autoSpaceDE w:val="0"/>
        <w:autoSpaceDN w:val="0"/>
        <w:adjustRightInd w:val="0"/>
        <w:spacing w:after="0" w:line="270" w:lineRule="atLeast"/>
        <w:textAlignment w:val="center"/>
        <w:rPr>
          <w:rFonts w:ascii="Arial" w:hAnsi="Arial" w:cs="Arial"/>
          <w:color w:val="000000"/>
          <w:sz w:val="24"/>
          <w:szCs w:val="24"/>
          <w:lang w:val="en-US"/>
        </w:rPr>
      </w:pPr>
    </w:p>
    <w:p w14:paraId="567F09B2" w14:textId="77777777" w:rsidR="00E502BE" w:rsidRPr="00FC233D" w:rsidRDefault="00E502BE" w:rsidP="00E502BE">
      <w:pPr>
        <w:pStyle w:val="Heading2"/>
        <w:rPr>
          <w:rFonts w:eastAsiaTheme="minorEastAsia"/>
          <w:b/>
          <w:bCs/>
          <w:color w:val="auto"/>
        </w:rPr>
      </w:pPr>
      <w:bookmarkStart w:id="12" w:name="_Toc54173266"/>
      <w:r w:rsidRPr="00FC233D">
        <w:rPr>
          <w:rFonts w:eastAsiaTheme="minorEastAsia"/>
          <w:b/>
          <w:bCs/>
          <w:color w:val="auto"/>
        </w:rPr>
        <w:t>The right to work</w:t>
      </w:r>
      <w:bookmarkEnd w:id="12"/>
    </w:p>
    <w:p w14:paraId="62A3C32F" w14:textId="77777777" w:rsidR="00E502BE" w:rsidRPr="003E1794" w:rsidRDefault="00E502BE" w:rsidP="002F3AC9">
      <w:pPr>
        <w:pStyle w:val="BodyText"/>
        <w:numPr>
          <w:ilvl w:val="0"/>
          <w:numId w:val="6"/>
        </w:numPr>
        <w:rPr>
          <w:rFonts w:ascii="Arial" w:eastAsiaTheme="minorEastAsia" w:hAnsi="Arial" w:cs="Arial"/>
          <w:sz w:val="24"/>
          <w:szCs w:val="24"/>
        </w:rPr>
      </w:pPr>
      <w:r w:rsidRPr="003E1794">
        <w:rPr>
          <w:rFonts w:ascii="Arial" w:eastAsiaTheme="minorEastAsia" w:hAnsi="Arial" w:cs="Arial"/>
          <w:sz w:val="24"/>
          <w:szCs w:val="24"/>
        </w:rPr>
        <w:t xml:space="preserve">Update the 2015 New Zealand standard, </w:t>
      </w:r>
      <w:r w:rsidRPr="003E1794">
        <w:rPr>
          <w:rFonts w:ascii="Arial" w:eastAsiaTheme="minorEastAsia" w:hAnsi="Arial" w:cs="Arial"/>
          <w:i/>
          <w:sz w:val="24"/>
          <w:szCs w:val="24"/>
        </w:rPr>
        <w:t>Rainbow-inclusive workplaces: A standard for gender and sexual diversity in employment (NZS8200:2015),</w:t>
      </w:r>
      <w:r w:rsidRPr="003E1794">
        <w:rPr>
          <w:rFonts w:ascii="Arial" w:eastAsiaTheme="minorEastAsia" w:hAnsi="Arial" w:cs="Arial"/>
          <w:sz w:val="24"/>
          <w:szCs w:val="24"/>
        </w:rPr>
        <w:t xml:space="preserve"> through consultation with a wide range of people with diverse SOGIESC. Ensure their representation on the Committee reviewing this standard;</w:t>
      </w:r>
    </w:p>
    <w:p w14:paraId="3F83D3E4" w14:textId="77777777" w:rsidR="00E502BE" w:rsidRPr="003E1794" w:rsidRDefault="00E502BE" w:rsidP="003E1794">
      <w:pPr>
        <w:pStyle w:val="BodyText"/>
        <w:rPr>
          <w:rFonts w:ascii="Arial" w:hAnsi="Arial" w:cs="Arial"/>
          <w:sz w:val="24"/>
          <w:szCs w:val="24"/>
        </w:rPr>
      </w:pPr>
    </w:p>
    <w:p w14:paraId="3F64A84C" w14:textId="77777777" w:rsidR="00E502BE" w:rsidRPr="003E1794" w:rsidRDefault="00E502BE" w:rsidP="002F3AC9">
      <w:pPr>
        <w:pStyle w:val="BodyText"/>
        <w:numPr>
          <w:ilvl w:val="0"/>
          <w:numId w:val="6"/>
        </w:numPr>
        <w:rPr>
          <w:rFonts w:ascii="Arial" w:eastAsiaTheme="minorEastAsia" w:hAnsi="Arial" w:cs="Arial"/>
          <w:sz w:val="24"/>
          <w:szCs w:val="24"/>
        </w:rPr>
      </w:pPr>
      <w:r w:rsidRPr="003E1794">
        <w:rPr>
          <w:rFonts w:ascii="Arial" w:eastAsiaTheme="minorEastAsia" w:hAnsi="Arial" w:cs="Arial"/>
          <w:sz w:val="24"/>
          <w:szCs w:val="24"/>
        </w:rPr>
        <w:t>Develop, implement, and monitor anti-discrimination workplace policies through community consultation which are inclusive of all people with a diverse sexual orientation, gender identity and expression, and sex characteristics;</w:t>
      </w:r>
    </w:p>
    <w:p w14:paraId="1399369E" w14:textId="77777777" w:rsidR="00E502BE" w:rsidRPr="003E1794" w:rsidRDefault="00E502BE" w:rsidP="003E1794">
      <w:pPr>
        <w:pStyle w:val="BodyText"/>
        <w:rPr>
          <w:rFonts w:ascii="Arial" w:hAnsi="Arial" w:cs="Arial"/>
          <w:sz w:val="24"/>
          <w:szCs w:val="24"/>
        </w:rPr>
      </w:pPr>
    </w:p>
    <w:p w14:paraId="77D0F80D" w14:textId="77777777" w:rsidR="00E502BE" w:rsidRPr="003E1794" w:rsidRDefault="00E502BE" w:rsidP="002F3AC9">
      <w:pPr>
        <w:pStyle w:val="BodyText"/>
        <w:numPr>
          <w:ilvl w:val="0"/>
          <w:numId w:val="6"/>
        </w:numPr>
        <w:rPr>
          <w:rFonts w:ascii="Arial" w:eastAsiaTheme="minorEastAsia" w:hAnsi="Arial" w:cs="Arial"/>
          <w:sz w:val="24"/>
          <w:szCs w:val="24"/>
        </w:rPr>
      </w:pPr>
      <w:proofErr w:type="spellStart"/>
      <w:r w:rsidRPr="003E1794">
        <w:rPr>
          <w:rFonts w:ascii="Arial" w:eastAsiaTheme="minorEastAsia" w:hAnsi="Arial" w:cs="Arial"/>
          <w:sz w:val="24"/>
          <w:szCs w:val="24"/>
        </w:rPr>
        <w:t>Recognise</w:t>
      </w:r>
      <w:proofErr w:type="spellEnd"/>
      <w:r w:rsidRPr="003E1794">
        <w:rPr>
          <w:rFonts w:ascii="Arial" w:eastAsiaTheme="minorEastAsia" w:hAnsi="Arial" w:cs="Arial"/>
          <w:sz w:val="24"/>
          <w:szCs w:val="24"/>
        </w:rPr>
        <w:t xml:space="preserve"> the self-determined gender of staff, customers, and stakeholders irrespective of official identity documents, in line with UN standards;</w:t>
      </w:r>
    </w:p>
    <w:p w14:paraId="26C914D1" w14:textId="77777777" w:rsidR="00E502BE" w:rsidRPr="003E1794" w:rsidRDefault="00E502BE" w:rsidP="003E1794">
      <w:pPr>
        <w:pStyle w:val="BodyText"/>
        <w:rPr>
          <w:rFonts w:ascii="Arial" w:hAnsi="Arial" w:cs="Arial"/>
          <w:sz w:val="24"/>
          <w:szCs w:val="24"/>
        </w:rPr>
      </w:pPr>
    </w:p>
    <w:p w14:paraId="0B3066C7" w14:textId="77777777" w:rsidR="00E502BE" w:rsidRPr="003E1794" w:rsidRDefault="00E502BE" w:rsidP="002F3AC9">
      <w:pPr>
        <w:pStyle w:val="BodyText"/>
        <w:numPr>
          <w:ilvl w:val="0"/>
          <w:numId w:val="6"/>
        </w:numPr>
        <w:rPr>
          <w:rFonts w:ascii="Arial" w:eastAsiaTheme="minorEastAsia" w:hAnsi="Arial" w:cs="Arial"/>
          <w:sz w:val="24"/>
          <w:szCs w:val="24"/>
        </w:rPr>
      </w:pPr>
      <w:r w:rsidRPr="003E1794">
        <w:rPr>
          <w:rFonts w:ascii="Arial" w:eastAsiaTheme="minorEastAsia" w:hAnsi="Arial" w:cs="Arial"/>
          <w:sz w:val="24"/>
          <w:szCs w:val="24"/>
        </w:rPr>
        <w:t>Support staff, customers, and stakeholders to use the bathroom and uniform of their choice in the workplace;</w:t>
      </w:r>
    </w:p>
    <w:p w14:paraId="5AE39365" w14:textId="77777777" w:rsidR="00E502BE" w:rsidRPr="003E1794" w:rsidRDefault="00E502BE" w:rsidP="003E1794">
      <w:pPr>
        <w:pStyle w:val="BodyText"/>
        <w:rPr>
          <w:rFonts w:ascii="Arial" w:hAnsi="Arial" w:cs="Arial"/>
          <w:sz w:val="24"/>
          <w:szCs w:val="24"/>
        </w:rPr>
      </w:pPr>
    </w:p>
    <w:p w14:paraId="679A5EE2" w14:textId="77777777" w:rsidR="00E502BE" w:rsidRPr="003E1794" w:rsidRDefault="00E502BE" w:rsidP="002F3AC9">
      <w:pPr>
        <w:pStyle w:val="BodyText"/>
        <w:numPr>
          <w:ilvl w:val="0"/>
          <w:numId w:val="6"/>
        </w:numPr>
        <w:rPr>
          <w:rFonts w:ascii="Arial" w:eastAsiaTheme="minorEastAsia" w:hAnsi="Arial" w:cs="Arial"/>
          <w:sz w:val="24"/>
          <w:szCs w:val="24"/>
        </w:rPr>
      </w:pPr>
      <w:r w:rsidRPr="003E1794">
        <w:rPr>
          <w:rFonts w:ascii="Arial" w:eastAsiaTheme="minorEastAsia" w:hAnsi="Arial" w:cs="Arial"/>
          <w:sz w:val="24"/>
          <w:szCs w:val="24"/>
        </w:rPr>
        <w:t>Provide ongoing workplace training related to diversity in sexual orientation, gender identity and expression, and sex characteristics.</w:t>
      </w:r>
    </w:p>
    <w:p w14:paraId="2836F219" w14:textId="77777777" w:rsidR="00E502BE" w:rsidRPr="003E1794" w:rsidRDefault="00E502BE" w:rsidP="003E1794">
      <w:pPr>
        <w:pStyle w:val="BodyText"/>
        <w:rPr>
          <w:rFonts w:ascii="Arial" w:hAnsi="Arial" w:cs="Arial"/>
          <w:b/>
          <w:bCs/>
          <w:color w:val="00AFA2"/>
          <w:spacing w:val="-13"/>
          <w:sz w:val="24"/>
          <w:szCs w:val="24"/>
        </w:rPr>
      </w:pPr>
    </w:p>
    <w:p w14:paraId="5EF2756F" w14:textId="77777777" w:rsidR="00E502BE" w:rsidRDefault="00E502BE" w:rsidP="00E502BE">
      <w:pPr>
        <w:pStyle w:val="Heading1"/>
        <w:rPr>
          <w:b/>
          <w:bCs/>
          <w:color w:val="auto"/>
          <w:lang w:val="en-US"/>
        </w:rPr>
      </w:pPr>
      <w:bookmarkStart w:id="13" w:name="_Toc54173267"/>
      <w:r w:rsidRPr="00FC233D">
        <w:rPr>
          <w:b/>
          <w:bCs/>
          <w:color w:val="auto"/>
          <w:lang w:val="en-US"/>
        </w:rPr>
        <w:t>Conclusion</w:t>
      </w:r>
      <w:bookmarkEnd w:id="13"/>
    </w:p>
    <w:p w14:paraId="169000B0" w14:textId="77777777" w:rsidR="00E502BE" w:rsidRPr="00F26B5B" w:rsidRDefault="00E502BE" w:rsidP="00E502BE">
      <w:pPr>
        <w:rPr>
          <w:lang w:val="en-US"/>
        </w:rPr>
      </w:pPr>
    </w:p>
    <w:p w14:paraId="5C856E54" w14:textId="252D6D72" w:rsidR="00E502BE" w:rsidRPr="002F3AC9" w:rsidRDefault="00E502BE" w:rsidP="002F3AC9">
      <w:pPr>
        <w:pStyle w:val="ListParagraph"/>
        <w:numPr>
          <w:ilvl w:val="0"/>
          <w:numId w:val="7"/>
        </w:numPr>
        <w:spacing w:line="276" w:lineRule="auto"/>
        <w:rPr>
          <w:rFonts w:ascii="Arial" w:hAnsi="Arial" w:cs="Arial"/>
          <w:color w:val="000000"/>
          <w:sz w:val="24"/>
          <w:szCs w:val="24"/>
          <w:lang w:val="en-US"/>
        </w:rPr>
      </w:pPr>
      <w:r w:rsidRPr="002F3AC9">
        <w:rPr>
          <w:rFonts w:ascii="Arial" w:hAnsi="Arial" w:cs="Arial"/>
          <w:color w:val="000000"/>
          <w:sz w:val="24"/>
          <w:szCs w:val="24"/>
          <w:lang w:val="en-US"/>
        </w:rPr>
        <w:t xml:space="preserve">The Commission welcomes action on Prism’s recommendations. Improved services, resources, and access is what SOGIESC-diverse people say they need. Treating everyone the same is not the solution, because people are not the same. Systemic change requires systemic intervention to advance the human rights of SOGIESC-diverse people. A free, safe, and just New Zealand values diversity by uplifting, empowering, and respecting a dignified life for all. Human rights alone cannot reduce inequalities in discrimination, data, legal gender recognition, health, education, and employment; but they have a vital role. Prism reflects light on a path towards the </w:t>
      </w:r>
      <w:proofErr w:type="spellStart"/>
      <w:r w:rsidRPr="002F3AC9">
        <w:rPr>
          <w:rFonts w:ascii="Arial" w:hAnsi="Arial" w:cs="Arial"/>
          <w:color w:val="000000"/>
          <w:sz w:val="24"/>
          <w:szCs w:val="24"/>
          <w:lang w:val="en-US"/>
        </w:rPr>
        <w:t>realisation</w:t>
      </w:r>
      <w:proofErr w:type="spellEnd"/>
      <w:r w:rsidRPr="002F3AC9">
        <w:rPr>
          <w:rFonts w:ascii="Arial" w:hAnsi="Arial" w:cs="Arial"/>
          <w:color w:val="000000"/>
          <w:sz w:val="24"/>
          <w:szCs w:val="24"/>
          <w:lang w:val="en-US"/>
        </w:rPr>
        <w:t xml:space="preserve"> of human rights for those with a diverse sexual orientation, gender identity and expression, and sex characteristics.</w:t>
      </w:r>
    </w:p>
    <w:p w14:paraId="75363411" w14:textId="77777777" w:rsidR="00E502BE" w:rsidRDefault="00E502BE" w:rsidP="003E1794">
      <w:pPr>
        <w:spacing w:line="276" w:lineRule="auto"/>
        <w:rPr>
          <w:rFonts w:ascii="Arial" w:eastAsia="Arial" w:hAnsi="Arial" w:cs="Arial"/>
          <w:sz w:val="24"/>
          <w:szCs w:val="24"/>
        </w:rPr>
      </w:pPr>
    </w:p>
    <w:p w14:paraId="3B787373" w14:textId="77777777" w:rsidR="00E502BE" w:rsidRPr="001144AB" w:rsidRDefault="00E502BE" w:rsidP="003E1794">
      <w:pPr>
        <w:spacing w:line="276" w:lineRule="auto"/>
        <w:ind w:firstLine="720"/>
        <w:rPr>
          <w:rFonts w:ascii="Arial" w:eastAsia="Arial" w:hAnsi="Arial" w:cs="Arial"/>
          <w:sz w:val="24"/>
          <w:szCs w:val="24"/>
        </w:rPr>
      </w:pPr>
    </w:p>
    <w:p w14:paraId="62B7D282" w14:textId="77777777" w:rsidR="00071D5C" w:rsidRDefault="00071D5C"/>
    <w:sectPr w:rsidR="00071D5C" w:rsidSect="00C76071">
      <w:headerReference w:type="default" r:id="rId8"/>
      <w:footerReference w:type="default" r:id="rId9"/>
      <w:endnotePr>
        <w:numFmt w:val="decimal"/>
      </w:endnotePr>
      <w:pgSz w:w="11900" w:h="16820" w:code="1"/>
      <w:pgMar w:top="994" w:right="1440" w:bottom="710" w:left="1440" w:header="720"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987C8" w14:textId="77777777" w:rsidR="004C0B3E" w:rsidRDefault="004C0B3E" w:rsidP="00E502BE">
      <w:pPr>
        <w:spacing w:after="0" w:line="240" w:lineRule="auto"/>
      </w:pPr>
      <w:r>
        <w:separator/>
      </w:r>
    </w:p>
  </w:endnote>
  <w:endnote w:type="continuationSeparator" w:id="0">
    <w:p w14:paraId="3F6C2F39" w14:textId="77777777" w:rsidR="004C0B3E" w:rsidRDefault="004C0B3E" w:rsidP="00E50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
    <w:altName w:val="Cambria"/>
    <w:panose1 w:val="00000000000000000000"/>
    <w:charset w:val="4D"/>
    <w:family w:val="auto"/>
    <w:notTrueType/>
    <w:pitch w:val="default"/>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9838350"/>
      <w:docPartObj>
        <w:docPartGallery w:val="Page Numbers (Bottom of Page)"/>
        <w:docPartUnique/>
      </w:docPartObj>
    </w:sdtPr>
    <w:sdtEndPr>
      <w:rPr>
        <w:noProof/>
      </w:rPr>
    </w:sdtEndPr>
    <w:sdtContent>
      <w:p w14:paraId="79B1F1F7" w14:textId="77777777" w:rsidR="007D5362" w:rsidRDefault="00007B0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3A9C980D" w14:textId="77777777" w:rsidR="007D5362" w:rsidRDefault="004C0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01D7B" w14:textId="77777777" w:rsidR="004C0B3E" w:rsidRDefault="004C0B3E" w:rsidP="00E502BE">
      <w:pPr>
        <w:spacing w:after="0" w:line="240" w:lineRule="auto"/>
      </w:pPr>
      <w:r>
        <w:separator/>
      </w:r>
    </w:p>
  </w:footnote>
  <w:footnote w:type="continuationSeparator" w:id="0">
    <w:p w14:paraId="575A11E7" w14:textId="77777777" w:rsidR="004C0B3E" w:rsidRDefault="004C0B3E" w:rsidP="00E50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F0DCF" w14:textId="77777777" w:rsidR="00255FE7" w:rsidRDefault="00007B0D">
    <w:pPr>
      <w:pStyle w:val="Header"/>
    </w:pPr>
    <w:r>
      <w:rPr>
        <w:noProof/>
        <w:lang w:val="en-US"/>
      </w:rPr>
      <mc:AlternateContent>
        <mc:Choice Requires="wps">
          <w:drawing>
            <wp:anchor distT="0" distB="0" distL="114300" distR="114300" simplePos="0" relativeHeight="251660288" behindDoc="1" locked="0" layoutInCell="0" allowOverlap="1" wp14:anchorId="721F5747" wp14:editId="3764291E">
              <wp:simplePos x="0" y="0"/>
              <wp:positionH relativeFrom="page">
                <wp:posOffset>290830</wp:posOffset>
              </wp:positionH>
              <wp:positionV relativeFrom="page">
                <wp:posOffset>181610</wp:posOffset>
              </wp:positionV>
              <wp:extent cx="5988050" cy="303530"/>
              <wp:effectExtent l="0" t="0" r="6350" b="1270"/>
              <wp:wrapThrough wrapText="bothSides">
                <wp:wrapPolygon edited="0">
                  <wp:start x="0" y="0"/>
                  <wp:lineTo x="0" y="19883"/>
                  <wp:lineTo x="21531" y="19883"/>
                  <wp:lineTo x="21531" y="0"/>
                  <wp:lineTo x="0" y="0"/>
                </wp:wrapPolygon>
              </wp:wrapThrough>
              <wp:docPr id="10"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3035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6F1E59C" w14:textId="77777777" w:rsidR="00255FE7" w:rsidRPr="00FC233D" w:rsidRDefault="00007B0D">
                          <w:pPr>
                            <w:pStyle w:val="BodyText"/>
                            <w:kinsoku w:val="0"/>
                            <w:overflowPunct w:val="0"/>
                            <w:spacing w:before="20" w:line="242" w:lineRule="auto"/>
                            <w:ind w:right="1"/>
                            <w:rPr>
                              <w:sz w:val="16"/>
                              <w:szCs w:val="16"/>
                            </w:rPr>
                          </w:pPr>
                          <w:r w:rsidRPr="00FC233D">
                            <w:rPr>
                              <w:b/>
                              <w:bCs/>
                              <w:sz w:val="16"/>
                              <w:szCs w:val="16"/>
                            </w:rPr>
                            <w:t xml:space="preserve">PRISM: </w:t>
                          </w:r>
                          <w:r w:rsidRPr="00FC233D">
                            <w:rPr>
                              <w:sz w:val="16"/>
                              <w:szCs w:val="16"/>
                            </w:rPr>
                            <w:t>Human Rights issues relating to Sexual Orientation, Gender Identity and Expression, and Sex Characteristics (SOGIESC) in Aotearoa New Zealand - A report with recommendations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F5747" id="_x0000_t202" coordsize="21600,21600" o:spt="202" path="m,l,21600r21600,l21600,xe">
              <v:stroke joinstyle="miter"/>
              <v:path gradientshapeok="t" o:connecttype="rect"/>
            </v:shapetype>
            <v:shape id="Text Box 10" o:spid="_x0000_s1026" type="#_x0000_t202" style="position:absolute;margin-left:22.9pt;margin-top:14.3pt;width:471.5pt;height:23.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" o:allowincell="f" filled="f" stroked="f">
              <v:textbox inset="0,0,0,0">
                <w:txbxContent>
                  <w:p w14:paraId="16F1E59C" w14:textId="77777777" w:rsidR="00255FE7" w:rsidRPr="00FC233D" w:rsidRDefault="00007B0D">
                    <w:pPr>
                      <w:pStyle w:val="BodyText"/>
                      <w:kinsoku w:val="0"/>
                      <w:overflowPunct w:val="0"/>
                      <w:spacing w:before="20" w:line="242" w:lineRule="auto"/>
                      <w:ind w:right="1"/>
                      <w:rPr>
                        <w:sz w:val="16"/>
                        <w:szCs w:val="16"/>
                      </w:rPr>
                    </w:pPr>
                    <w:r w:rsidRPr="00FC233D">
                      <w:rPr>
                        <w:b/>
                        <w:bCs/>
                        <w:sz w:val="16"/>
                        <w:szCs w:val="16"/>
                      </w:rPr>
                      <w:t xml:space="preserve">PRISM: </w:t>
                    </w:r>
                    <w:r w:rsidRPr="00FC233D">
                      <w:rPr>
                        <w:sz w:val="16"/>
                        <w:szCs w:val="16"/>
                      </w:rPr>
                      <w:t>Human Rights issues relating to Sexual Orientation, Gender Identity and Expression, and Sex Characteristics (SOGIESC) in Aotearoa New Zealand - A report with recommendations</w:t>
                    </w:r>
                  </w:p>
                </w:txbxContent>
              </v:textbox>
              <w10:wrap type="through"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84068"/>
    <w:multiLevelType w:val="hybridMultilevel"/>
    <w:tmpl w:val="16A88E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2AC4B18"/>
    <w:multiLevelType w:val="hybridMultilevel"/>
    <w:tmpl w:val="23027A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45D3001"/>
    <w:multiLevelType w:val="hybridMultilevel"/>
    <w:tmpl w:val="B178BF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C381B5F"/>
    <w:multiLevelType w:val="hybridMultilevel"/>
    <w:tmpl w:val="84AE92E0"/>
    <w:lvl w:ilvl="0" w:tplc="14090001">
      <w:start w:val="1"/>
      <w:numFmt w:val="bullet"/>
      <w:lvlText w:val=""/>
      <w:lvlJc w:val="left"/>
      <w:pPr>
        <w:ind w:left="740" w:hanging="360"/>
      </w:pPr>
      <w:rPr>
        <w:rFonts w:ascii="Symbol" w:hAnsi="Symbol" w:hint="default"/>
      </w:rPr>
    </w:lvl>
    <w:lvl w:ilvl="1" w:tplc="14090003" w:tentative="1">
      <w:start w:val="1"/>
      <w:numFmt w:val="bullet"/>
      <w:lvlText w:val="o"/>
      <w:lvlJc w:val="left"/>
      <w:pPr>
        <w:ind w:left="1460" w:hanging="360"/>
      </w:pPr>
      <w:rPr>
        <w:rFonts w:ascii="Courier New" w:hAnsi="Courier New" w:cs="Courier New" w:hint="default"/>
      </w:rPr>
    </w:lvl>
    <w:lvl w:ilvl="2" w:tplc="14090005" w:tentative="1">
      <w:start w:val="1"/>
      <w:numFmt w:val="bullet"/>
      <w:lvlText w:val=""/>
      <w:lvlJc w:val="left"/>
      <w:pPr>
        <w:ind w:left="2180" w:hanging="360"/>
      </w:pPr>
      <w:rPr>
        <w:rFonts w:ascii="Wingdings" w:hAnsi="Wingdings" w:hint="default"/>
      </w:rPr>
    </w:lvl>
    <w:lvl w:ilvl="3" w:tplc="14090001" w:tentative="1">
      <w:start w:val="1"/>
      <w:numFmt w:val="bullet"/>
      <w:lvlText w:val=""/>
      <w:lvlJc w:val="left"/>
      <w:pPr>
        <w:ind w:left="2900" w:hanging="360"/>
      </w:pPr>
      <w:rPr>
        <w:rFonts w:ascii="Symbol" w:hAnsi="Symbol" w:hint="default"/>
      </w:rPr>
    </w:lvl>
    <w:lvl w:ilvl="4" w:tplc="14090003" w:tentative="1">
      <w:start w:val="1"/>
      <w:numFmt w:val="bullet"/>
      <w:lvlText w:val="o"/>
      <w:lvlJc w:val="left"/>
      <w:pPr>
        <w:ind w:left="3620" w:hanging="360"/>
      </w:pPr>
      <w:rPr>
        <w:rFonts w:ascii="Courier New" w:hAnsi="Courier New" w:cs="Courier New" w:hint="default"/>
      </w:rPr>
    </w:lvl>
    <w:lvl w:ilvl="5" w:tplc="14090005" w:tentative="1">
      <w:start w:val="1"/>
      <w:numFmt w:val="bullet"/>
      <w:lvlText w:val=""/>
      <w:lvlJc w:val="left"/>
      <w:pPr>
        <w:ind w:left="4340" w:hanging="360"/>
      </w:pPr>
      <w:rPr>
        <w:rFonts w:ascii="Wingdings" w:hAnsi="Wingdings" w:hint="default"/>
      </w:rPr>
    </w:lvl>
    <w:lvl w:ilvl="6" w:tplc="14090001" w:tentative="1">
      <w:start w:val="1"/>
      <w:numFmt w:val="bullet"/>
      <w:lvlText w:val=""/>
      <w:lvlJc w:val="left"/>
      <w:pPr>
        <w:ind w:left="5060" w:hanging="360"/>
      </w:pPr>
      <w:rPr>
        <w:rFonts w:ascii="Symbol" w:hAnsi="Symbol" w:hint="default"/>
      </w:rPr>
    </w:lvl>
    <w:lvl w:ilvl="7" w:tplc="14090003" w:tentative="1">
      <w:start w:val="1"/>
      <w:numFmt w:val="bullet"/>
      <w:lvlText w:val="o"/>
      <w:lvlJc w:val="left"/>
      <w:pPr>
        <w:ind w:left="5780" w:hanging="360"/>
      </w:pPr>
      <w:rPr>
        <w:rFonts w:ascii="Courier New" w:hAnsi="Courier New" w:cs="Courier New" w:hint="default"/>
      </w:rPr>
    </w:lvl>
    <w:lvl w:ilvl="8" w:tplc="14090005" w:tentative="1">
      <w:start w:val="1"/>
      <w:numFmt w:val="bullet"/>
      <w:lvlText w:val=""/>
      <w:lvlJc w:val="left"/>
      <w:pPr>
        <w:ind w:left="6500" w:hanging="360"/>
      </w:pPr>
      <w:rPr>
        <w:rFonts w:ascii="Wingdings" w:hAnsi="Wingdings" w:hint="default"/>
      </w:rPr>
    </w:lvl>
  </w:abstractNum>
  <w:abstractNum w:abstractNumId="4" w15:restartNumberingAfterBreak="0">
    <w:nsid w:val="63BB5ADD"/>
    <w:multiLevelType w:val="hybridMultilevel"/>
    <w:tmpl w:val="3398D18A"/>
    <w:lvl w:ilvl="0" w:tplc="14090001">
      <w:start w:val="1"/>
      <w:numFmt w:val="bullet"/>
      <w:lvlText w:val=""/>
      <w:lvlJc w:val="left"/>
      <w:pPr>
        <w:ind w:left="740" w:hanging="360"/>
      </w:pPr>
      <w:rPr>
        <w:rFonts w:ascii="Symbol" w:hAnsi="Symbol" w:hint="default"/>
      </w:rPr>
    </w:lvl>
    <w:lvl w:ilvl="1" w:tplc="14090003" w:tentative="1">
      <w:start w:val="1"/>
      <w:numFmt w:val="bullet"/>
      <w:lvlText w:val="o"/>
      <w:lvlJc w:val="left"/>
      <w:pPr>
        <w:ind w:left="1460" w:hanging="360"/>
      </w:pPr>
      <w:rPr>
        <w:rFonts w:ascii="Courier New" w:hAnsi="Courier New" w:cs="Courier New" w:hint="default"/>
      </w:rPr>
    </w:lvl>
    <w:lvl w:ilvl="2" w:tplc="14090005" w:tentative="1">
      <w:start w:val="1"/>
      <w:numFmt w:val="bullet"/>
      <w:lvlText w:val=""/>
      <w:lvlJc w:val="left"/>
      <w:pPr>
        <w:ind w:left="2180" w:hanging="360"/>
      </w:pPr>
      <w:rPr>
        <w:rFonts w:ascii="Wingdings" w:hAnsi="Wingdings" w:hint="default"/>
      </w:rPr>
    </w:lvl>
    <w:lvl w:ilvl="3" w:tplc="14090001" w:tentative="1">
      <w:start w:val="1"/>
      <w:numFmt w:val="bullet"/>
      <w:lvlText w:val=""/>
      <w:lvlJc w:val="left"/>
      <w:pPr>
        <w:ind w:left="2900" w:hanging="360"/>
      </w:pPr>
      <w:rPr>
        <w:rFonts w:ascii="Symbol" w:hAnsi="Symbol" w:hint="default"/>
      </w:rPr>
    </w:lvl>
    <w:lvl w:ilvl="4" w:tplc="14090003" w:tentative="1">
      <w:start w:val="1"/>
      <w:numFmt w:val="bullet"/>
      <w:lvlText w:val="o"/>
      <w:lvlJc w:val="left"/>
      <w:pPr>
        <w:ind w:left="3620" w:hanging="360"/>
      </w:pPr>
      <w:rPr>
        <w:rFonts w:ascii="Courier New" w:hAnsi="Courier New" w:cs="Courier New" w:hint="default"/>
      </w:rPr>
    </w:lvl>
    <w:lvl w:ilvl="5" w:tplc="14090005" w:tentative="1">
      <w:start w:val="1"/>
      <w:numFmt w:val="bullet"/>
      <w:lvlText w:val=""/>
      <w:lvlJc w:val="left"/>
      <w:pPr>
        <w:ind w:left="4340" w:hanging="360"/>
      </w:pPr>
      <w:rPr>
        <w:rFonts w:ascii="Wingdings" w:hAnsi="Wingdings" w:hint="default"/>
      </w:rPr>
    </w:lvl>
    <w:lvl w:ilvl="6" w:tplc="14090001" w:tentative="1">
      <w:start w:val="1"/>
      <w:numFmt w:val="bullet"/>
      <w:lvlText w:val=""/>
      <w:lvlJc w:val="left"/>
      <w:pPr>
        <w:ind w:left="5060" w:hanging="360"/>
      </w:pPr>
      <w:rPr>
        <w:rFonts w:ascii="Symbol" w:hAnsi="Symbol" w:hint="default"/>
      </w:rPr>
    </w:lvl>
    <w:lvl w:ilvl="7" w:tplc="14090003" w:tentative="1">
      <w:start w:val="1"/>
      <w:numFmt w:val="bullet"/>
      <w:lvlText w:val="o"/>
      <w:lvlJc w:val="left"/>
      <w:pPr>
        <w:ind w:left="5780" w:hanging="360"/>
      </w:pPr>
      <w:rPr>
        <w:rFonts w:ascii="Courier New" w:hAnsi="Courier New" w:cs="Courier New" w:hint="default"/>
      </w:rPr>
    </w:lvl>
    <w:lvl w:ilvl="8" w:tplc="14090005" w:tentative="1">
      <w:start w:val="1"/>
      <w:numFmt w:val="bullet"/>
      <w:lvlText w:val=""/>
      <w:lvlJc w:val="left"/>
      <w:pPr>
        <w:ind w:left="6500" w:hanging="360"/>
      </w:pPr>
      <w:rPr>
        <w:rFonts w:ascii="Wingdings" w:hAnsi="Wingdings" w:hint="default"/>
      </w:rPr>
    </w:lvl>
  </w:abstractNum>
  <w:abstractNum w:abstractNumId="5" w15:restartNumberingAfterBreak="0">
    <w:nsid w:val="71A16CC6"/>
    <w:multiLevelType w:val="hybridMultilevel"/>
    <w:tmpl w:val="67081E8C"/>
    <w:lvl w:ilvl="0" w:tplc="14090001">
      <w:start w:val="1"/>
      <w:numFmt w:val="bullet"/>
      <w:lvlText w:val=""/>
      <w:lvlJc w:val="left"/>
      <w:pPr>
        <w:ind w:left="740" w:hanging="360"/>
      </w:pPr>
      <w:rPr>
        <w:rFonts w:ascii="Symbol" w:hAnsi="Symbol" w:hint="default"/>
      </w:rPr>
    </w:lvl>
    <w:lvl w:ilvl="1" w:tplc="14090003" w:tentative="1">
      <w:start w:val="1"/>
      <w:numFmt w:val="bullet"/>
      <w:lvlText w:val="o"/>
      <w:lvlJc w:val="left"/>
      <w:pPr>
        <w:ind w:left="1460" w:hanging="360"/>
      </w:pPr>
      <w:rPr>
        <w:rFonts w:ascii="Courier New" w:hAnsi="Courier New" w:cs="Courier New" w:hint="default"/>
      </w:rPr>
    </w:lvl>
    <w:lvl w:ilvl="2" w:tplc="14090005" w:tentative="1">
      <w:start w:val="1"/>
      <w:numFmt w:val="bullet"/>
      <w:lvlText w:val=""/>
      <w:lvlJc w:val="left"/>
      <w:pPr>
        <w:ind w:left="2180" w:hanging="360"/>
      </w:pPr>
      <w:rPr>
        <w:rFonts w:ascii="Wingdings" w:hAnsi="Wingdings" w:hint="default"/>
      </w:rPr>
    </w:lvl>
    <w:lvl w:ilvl="3" w:tplc="14090001" w:tentative="1">
      <w:start w:val="1"/>
      <w:numFmt w:val="bullet"/>
      <w:lvlText w:val=""/>
      <w:lvlJc w:val="left"/>
      <w:pPr>
        <w:ind w:left="2900" w:hanging="360"/>
      </w:pPr>
      <w:rPr>
        <w:rFonts w:ascii="Symbol" w:hAnsi="Symbol" w:hint="default"/>
      </w:rPr>
    </w:lvl>
    <w:lvl w:ilvl="4" w:tplc="14090003" w:tentative="1">
      <w:start w:val="1"/>
      <w:numFmt w:val="bullet"/>
      <w:lvlText w:val="o"/>
      <w:lvlJc w:val="left"/>
      <w:pPr>
        <w:ind w:left="3620" w:hanging="360"/>
      </w:pPr>
      <w:rPr>
        <w:rFonts w:ascii="Courier New" w:hAnsi="Courier New" w:cs="Courier New" w:hint="default"/>
      </w:rPr>
    </w:lvl>
    <w:lvl w:ilvl="5" w:tplc="14090005" w:tentative="1">
      <w:start w:val="1"/>
      <w:numFmt w:val="bullet"/>
      <w:lvlText w:val=""/>
      <w:lvlJc w:val="left"/>
      <w:pPr>
        <w:ind w:left="4340" w:hanging="360"/>
      </w:pPr>
      <w:rPr>
        <w:rFonts w:ascii="Wingdings" w:hAnsi="Wingdings" w:hint="default"/>
      </w:rPr>
    </w:lvl>
    <w:lvl w:ilvl="6" w:tplc="14090001" w:tentative="1">
      <w:start w:val="1"/>
      <w:numFmt w:val="bullet"/>
      <w:lvlText w:val=""/>
      <w:lvlJc w:val="left"/>
      <w:pPr>
        <w:ind w:left="5060" w:hanging="360"/>
      </w:pPr>
      <w:rPr>
        <w:rFonts w:ascii="Symbol" w:hAnsi="Symbol" w:hint="default"/>
      </w:rPr>
    </w:lvl>
    <w:lvl w:ilvl="7" w:tplc="14090003" w:tentative="1">
      <w:start w:val="1"/>
      <w:numFmt w:val="bullet"/>
      <w:lvlText w:val="o"/>
      <w:lvlJc w:val="left"/>
      <w:pPr>
        <w:ind w:left="5780" w:hanging="360"/>
      </w:pPr>
      <w:rPr>
        <w:rFonts w:ascii="Courier New" w:hAnsi="Courier New" w:cs="Courier New" w:hint="default"/>
      </w:rPr>
    </w:lvl>
    <w:lvl w:ilvl="8" w:tplc="14090005" w:tentative="1">
      <w:start w:val="1"/>
      <w:numFmt w:val="bullet"/>
      <w:lvlText w:val=""/>
      <w:lvlJc w:val="left"/>
      <w:pPr>
        <w:ind w:left="6500" w:hanging="360"/>
      </w:pPr>
      <w:rPr>
        <w:rFonts w:ascii="Wingdings" w:hAnsi="Wingdings" w:hint="default"/>
      </w:rPr>
    </w:lvl>
  </w:abstractNum>
  <w:abstractNum w:abstractNumId="6" w15:restartNumberingAfterBreak="0">
    <w:nsid w:val="7DB2572B"/>
    <w:multiLevelType w:val="hybridMultilevel"/>
    <w:tmpl w:val="86107E68"/>
    <w:lvl w:ilvl="0" w:tplc="14090001">
      <w:start w:val="1"/>
      <w:numFmt w:val="bullet"/>
      <w:lvlText w:val=""/>
      <w:lvlJc w:val="left"/>
      <w:pPr>
        <w:ind w:left="740" w:hanging="360"/>
      </w:pPr>
      <w:rPr>
        <w:rFonts w:ascii="Symbol" w:hAnsi="Symbol" w:hint="default"/>
      </w:rPr>
    </w:lvl>
    <w:lvl w:ilvl="1" w:tplc="14090003" w:tentative="1">
      <w:start w:val="1"/>
      <w:numFmt w:val="bullet"/>
      <w:lvlText w:val="o"/>
      <w:lvlJc w:val="left"/>
      <w:pPr>
        <w:ind w:left="1460" w:hanging="360"/>
      </w:pPr>
      <w:rPr>
        <w:rFonts w:ascii="Courier New" w:hAnsi="Courier New" w:cs="Courier New" w:hint="default"/>
      </w:rPr>
    </w:lvl>
    <w:lvl w:ilvl="2" w:tplc="14090005" w:tentative="1">
      <w:start w:val="1"/>
      <w:numFmt w:val="bullet"/>
      <w:lvlText w:val=""/>
      <w:lvlJc w:val="left"/>
      <w:pPr>
        <w:ind w:left="2180" w:hanging="360"/>
      </w:pPr>
      <w:rPr>
        <w:rFonts w:ascii="Wingdings" w:hAnsi="Wingdings" w:hint="default"/>
      </w:rPr>
    </w:lvl>
    <w:lvl w:ilvl="3" w:tplc="14090001" w:tentative="1">
      <w:start w:val="1"/>
      <w:numFmt w:val="bullet"/>
      <w:lvlText w:val=""/>
      <w:lvlJc w:val="left"/>
      <w:pPr>
        <w:ind w:left="2900" w:hanging="360"/>
      </w:pPr>
      <w:rPr>
        <w:rFonts w:ascii="Symbol" w:hAnsi="Symbol" w:hint="default"/>
      </w:rPr>
    </w:lvl>
    <w:lvl w:ilvl="4" w:tplc="14090003" w:tentative="1">
      <w:start w:val="1"/>
      <w:numFmt w:val="bullet"/>
      <w:lvlText w:val="o"/>
      <w:lvlJc w:val="left"/>
      <w:pPr>
        <w:ind w:left="3620" w:hanging="360"/>
      </w:pPr>
      <w:rPr>
        <w:rFonts w:ascii="Courier New" w:hAnsi="Courier New" w:cs="Courier New" w:hint="default"/>
      </w:rPr>
    </w:lvl>
    <w:lvl w:ilvl="5" w:tplc="14090005" w:tentative="1">
      <w:start w:val="1"/>
      <w:numFmt w:val="bullet"/>
      <w:lvlText w:val=""/>
      <w:lvlJc w:val="left"/>
      <w:pPr>
        <w:ind w:left="4340" w:hanging="360"/>
      </w:pPr>
      <w:rPr>
        <w:rFonts w:ascii="Wingdings" w:hAnsi="Wingdings" w:hint="default"/>
      </w:rPr>
    </w:lvl>
    <w:lvl w:ilvl="6" w:tplc="14090001" w:tentative="1">
      <w:start w:val="1"/>
      <w:numFmt w:val="bullet"/>
      <w:lvlText w:val=""/>
      <w:lvlJc w:val="left"/>
      <w:pPr>
        <w:ind w:left="5060" w:hanging="360"/>
      </w:pPr>
      <w:rPr>
        <w:rFonts w:ascii="Symbol" w:hAnsi="Symbol" w:hint="default"/>
      </w:rPr>
    </w:lvl>
    <w:lvl w:ilvl="7" w:tplc="14090003" w:tentative="1">
      <w:start w:val="1"/>
      <w:numFmt w:val="bullet"/>
      <w:lvlText w:val="o"/>
      <w:lvlJc w:val="left"/>
      <w:pPr>
        <w:ind w:left="5780" w:hanging="360"/>
      </w:pPr>
      <w:rPr>
        <w:rFonts w:ascii="Courier New" w:hAnsi="Courier New" w:cs="Courier New" w:hint="default"/>
      </w:rPr>
    </w:lvl>
    <w:lvl w:ilvl="8" w:tplc="14090005" w:tentative="1">
      <w:start w:val="1"/>
      <w:numFmt w:val="bullet"/>
      <w:lvlText w:val=""/>
      <w:lvlJc w:val="left"/>
      <w:pPr>
        <w:ind w:left="650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2BE"/>
    <w:rsid w:val="00007B0D"/>
    <w:rsid w:val="00071D5C"/>
    <w:rsid w:val="002F3AC9"/>
    <w:rsid w:val="003E1794"/>
    <w:rsid w:val="004C0B3E"/>
    <w:rsid w:val="00AE10FC"/>
    <w:rsid w:val="00E502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FE70A"/>
  <w15:chartTrackingRefBased/>
  <w15:docId w15:val="{30CD5F2C-A943-4975-94AE-14F57097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2BE"/>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E502BE"/>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02B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2B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502BE"/>
    <w:rPr>
      <w:rFonts w:asciiTheme="majorHAnsi" w:eastAsiaTheme="majorEastAsia" w:hAnsiTheme="majorHAnsi" w:cstheme="majorBidi"/>
      <w:color w:val="404040" w:themeColor="text1" w:themeTint="BF"/>
      <w:sz w:val="28"/>
      <w:szCs w:val="28"/>
    </w:rPr>
  </w:style>
  <w:style w:type="character" w:styleId="Hyperlink">
    <w:name w:val="Hyperlink"/>
    <w:basedOn w:val="DefaultParagraphFont"/>
    <w:uiPriority w:val="99"/>
    <w:unhideWhenUsed/>
    <w:rsid w:val="00E502BE"/>
    <w:rPr>
      <w:color w:val="0563C1" w:themeColor="hyperlink"/>
      <w:u w:val="single"/>
    </w:rPr>
  </w:style>
  <w:style w:type="paragraph" w:styleId="Header">
    <w:name w:val="header"/>
    <w:basedOn w:val="Normal"/>
    <w:link w:val="HeaderChar"/>
    <w:uiPriority w:val="99"/>
    <w:unhideWhenUsed/>
    <w:rsid w:val="00E50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2BE"/>
    <w:rPr>
      <w:rFonts w:eastAsiaTheme="minorEastAsia"/>
      <w:sz w:val="20"/>
      <w:szCs w:val="20"/>
    </w:rPr>
  </w:style>
  <w:style w:type="paragraph" w:styleId="Footer">
    <w:name w:val="footer"/>
    <w:basedOn w:val="Normal"/>
    <w:link w:val="FooterChar"/>
    <w:uiPriority w:val="99"/>
    <w:unhideWhenUsed/>
    <w:rsid w:val="00E50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2BE"/>
    <w:rPr>
      <w:rFonts w:eastAsiaTheme="minorEastAsia"/>
      <w:sz w:val="20"/>
      <w:szCs w:val="20"/>
    </w:rPr>
  </w:style>
  <w:style w:type="paragraph" w:customStyle="1" w:styleId="BodyBullets">
    <w:name w:val="Body Bullets"/>
    <w:basedOn w:val="Normal"/>
    <w:uiPriority w:val="99"/>
    <w:rsid w:val="00E502BE"/>
    <w:pPr>
      <w:widowControl w:val="0"/>
      <w:suppressAutoHyphens/>
      <w:autoSpaceDE w:val="0"/>
      <w:autoSpaceDN w:val="0"/>
      <w:adjustRightInd w:val="0"/>
      <w:spacing w:after="0" w:line="270" w:lineRule="atLeast"/>
      <w:ind w:left="283" w:hanging="227"/>
      <w:textAlignment w:val="center"/>
    </w:pPr>
    <w:rPr>
      <w:rFonts w:ascii="OpenSans" w:hAnsi="OpenSans" w:cs="OpenSans"/>
      <w:color w:val="000000"/>
      <w:lang w:val="en-US"/>
    </w:rPr>
  </w:style>
  <w:style w:type="paragraph" w:styleId="BodyText">
    <w:name w:val="Body Text"/>
    <w:basedOn w:val="Normal"/>
    <w:link w:val="BodyTextChar"/>
    <w:uiPriority w:val="1"/>
    <w:qFormat/>
    <w:rsid w:val="00E502BE"/>
    <w:pPr>
      <w:widowControl w:val="0"/>
      <w:autoSpaceDE w:val="0"/>
      <w:autoSpaceDN w:val="0"/>
      <w:adjustRightInd w:val="0"/>
      <w:spacing w:before="4" w:after="0" w:line="240" w:lineRule="auto"/>
      <w:ind w:left="20"/>
    </w:pPr>
    <w:rPr>
      <w:rFonts w:ascii="Open Sans" w:eastAsia="Times New Roman" w:hAnsi="Open Sans" w:cs="Open Sans"/>
      <w:lang w:val="en-US"/>
    </w:rPr>
  </w:style>
  <w:style w:type="character" w:customStyle="1" w:styleId="BodyTextChar">
    <w:name w:val="Body Text Char"/>
    <w:basedOn w:val="DefaultParagraphFont"/>
    <w:link w:val="BodyText"/>
    <w:uiPriority w:val="1"/>
    <w:rsid w:val="00E502BE"/>
    <w:rPr>
      <w:rFonts w:ascii="Open Sans" w:eastAsia="Times New Roman" w:hAnsi="Open Sans" w:cs="Open Sans"/>
      <w:sz w:val="20"/>
      <w:szCs w:val="20"/>
      <w:lang w:val="en-US"/>
    </w:rPr>
  </w:style>
  <w:style w:type="character" w:styleId="PageNumber">
    <w:name w:val="page number"/>
    <w:basedOn w:val="DefaultParagraphFont"/>
    <w:uiPriority w:val="99"/>
    <w:semiHidden/>
    <w:unhideWhenUsed/>
    <w:rsid w:val="00E502BE"/>
    <w:rPr>
      <w:rFonts w:ascii="Arial" w:hAnsi="Arial"/>
      <w:b w:val="0"/>
      <w:i w:val="0"/>
      <w:sz w:val="18"/>
    </w:rPr>
  </w:style>
  <w:style w:type="paragraph" w:styleId="TOCHeading">
    <w:name w:val="TOC Heading"/>
    <w:basedOn w:val="Heading1"/>
    <w:next w:val="Normal"/>
    <w:uiPriority w:val="39"/>
    <w:unhideWhenUsed/>
    <w:qFormat/>
    <w:rsid w:val="00E502BE"/>
    <w:pPr>
      <w:spacing w:before="240" w:line="259" w:lineRule="auto"/>
      <w:outlineLvl w:val="9"/>
    </w:pPr>
    <w:rPr>
      <w:lang w:val="en-US"/>
    </w:rPr>
  </w:style>
  <w:style w:type="paragraph" w:styleId="TOC1">
    <w:name w:val="toc 1"/>
    <w:basedOn w:val="Normal"/>
    <w:next w:val="Normal"/>
    <w:autoRedefine/>
    <w:uiPriority w:val="39"/>
    <w:unhideWhenUsed/>
    <w:rsid w:val="00E502BE"/>
    <w:pPr>
      <w:spacing w:after="100"/>
    </w:pPr>
  </w:style>
  <w:style w:type="paragraph" w:styleId="TOC2">
    <w:name w:val="toc 2"/>
    <w:basedOn w:val="Normal"/>
    <w:next w:val="Normal"/>
    <w:autoRedefine/>
    <w:uiPriority w:val="39"/>
    <w:unhideWhenUsed/>
    <w:rsid w:val="00E502BE"/>
    <w:pPr>
      <w:spacing w:after="100"/>
      <w:ind w:left="200"/>
    </w:pPr>
  </w:style>
  <w:style w:type="paragraph" w:styleId="ListParagraph">
    <w:name w:val="List Paragraph"/>
    <w:basedOn w:val="Normal"/>
    <w:uiPriority w:val="34"/>
    <w:qFormat/>
    <w:rsid w:val="002F3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79F36-1915-43C3-A0FA-D407C9474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 Lynch</dc:creator>
  <cp:keywords/>
  <dc:description/>
  <cp:lastModifiedBy>Jac Lynch</cp:lastModifiedBy>
  <cp:revision>2</cp:revision>
  <dcterms:created xsi:type="dcterms:W3CDTF">2020-10-20T23:49:00Z</dcterms:created>
  <dcterms:modified xsi:type="dcterms:W3CDTF">2020-10-20T23:49:00Z</dcterms:modified>
</cp:coreProperties>
</file>