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55" w:rsidRDefault="004C4F12" w:rsidP="000A2055">
      <w:pPr>
        <w:jc w:val="center"/>
        <w:rPr>
          <w:b/>
          <w:i/>
          <w:lang w:val="en-NZ"/>
        </w:rPr>
      </w:pPr>
      <w:r>
        <w:rPr>
          <w:b/>
          <w:i/>
          <w:noProof/>
          <w:color w:val="800000"/>
          <w:lang w:val="en-NZ" w:eastAsia="en-NZ"/>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612265" cy="1828800"/>
            <wp:effectExtent l="19050" t="0" r="6985" b="0"/>
            <wp:wrapSquare wrapText="bothSides"/>
            <wp:docPr id="2" name="Picture 2" descr="HRClogo07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logo07_RGB"/>
                    <pic:cNvPicPr>
                      <a:picLocks noChangeAspect="1" noChangeArrowheads="1"/>
                    </pic:cNvPicPr>
                  </pic:nvPicPr>
                  <pic:blipFill>
                    <a:blip r:embed="rId7" cstate="print"/>
                    <a:srcRect/>
                    <a:stretch>
                      <a:fillRect/>
                    </a:stretch>
                  </pic:blipFill>
                  <pic:spPr bwMode="auto">
                    <a:xfrm>
                      <a:off x="0" y="0"/>
                      <a:ext cx="1612265" cy="1828800"/>
                    </a:xfrm>
                    <a:prstGeom prst="rect">
                      <a:avLst/>
                    </a:prstGeom>
                    <a:noFill/>
                    <a:ln w="9525">
                      <a:noFill/>
                      <a:miter lim="800000"/>
                      <a:headEnd/>
                      <a:tailEnd/>
                    </a:ln>
                  </pic:spPr>
                </pic:pic>
              </a:graphicData>
            </a:graphic>
          </wp:anchor>
        </w:drawing>
      </w:r>
    </w:p>
    <w:p w:rsidR="000A2055" w:rsidRDefault="000A2055" w:rsidP="000A2055">
      <w:pPr>
        <w:jc w:val="center"/>
        <w:rPr>
          <w:b/>
          <w:i/>
          <w:lang w:val="en-NZ"/>
        </w:rPr>
      </w:pPr>
    </w:p>
    <w:p w:rsidR="000A2055" w:rsidRPr="00504BED" w:rsidRDefault="000A2055" w:rsidP="000A2055">
      <w:pPr>
        <w:jc w:val="center"/>
        <w:rPr>
          <w:b/>
          <w:i/>
          <w:color w:val="800000"/>
          <w:lang w:val="en-NZ"/>
        </w:rPr>
      </w:pPr>
    </w:p>
    <w:p w:rsidR="000A2055" w:rsidRDefault="000A2055" w:rsidP="000A2055">
      <w:pPr>
        <w:jc w:val="center"/>
        <w:rPr>
          <w:b/>
          <w:i/>
          <w:color w:val="800000"/>
          <w:lang w:val="en-NZ"/>
        </w:rPr>
      </w:pPr>
    </w:p>
    <w:p w:rsidR="000A2055" w:rsidRDefault="000A2055" w:rsidP="000A2055">
      <w:pPr>
        <w:jc w:val="center"/>
        <w:rPr>
          <w:b/>
          <w:i/>
          <w:color w:val="800000"/>
          <w:lang w:val="en-NZ"/>
        </w:rPr>
      </w:pPr>
    </w:p>
    <w:p w:rsidR="000A2055" w:rsidRDefault="000A2055" w:rsidP="000A2055">
      <w:pPr>
        <w:jc w:val="center"/>
        <w:rPr>
          <w:b/>
          <w:i/>
          <w:color w:val="800000"/>
          <w:lang w:val="en-NZ"/>
        </w:rPr>
      </w:pPr>
    </w:p>
    <w:p w:rsidR="000A2055" w:rsidRDefault="000A2055" w:rsidP="000A2055">
      <w:pPr>
        <w:jc w:val="center"/>
        <w:rPr>
          <w:b/>
          <w:i/>
          <w:color w:val="800000"/>
          <w:lang w:val="en-NZ"/>
        </w:rPr>
      </w:pPr>
    </w:p>
    <w:p w:rsidR="000A2055" w:rsidRPr="00504BED" w:rsidRDefault="000A2055" w:rsidP="000A2055">
      <w:pPr>
        <w:jc w:val="center"/>
        <w:rPr>
          <w:b/>
          <w:i/>
          <w:color w:val="800000"/>
          <w:lang w:val="en-NZ"/>
        </w:rPr>
      </w:pPr>
    </w:p>
    <w:p w:rsidR="000A2055" w:rsidRDefault="000A2055" w:rsidP="000A2055">
      <w:pPr>
        <w:jc w:val="center"/>
        <w:rPr>
          <w:b/>
          <w:i/>
          <w:color w:val="800000"/>
          <w:sz w:val="20"/>
          <w:szCs w:val="20"/>
          <w:lang w:val="en-NZ"/>
        </w:rPr>
      </w:pPr>
    </w:p>
    <w:p w:rsidR="000A2055" w:rsidRDefault="000A2055" w:rsidP="000A2055">
      <w:pPr>
        <w:jc w:val="center"/>
        <w:rPr>
          <w:b/>
          <w:i/>
          <w:color w:val="800000"/>
          <w:sz w:val="20"/>
          <w:szCs w:val="20"/>
          <w:lang w:val="en-NZ"/>
        </w:rPr>
      </w:pPr>
    </w:p>
    <w:p w:rsidR="000A2055" w:rsidRDefault="000A2055" w:rsidP="000A2055">
      <w:pPr>
        <w:jc w:val="center"/>
        <w:rPr>
          <w:b/>
          <w:i/>
          <w:color w:val="800000"/>
          <w:sz w:val="20"/>
          <w:szCs w:val="20"/>
          <w:lang w:val="en-NZ"/>
        </w:rPr>
      </w:pPr>
    </w:p>
    <w:p w:rsidR="000A2055" w:rsidRDefault="000A2055" w:rsidP="000A2055">
      <w:pPr>
        <w:jc w:val="center"/>
        <w:rPr>
          <w:b/>
          <w:i/>
          <w:color w:val="800000"/>
          <w:sz w:val="20"/>
          <w:szCs w:val="20"/>
          <w:lang w:val="en-NZ"/>
        </w:rPr>
      </w:pPr>
    </w:p>
    <w:p w:rsidR="000A2055" w:rsidRDefault="000A2055" w:rsidP="000A2055">
      <w:pPr>
        <w:jc w:val="center"/>
        <w:rPr>
          <w:b/>
          <w:i/>
          <w:color w:val="800000"/>
          <w:sz w:val="20"/>
          <w:szCs w:val="20"/>
          <w:lang w:val="en-NZ"/>
        </w:rPr>
      </w:pPr>
    </w:p>
    <w:p w:rsidR="000A2055" w:rsidRDefault="000A2055" w:rsidP="000A2055">
      <w:pPr>
        <w:jc w:val="center"/>
        <w:rPr>
          <w:b/>
          <w:i/>
          <w:color w:val="800000"/>
          <w:sz w:val="20"/>
          <w:szCs w:val="20"/>
          <w:lang w:val="en-NZ"/>
        </w:rPr>
      </w:pPr>
    </w:p>
    <w:p w:rsidR="000A2055" w:rsidRPr="00504BED" w:rsidRDefault="000A2055" w:rsidP="000A2055">
      <w:pPr>
        <w:jc w:val="center"/>
        <w:rPr>
          <w:b/>
          <w:i/>
          <w:color w:val="800000"/>
          <w:sz w:val="20"/>
          <w:szCs w:val="20"/>
          <w:lang w:val="en-NZ"/>
        </w:rPr>
      </w:pPr>
    </w:p>
    <w:p w:rsidR="000A2055" w:rsidRPr="003B19BE" w:rsidRDefault="000A2055" w:rsidP="000A2055">
      <w:pPr>
        <w:jc w:val="center"/>
        <w:rPr>
          <w:b/>
          <w:color w:val="800000"/>
          <w:sz w:val="52"/>
          <w:szCs w:val="52"/>
          <w:lang w:val="en-NZ"/>
        </w:rPr>
      </w:pPr>
      <w:r w:rsidRPr="003B19BE">
        <w:rPr>
          <w:b/>
          <w:color w:val="800000"/>
          <w:sz w:val="52"/>
          <w:szCs w:val="52"/>
          <w:lang w:val="en-NZ"/>
        </w:rPr>
        <w:t xml:space="preserve">Comments of the </w:t>
      </w:r>
    </w:p>
    <w:p w:rsidR="000A2055" w:rsidRPr="003B19BE" w:rsidRDefault="000A2055" w:rsidP="000A2055">
      <w:pPr>
        <w:jc w:val="center"/>
        <w:rPr>
          <w:b/>
          <w:color w:val="800000"/>
          <w:sz w:val="52"/>
          <w:szCs w:val="52"/>
          <w:lang w:val="en-NZ"/>
        </w:rPr>
      </w:pPr>
      <w:r w:rsidRPr="003B19BE">
        <w:rPr>
          <w:b/>
          <w:color w:val="800000"/>
          <w:sz w:val="52"/>
          <w:szCs w:val="52"/>
          <w:lang w:val="en-NZ"/>
        </w:rPr>
        <w:t xml:space="preserve">New Zealand Human Rights Commission </w:t>
      </w:r>
    </w:p>
    <w:p w:rsidR="000A2055" w:rsidRPr="003B19BE" w:rsidRDefault="000A2055" w:rsidP="000A2055">
      <w:pPr>
        <w:jc w:val="center"/>
        <w:rPr>
          <w:b/>
          <w:color w:val="800000"/>
          <w:sz w:val="52"/>
          <w:szCs w:val="52"/>
          <w:lang w:val="en-NZ"/>
        </w:rPr>
      </w:pPr>
    </w:p>
    <w:p w:rsidR="000A2055" w:rsidRPr="003B19BE" w:rsidRDefault="000A2055" w:rsidP="000A2055">
      <w:pPr>
        <w:jc w:val="center"/>
        <w:rPr>
          <w:b/>
          <w:color w:val="800000"/>
          <w:sz w:val="52"/>
          <w:szCs w:val="52"/>
          <w:lang w:val="en-NZ"/>
        </w:rPr>
      </w:pPr>
      <w:r w:rsidRPr="003B19BE">
        <w:rPr>
          <w:b/>
          <w:color w:val="800000"/>
          <w:sz w:val="52"/>
          <w:szCs w:val="52"/>
          <w:lang w:val="en-NZ"/>
        </w:rPr>
        <w:t xml:space="preserve">on </w:t>
      </w:r>
    </w:p>
    <w:p w:rsidR="000A2055" w:rsidRPr="003B19BE" w:rsidRDefault="000A2055" w:rsidP="000A2055">
      <w:pPr>
        <w:jc w:val="center"/>
        <w:rPr>
          <w:b/>
          <w:color w:val="800000"/>
          <w:sz w:val="52"/>
          <w:szCs w:val="52"/>
          <w:lang w:val="en-NZ"/>
        </w:rPr>
      </w:pPr>
    </w:p>
    <w:p w:rsidR="000A2055" w:rsidRPr="003B19BE" w:rsidRDefault="000A2055" w:rsidP="000A2055">
      <w:pPr>
        <w:jc w:val="center"/>
        <w:rPr>
          <w:b/>
          <w:color w:val="800000"/>
          <w:sz w:val="52"/>
          <w:szCs w:val="52"/>
          <w:lang w:val="en-NZ"/>
        </w:rPr>
      </w:pPr>
      <w:r w:rsidRPr="003B19BE">
        <w:rPr>
          <w:b/>
          <w:color w:val="800000"/>
          <w:sz w:val="52"/>
          <w:szCs w:val="52"/>
          <w:lang w:val="en-NZ"/>
        </w:rPr>
        <w:t xml:space="preserve">New Zealand’s implementation </w:t>
      </w:r>
    </w:p>
    <w:p w:rsidR="000A2055" w:rsidRPr="003B19BE" w:rsidRDefault="000A2055" w:rsidP="000A2055">
      <w:pPr>
        <w:jc w:val="center"/>
        <w:rPr>
          <w:b/>
          <w:color w:val="800000"/>
          <w:sz w:val="52"/>
          <w:szCs w:val="52"/>
          <w:lang w:val="en-NZ"/>
        </w:rPr>
      </w:pPr>
    </w:p>
    <w:p w:rsidR="000A2055" w:rsidRPr="003B19BE" w:rsidRDefault="000A2055" w:rsidP="000A2055">
      <w:pPr>
        <w:jc w:val="center"/>
        <w:rPr>
          <w:b/>
          <w:color w:val="800000"/>
          <w:sz w:val="52"/>
          <w:szCs w:val="52"/>
          <w:lang w:val="en-NZ"/>
        </w:rPr>
      </w:pPr>
      <w:r w:rsidRPr="003B19BE">
        <w:rPr>
          <w:b/>
          <w:color w:val="800000"/>
          <w:sz w:val="52"/>
          <w:szCs w:val="52"/>
          <w:lang w:val="en-NZ"/>
        </w:rPr>
        <w:t xml:space="preserve">of the </w:t>
      </w:r>
    </w:p>
    <w:p w:rsidR="000A2055" w:rsidRPr="003B19BE" w:rsidRDefault="000A2055" w:rsidP="000A2055">
      <w:pPr>
        <w:jc w:val="center"/>
        <w:rPr>
          <w:b/>
          <w:color w:val="800000"/>
          <w:sz w:val="52"/>
          <w:szCs w:val="52"/>
          <w:lang w:val="en-NZ"/>
        </w:rPr>
      </w:pPr>
    </w:p>
    <w:p w:rsidR="000A2055" w:rsidRPr="003B19BE" w:rsidRDefault="000A2055" w:rsidP="000A2055">
      <w:pPr>
        <w:jc w:val="center"/>
        <w:rPr>
          <w:b/>
          <w:color w:val="800000"/>
          <w:sz w:val="52"/>
          <w:szCs w:val="52"/>
          <w:lang w:val="en-NZ"/>
        </w:rPr>
      </w:pPr>
      <w:r w:rsidRPr="003B19BE">
        <w:rPr>
          <w:b/>
          <w:color w:val="800000"/>
          <w:sz w:val="52"/>
          <w:szCs w:val="52"/>
          <w:lang w:val="en-NZ"/>
        </w:rPr>
        <w:t xml:space="preserve">United Nations </w:t>
      </w:r>
    </w:p>
    <w:p w:rsidR="000A2055" w:rsidRPr="006B152D" w:rsidRDefault="000A2055" w:rsidP="000A2055">
      <w:pPr>
        <w:jc w:val="center"/>
        <w:rPr>
          <w:b/>
          <w:color w:val="800000"/>
          <w:sz w:val="48"/>
          <w:szCs w:val="48"/>
          <w:lang w:val="en-NZ"/>
        </w:rPr>
      </w:pPr>
      <w:r w:rsidRPr="003B19BE">
        <w:rPr>
          <w:b/>
          <w:color w:val="800000"/>
          <w:sz w:val="52"/>
          <w:szCs w:val="52"/>
          <w:lang w:val="en-NZ"/>
        </w:rPr>
        <w:t xml:space="preserve">Convention Against Torture </w:t>
      </w:r>
    </w:p>
    <w:p w:rsidR="000A2055" w:rsidRPr="006B152D" w:rsidRDefault="000A2055" w:rsidP="000A2055">
      <w:pPr>
        <w:jc w:val="center"/>
        <w:rPr>
          <w:b/>
          <w:color w:val="800000"/>
          <w:sz w:val="48"/>
          <w:szCs w:val="48"/>
          <w:lang w:val="en-NZ"/>
        </w:rPr>
      </w:pPr>
    </w:p>
    <w:p w:rsidR="000A2055" w:rsidRPr="006B152D" w:rsidRDefault="000A2055" w:rsidP="000A2055">
      <w:pPr>
        <w:jc w:val="center"/>
        <w:rPr>
          <w:b/>
          <w:color w:val="800000"/>
          <w:sz w:val="48"/>
          <w:szCs w:val="48"/>
          <w:lang w:val="en-NZ"/>
        </w:rPr>
      </w:pPr>
    </w:p>
    <w:p w:rsidR="000A2055" w:rsidRPr="006B152D" w:rsidRDefault="000A2055" w:rsidP="000A2055">
      <w:pPr>
        <w:jc w:val="center"/>
        <w:rPr>
          <w:b/>
          <w:color w:val="800000"/>
          <w:sz w:val="32"/>
          <w:szCs w:val="32"/>
          <w:lang w:val="en-NZ"/>
        </w:rPr>
      </w:pPr>
      <w:r w:rsidRPr="006B152D">
        <w:rPr>
          <w:b/>
          <w:color w:val="800000"/>
          <w:sz w:val="32"/>
          <w:szCs w:val="32"/>
          <w:lang w:val="en-NZ"/>
        </w:rPr>
        <w:t xml:space="preserve">For consideration in relation to </w:t>
      </w:r>
    </w:p>
    <w:p w:rsidR="000A2055" w:rsidRPr="006B152D" w:rsidRDefault="000A2055" w:rsidP="000A2055">
      <w:pPr>
        <w:jc w:val="center"/>
        <w:rPr>
          <w:b/>
          <w:color w:val="800000"/>
          <w:sz w:val="32"/>
          <w:szCs w:val="32"/>
          <w:lang w:val="en-NZ"/>
        </w:rPr>
      </w:pPr>
      <w:r w:rsidRPr="006B152D">
        <w:rPr>
          <w:b/>
          <w:color w:val="800000"/>
          <w:sz w:val="32"/>
          <w:szCs w:val="32"/>
          <w:lang w:val="en-NZ"/>
        </w:rPr>
        <w:t>New Zealand’s Fifth Periodic Report</w:t>
      </w:r>
    </w:p>
    <w:p w:rsidR="000A2055" w:rsidRPr="006B152D" w:rsidRDefault="000A2055" w:rsidP="000A2055">
      <w:pPr>
        <w:jc w:val="center"/>
        <w:rPr>
          <w:b/>
          <w:color w:val="800000"/>
          <w:sz w:val="32"/>
          <w:szCs w:val="32"/>
          <w:lang w:val="en-NZ"/>
        </w:rPr>
      </w:pPr>
      <w:r w:rsidRPr="006B152D">
        <w:rPr>
          <w:b/>
          <w:color w:val="800000"/>
          <w:sz w:val="32"/>
          <w:szCs w:val="32"/>
          <w:lang w:val="en-NZ"/>
        </w:rPr>
        <w:t>42</w:t>
      </w:r>
      <w:r w:rsidRPr="006B152D">
        <w:rPr>
          <w:b/>
          <w:color w:val="800000"/>
          <w:sz w:val="32"/>
          <w:szCs w:val="32"/>
          <w:vertAlign w:val="superscript"/>
          <w:lang w:val="en-NZ"/>
        </w:rPr>
        <w:t>nd</w:t>
      </w:r>
      <w:r w:rsidRPr="006B152D">
        <w:rPr>
          <w:b/>
          <w:color w:val="800000"/>
          <w:sz w:val="32"/>
          <w:szCs w:val="32"/>
          <w:lang w:val="en-NZ"/>
        </w:rPr>
        <w:t xml:space="preserve"> Session – Committee Against Torture</w:t>
      </w:r>
    </w:p>
    <w:p w:rsidR="000A2055" w:rsidRDefault="000A2055" w:rsidP="000A2055">
      <w:pPr>
        <w:jc w:val="center"/>
        <w:rPr>
          <w:color w:val="800000"/>
          <w:sz w:val="18"/>
          <w:szCs w:val="18"/>
        </w:rPr>
      </w:pPr>
      <w:r w:rsidRPr="006B152D">
        <w:rPr>
          <w:b/>
          <w:color w:val="800000"/>
          <w:sz w:val="32"/>
          <w:szCs w:val="32"/>
          <w:lang w:val="en-NZ"/>
        </w:rPr>
        <w:t>27 April – 15 May 2009</w:t>
      </w:r>
    </w:p>
    <w:p w:rsidR="000A2055" w:rsidRDefault="000A2055" w:rsidP="00652B07">
      <w:pPr>
        <w:jc w:val="center"/>
        <w:rPr>
          <w:b/>
          <w:sz w:val="28"/>
          <w:szCs w:val="28"/>
        </w:rPr>
        <w:sectPr w:rsidR="000A2055" w:rsidSect="000A2055">
          <w:footerReference w:type="even" r:id="rId8"/>
          <w:footerReference w:type="default" r:id="rId9"/>
          <w:pgSz w:w="11906" w:h="16838" w:code="9"/>
          <w:pgMar w:top="1440" w:right="1797" w:bottom="1440" w:left="1797" w:header="709" w:footer="709" w:gutter="0"/>
          <w:cols w:space="708"/>
          <w:titlePg/>
          <w:docGrid w:linePitch="360"/>
        </w:sectPr>
      </w:pPr>
    </w:p>
    <w:p w:rsidR="00652B07" w:rsidRPr="00C90C3B" w:rsidRDefault="00652B07" w:rsidP="00652B07">
      <w:pPr>
        <w:jc w:val="center"/>
        <w:rPr>
          <w:b/>
          <w:sz w:val="28"/>
          <w:szCs w:val="28"/>
        </w:rPr>
      </w:pPr>
      <w:r w:rsidRPr="00C90C3B">
        <w:rPr>
          <w:b/>
          <w:sz w:val="28"/>
          <w:szCs w:val="28"/>
        </w:rPr>
        <w:lastRenderedPageBreak/>
        <w:t xml:space="preserve">Comments of the New Zealand Human Rights Commission </w:t>
      </w:r>
    </w:p>
    <w:p w:rsidR="00652B07" w:rsidRPr="00C90C3B" w:rsidRDefault="00652B07" w:rsidP="00652B07">
      <w:pPr>
        <w:jc w:val="center"/>
        <w:rPr>
          <w:b/>
          <w:sz w:val="28"/>
          <w:szCs w:val="28"/>
        </w:rPr>
      </w:pPr>
      <w:r w:rsidRPr="00C90C3B">
        <w:rPr>
          <w:b/>
          <w:sz w:val="28"/>
          <w:szCs w:val="28"/>
        </w:rPr>
        <w:t xml:space="preserve">on </w:t>
      </w:r>
      <w:smartTag w:uri="urn:schemas-microsoft-com:office:smarttags" w:element="country-region">
        <w:smartTag w:uri="urn:schemas-microsoft-com:office:smarttags" w:element="place">
          <w:r w:rsidRPr="00C90C3B">
            <w:rPr>
              <w:b/>
              <w:sz w:val="28"/>
              <w:szCs w:val="28"/>
            </w:rPr>
            <w:t>New Zealand</w:t>
          </w:r>
        </w:smartTag>
      </w:smartTag>
      <w:r w:rsidRPr="00C90C3B">
        <w:rPr>
          <w:b/>
          <w:sz w:val="28"/>
          <w:szCs w:val="28"/>
        </w:rPr>
        <w:t xml:space="preserve">’s </w:t>
      </w:r>
      <w:r w:rsidR="00BD5F3F" w:rsidRPr="00C90C3B">
        <w:rPr>
          <w:b/>
          <w:sz w:val="28"/>
          <w:szCs w:val="28"/>
        </w:rPr>
        <w:t>implementation of</w:t>
      </w:r>
      <w:r w:rsidRPr="00C90C3B">
        <w:rPr>
          <w:b/>
          <w:sz w:val="28"/>
          <w:szCs w:val="28"/>
        </w:rPr>
        <w:t xml:space="preserve"> the </w:t>
      </w:r>
    </w:p>
    <w:p w:rsidR="00122A9E" w:rsidRPr="00652B07" w:rsidRDefault="00652B07" w:rsidP="00652B07">
      <w:pPr>
        <w:jc w:val="center"/>
        <w:rPr>
          <w:b/>
        </w:rPr>
      </w:pPr>
      <w:r w:rsidRPr="00C90C3B">
        <w:rPr>
          <w:b/>
          <w:sz w:val="28"/>
          <w:szCs w:val="28"/>
        </w:rPr>
        <w:t>United Nations Convention Against Torture</w:t>
      </w:r>
      <w:r>
        <w:rPr>
          <w:b/>
        </w:rPr>
        <w:t xml:space="preserve"> </w:t>
      </w:r>
    </w:p>
    <w:p w:rsidR="00122A9E" w:rsidRDefault="00122A9E" w:rsidP="000542A0">
      <w:pPr>
        <w:pStyle w:val="TOC1"/>
        <w:rPr>
          <w:sz w:val="22"/>
          <w:szCs w:val="22"/>
        </w:rPr>
      </w:pPr>
    </w:p>
    <w:p w:rsidR="000542A0" w:rsidRPr="000542A0" w:rsidRDefault="000542A0" w:rsidP="000542A0"/>
    <w:p w:rsidR="00CF140C" w:rsidRPr="000542A0" w:rsidRDefault="00352A78" w:rsidP="000542A0">
      <w:pPr>
        <w:pStyle w:val="TOC1"/>
        <w:rPr>
          <w:rFonts w:ascii="Times New Roman" w:hAnsi="Times New Roman"/>
          <w:noProof/>
          <w:sz w:val="22"/>
          <w:szCs w:val="22"/>
          <w:lang w:val="en-GB" w:eastAsia="en-GB"/>
        </w:rPr>
      </w:pPr>
      <w:r w:rsidRPr="000542A0">
        <w:rPr>
          <w:sz w:val="22"/>
          <w:szCs w:val="22"/>
        </w:rPr>
        <w:fldChar w:fldCharType="begin"/>
      </w:r>
      <w:r w:rsidRPr="000542A0">
        <w:rPr>
          <w:sz w:val="22"/>
          <w:szCs w:val="22"/>
        </w:rPr>
        <w:instrText xml:space="preserve"> TOC \o "1-3" \h \z \u </w:instrText>
      </w:r>
      <w:r w:rsidRPr="000542A0">
        <w:rPr>
          <w:sz w:val="22"/>
          <w:szCs w:val="22"/>
        </w:rPr>
        <w:fldChar w:fldCharType="separate"/>
      </w:r>
      <w:hyperlink w:anchor="_Toc225333130" w:history="1">
        <w:r w:rsidR="00CF140C" w:rsidRPr="000542A0">
          <w:rPr>
            <w:rStyle w:val="Hyperlink"/>
            <w:noProof/>
            <w:sz w:val="22"/>
            <w:szCs w:val="22"/>
            <w:lang w:val="en-NZ"/>
          </w:rPr>
          <w:t>1.</w:t>
        </w:r>
        <w:r w:rsidR="00CF140C" w:rsidRPr="000542A0">
          <w:rPr>
            <w:rFonts w:ascii="Times New Roman" w:hAnsi="Times New Roman"/>
            <w:noProof/>
            <w:sz w:val="22"/>
            <w:szCs w:val="22"/>
            <w:lang w:val="en-GB" w:eastAsia="en-GB"/>
          </w:rPr>
          <w:tab/>
        </w:r>
        <w:r w:rsidR="00CF140C" w:rsidRPr="000542A0">
          <w:rPr>
            <w:rStyle w:val="Hyperlink"/>
            <w:noProof/>
            <w:sz w:val="22"/>
            <w:szCs w:val="22"/>
            <w:lang w:val="en-NZ"/>
          </w:rPr>
          <w:t>Introduction</w:t>
        </w:r>
        <w:r w:rsidR="00CF140C" w:rsidRPr="000542A0">
          <w:rPr>
            <w:noProof/>
            <w:webHidden/>
            <w:sz w:val="22"/>
            <w:szCs w:val="22"/>
          </w:rPr>
          <w:tab/>
        </w:r>
        <w:r w:rsidR="00CF140C" w:rsidRPr="000542A0">
          <w:rPr>
            <w:noProof/>
            <w:webHidden/>
            <w:sz w:val="22"/>
            <w:szCs w:val="22"/>
          </w:rPr>
          <w:fldChar w:fldCharType="begin"/>
        </w:r>
        <w:r w:rsidR="00CF140C" w:rsidRPr="000542A0">
          <w:rPr>
            <w:noProof/>
            <w:webHidden/>
            <w:sz w:val="22"/>
            <w:szCs w:val="22"/>
          </w:rPr>
          <w:instrText xml:space="preserve"> PAGEREF _Toc225333130 \h </w:instrText>
        </w:r>
        <w:r w:rsidR="00B43CE1" w:rsidRPr="000542A0">
          <w:rPr>
            <w:noProof/>
            <w:sz w:val="22"/>
            <w:szCs w:val="22"/>
          </w:rPr>
        </w:r>
        <w:r w:rsidR="00CF140C" w:rsidRPr="000542A0">
          <w:rPr>
            <w:noProof/>
            <w:webHidden/>
            <w:sz w:val="22"/>
            <w:szCs w:val="22"/>
          </w:rPr>
          <w:fldChar w:fldCharType="separate"/>
        </w:r>
        <w:r w:rsidR="004F76C4">
          <w:rPr>
            <w:noProof/>
            <w:webHidden/>
            <w:sz w:val="22"/>
            <w:szCs w:val="22"/>
          </w:rPr>
          <w:t>2</w:t>
        </w:r>
        <w:r w:rsidR="00CF140C" w:rsidRPr="000542A0">
          <w:rPr>
            <w:noProof/>
            <w:webHidden/>
            <w:sz w:val="22"/>
            <w:szCs w:val="22"/>
          </w:rPr>
          <w:fldChar w:fldCharType="end"/>
        </w:r>
      </w:hyperlink>
    </w:p>
    <w:p w:rsidR="00CF140C" w:rsidRPr="000542A0" w:rsidRDefault="00CF140C" w:rsidP="000542A0">
      <w:pPr>
        <w:pStyle w:val="TOC1"/>
        <w:rPr>
          <w:rFonts w:ascii="Times New Roman" w:hAnsi="Times New Roman"/>
          <w:noProof/>
          <w:sz w:val="22"/>
          <w:szCs w:val="22"/>
          <w:lang w:val="en-GB" w:eastAsia="en-GB"/>
        </w:rPr>
      </w:pPr>
      <w:hyperlink w:anchor="_Toc225333131" w:history="1">
        <w:r w:rsidRPr="000542A0">
          <w:rPr>
            <w:rStyle w:val="Hyperlink"/>
            <w:noProof/>
            <w:sz w:val="22"/>
            <w:szCs w:val="22"/>
            <w:lang w:val="en-NZ"/>
          </w:rPr>
          <w:t>2.</w:t>
        </w:r>
        <w:r w:rsidRPr="000542A0">
          <w:rPr>
            <w:rFonts w:ascii="Times New Roman" w:hAnsi="Times New Roman"/>
            <w:noProof/>
            <w:sz w:val="22"/>
            <w:szCs w:val="22"/>
            <w:lang w:val="en-GB" w:eastAsia="en-GB"/>
          </w:rPr>
          <w:tab/>
        </w:r>
        <w:r w:rsidRPr="000542A0">
          <w:rPr>
            <w:rStyle w:val="Hyperlink"/>
            <w:noProof/>
            <w:sz w:val="22"/>
            <w:szCs w:val="22"/>
            <w:lang w:val="en-NZ"/>
          </w:rPr>
          <w:t>Summary of achievements and challenges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_Toc225333131 \h </w:instrText>
        </w:r>
        <w:r w:rsidR="00B43CE1" w:rsidRPr="000542A0">
          <w:rPr>
            <w:noProof/>
            <w:sz w:val="22"/>
            <w:szCs w:val="22"/>
          </w:rPr>
        </w:r>
        <w:r w:rsidRPr="000542A0">
          <w:rPr>
            <w:noProof/>
            <w:webHidden/>
            <w:sz w:val="22"/>
            <w:szCs w:val="22"/>
          </w:rPr>
          <w:fldChar w:fldCharType="separate"/>
        </w:r>
        <w:r w:rsidR="004F76C4">
          <w:rPr>
            <w:noProof/>
            <w:webHidden/>
            <w:sz w:val="22"/>
            <w:szCs w:val="22"/>
          </w:rPr>
          <w:t>2</w:t>
        </w:r>
        <w:r w:rsidRPr="000542A0">
          <w:rPr>
            <w:noProof/>
            <w:webHidden/>
            <w:sz w:val="22"/>
            <w:szCs w:val="22"/>
          </w:rPr>
          <w:fldChar w:fldCharType="end"/>
        </w:r>
      </w:hyperlink>
    </w:p>
    <w:p w:rsidR="00CF140C" w:rsidRPr="000542A0" w:rsidRDefault="00CF140C" w:rsidP="000542A0">
      <w:pPr>
        <w:pStyle w:val="TOC1"/>
        <w:rPr>
          <w:rFonts w:ascii="Times New Roman" w:hAnsi="Times New Roman"/>
          <w:noProof/>
          <w:sz w:val="22"/>
          <w:szCs w:val="22"/>
          <w:lang w:val="en-GB" w:eastAsia="en-GB"/>
        </w:rPr>
      </w:pPr>
      <w:hyperlink w:anchor="_Toc225333132" w:history="1">
        <w:r w:rsidRPr="000542A0">
          <w:rPr>
            <w:rStyle w:val="Hyperlink"/>
            <w:noProof/>
            <w:sz w:val="22"/>
            <w:szCs w:val="22"/>
            <w:lang w:val="en-NZ"/>
          </w:rPr>
          <w:t>3.</w:t>
        </w:r>
        <w:r w:rsidRPr="000542A0">
          <w:rPr>
            <w:rFonts w:ascii="Times New Roman" w:hAnsi="Times New Roman"/>
            <w:noProof/>
            <w:sz w:val="22"/>
            <w:szCs w:val="22"/>
            <w:lang w:val="en-GB" w:eastAsia="en-GB"/>
          </w:rPr>
          <w:tab/>
        </w:r>
        <w:r w:rsidRPr="000542A0">
          <w:rPr>
            <w:rStyle w:val="Hyperlink"/>
            <w:noProof/>
            <w:sz w:val="22"/>
            <w:szCs w:val="22"/>
            <w:lang w:val="en-NZ"/>
          </w:rPr>
          <w:t>Prevention of torture and cruel, inhuman or degrading treatment or punishment (Articles 2 and 16)</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_Toc225333132 \h </w:instrText>
        </w:r>
        <w:r w:rsidR="00B43CE1" w:rsidRPr="000542A0">
          <w:rPr>
            <w:noProof/>
            <w:sz w:val="22"/>
            <w:szCs w:val="22"/>
          </w:rPr>
        </w:r>
        <w:r w:rsidRPr="000542A0">
          <w:rPr>
            <w:noProof/>
            <w:webHidden/>
            <w:sz w:val="22"/>
            <w:szCs w:val="22"/>
          </w:rPr>
          <w:fldChar w:fldCharType="separate"/>
        </w:r>
        <w:r w:rsidR="004F76C4">
          <w:rPr>
            <w:noProof/>
            <w:webHidden/>
            <w:sz w:val="22"/>
            <w:szCs w:val="22"/>
          </w:rPr>
          <w:t>3</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33" w:history="1">
        <w:r w:rsidRPr="000542A0">
          <w:rPr>
            <w:rStyle w:val="Hyperlink"/>
            <w:noProof/>
            <w:sz w:val="22"/>
            <w:szCs w:val="22"/>
          </w:rPr>
          <w:t>Optional Protocol to the Convention against Torture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_Toc225333133 \h </w:instrText>
        </w:r>
        <w:r w:rsidR="00B43CE1" w:rsidRPr="000542A0">
          <w:rPr>
            <w:noProof/>
            <w:sz w:val="22"/>
            <w:szCs w:val="22"/>
          </w:rPr>
        </w:r>
        <w:r w:rsidRPr="000542A0">
          <w:rPr>
            <w:noProof/>
            <w:webHidden/>
            <w:sz w:val="22"/>
            <w:szCs w:val="22"/>
          </w:rPr>
          <w:fldChar w:fldCharType="separate"/>
        </w:r>
        <w:r w:rsidR="004F76C4">
          <w:rPr>
            <w:noProof/>
            <w:webHidden/>
            <w:sz w:val="22"/>
            <w:szCs w:val="22"/>
          </w:rPr>
          <w:t>3</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34" w:history="1">
        <w:r w:rsidRPr="000542A0">
          <w:rPr>
            <w:rStyle w:val="Hyperlink"/>
            <w:noProof/>
            <w:sz w:val="22"/>
            <w:szCs w:val="22"/>
          </w:rPr>
          <w:t>Police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_Toc225333134 \h </w:instrText>
        </w:r>
        <w:r w:rsidR="00B43CE1" w:rsidRPr="000542A0">
          <w:rPr>
            <w:noProof/>
            <w:sz w:val="22"/>
            <w:szCs w:val="22"/>
          </w:rPr>
        </w:r>
        <w:r w:rsidRPr="000542A0">
          <w:rPr>
            <w:noProof/>
            <w:webHidden/>
            <w:sz w:val="22"/>
            <w:szCs w:val="22"/>
          </w:rPr>
          <w:fldChar w:fldCharType="separate"/>
        </w:r>
        <w:r w:rsidR="004F76C4">
          <w:rPr>
            <w:noProof/>
            <w:webHidden/>
            <w:sz w:val="22"/>
            <w:szCs w:val="22"/>
          </w:rPr>
          <w:t>4</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35" w:history="1">
        <w:r w:rsidRPr="000542A0">
          <w:rPr>
            <w:rStyle w:val="Hyperlink"/>
            <w:noProof/>
            <w:sz w:val="22"/>
            <w:szCs w:val="22"/>
          </w:rPr>
          <w:t>Police Act Review</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_Toc225333135 \h </w:instrText>
        </w:r>
        <w:r w:rsidR="00B43CE1" w:rsidRPr="000542A0">
          <w:rPr>
            <w:noProof/>
            <w:sz w:val="22"/>
            <w:szCs w:val="22"/>
          </w:rPr>
        </w:r>
        <w:r w:rsidRPr="000542A0">
          <w:rPr>
            <w:noProof/>
            <w:webHidden/>
            <w:sz w:val="22"/>
            <w:szCs w:val="22"/>
          </w:rPr>
          <w:fldChar w:fldCharType="separate"/>
        </w:r>
        <w:r w:rsidR="004F76C4">
          <w:rPr>
            <w:noProof/>
            <w:webHidden/>
            <w:sz w:val="22"/>
            <w:szCs w:val="22"/>
          </w:rPr>
          <w:t>4</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36" w:history="1">
        <w:r w:rsidRPr="000542A0">
          <w:rPr>
            <w:rStyle w:val="Hyperlink"/>
            <w:noProof/>
            <w:sz w:val="22"/>
            <w:szCs w:val="22"/>
          </w:rPr>
          <w:t>Independent Police Conduct Authority</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_Toc225333136 \h </w:instrText>
        </w:r>
        <w:r w:rsidR="00B43CE1" w:rsidRPr="000542A0">
          <w:rPr>
            <w:noProof/>
            <w:sz w:val="22"/>
            <w:szCs w:val="22"/>
          </w:rPr>
        </w:r>
        <w:r w:rsidRPr="000542A0">
          <w:rPr>
            <w:noProof/>
            <w:webHidden/>
            <w:sz w:val="22"/>
            <w:szCs w:val="22"/>
          </w:rPr>
          <w:fldChar w:fldCharType="separate"/>
        </w:r>
        <w:r w:rsidR="004F76C4">
          <w:rPr>
            <w:noProof/>
            <w:webHidden/>
            <w:sz w:val="22"/>
            <w:szCs w:val="22"/>
          </w:rPr>
          <w:t>4</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37" w:history="1">
        <w:r w:rsidRPr="000542A0">
          <w:rPr>
            <w:rStyle w:val="Hyperlink"/>
            <w:noProof/>
            <w:sz w:val="22"/>
            <w:szCs w:val="22"/>
          </w:rPr>
          <w:t>Tasers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_Toc225333137 \h </w:instrText>
        </w:r>
        <w:r w:rsidR="00B43CE1" w:rsidRPr="000542A0">
          <w:rPr>
            <w:noProof/>
            <w:sz w:val="22"/>
            <w:szCs w:val="22"/>
          </w:rPr>
        </w:r>
        <w:r w:rsidRPr="000542A0">
          <w:rPr>
            <w:noProof/>
            <w:webHidden/>
            <w:sz w:val="22"/>
            <w:szCs w:val="22"/>
          </w:rPr>
          <w:fldChar w:fldCharType="separate"/>
        </w:r>
        <w:r w:rsidR="004F76C4">
          <w:rPr>
            <w:noProof/>
            <w:webHidden/>
            <w:sz w:val="22"/>
            <w:szCs w:val="22"/>
          </w:rPr>
          <w:t>5</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38" w:history="1">
        <w:r w:rsidRPr="000542A0">
          <w:rPr>
            <w:rStyle w:val="Hyperlink"/>
            <w:noProof/>
            <w:sz w:val="22"/>
            <w:szCs w:val="22"/>
          </w:rPr>
          <w:t>Prisons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_Toc225333138 \h </w:instrText>
        </w:r>
        <w:r w:rsidR="00B43CE1" w:rsidRPr="000542A0">
          <w:rPr>
            <w:noProof/>
            <w:sz w:val="22"/>
            <w:szCs w:val="22"/>
          </w:rPr>
        </w:r>
        <w:r w:rsidRPr="000542A0">
          <w:rPr>
            <w:noProof/>
            <w:webHidden/>
            <w:sz w:val="22"/>
            <w:szCs w:val="22"/>
          </w:rPr>
          <w:fldChar w:fldCharType="separate"/>
        </w:r>
        <w:r w:rsidR="004F76C4">
          <w:rPr>
            <w:noProof/>
            <w:webHidden/>
            <w:sz w:val="22"/>
            <w:szCs w:val="22"/>
          </w:rPr>
          <w:t>6</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39" w:history="1">
        <w:r w:rsidRPr="000542A0">
          <w:rPr>
            <w:rStyle w:val="Hyperlink"/>
            <w:noProof/>
            <w:sz w:val="22"/>
            <w:szCs w:val="22"/>
          </w:rPr>
          <w:t>New Zealand Action Plan for Human Rights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_Toc225333139 \h </w:instrText>
        </w:r>
        <w:r w:rsidR="00B43CE1" w:rsidRPr="000542A0">
          <w:rPr>
            <w:noProof/>
            <w:sz w:val="22"/>
            <w:szCs w:val="22"/>
          </w:rPr>
        </w:r>
        <w:r w:rsidRPr="000542A0">
          <w:rPr>
            <w:noProof/>
            <w:webHidden/>
            <w:sz w:val="22"/>
            <w:szCs w:val="22"/>
          </w:rPr>
          <w:fldChar w:fldCharType="separate"/>
        </w:r>
        <w:r w:rsidR="004F76C4">
          <w:rPr>
            <w:noProof/>
            <w:webHidden/>
            <w:sz w:val="22"/>
            <w:szCs w:val="22"/>
          </w:rPr>
          <w:t>6</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0" w:history="1">
        <w:r w:rsidRPr="000542A0">
          <w:rPr>
            <w:rStyle w:val="Hyperlink"/>
            <w:noProof/>
            <w:sz w:val="22"/>
            <w:szCs w:val="22"/>
          </w:rPr>
          <w:t>Corrections Act 2004</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_Toc225333140 \h </w:instrText>
        </w:r>
        <w:r w:rsidR="00B43CE1" w:rsidRPr="000542A0">
          <w:rPr>
            <w:noProof/>
            <w:sz w:val="22"/>
            <w:szCs w:val="22"/>
          </w:rPr>
        </w:r>
        <w:r w:rsidRPr="000542A0">
          <w:rPr>
            <w:noProof/>
            <w:webHidden/>
            <w:sz w:val="22"/>
            <w:szCs w:val="22"/>
          </w:rPr>
          <w:fldChar w:fldCharType="separate"/>
        </w:r>
        <w:r w:rsidR="004F76C4">
          <w:rPr>
            <w:noProof/>
            <w:webHidden/>
            <w:sz w:val="22"/>
            <w:szCs w:val="22"/>
          </w:rPr>
          <w:t>7</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1" w:history="1">
        <w:r w:rsidRPr="000542A0">
          <w:rPr>
            <w:rStyle w:val="Hyperlink"/>
            <w:noProof/>
            <w:sz w:val="22"/>
            <w:szCs w:val="22"/>
          </w:rPr>
          <w:t>Ombudsmen’s new responsibilities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_Toc225333141 \h </w:instrText>
        </w:r>
        <w:r w:rsidR="00B43CE1" w:rsidRPr="000542A0">
          <w:rPr>
            <w:noProof/>
            <w:sz w:val="22"/>
            <w:szCs w:val="22"/>
          </w:rPr>
        </w:r>
        <w:r w:rsidRPr="000542A0">
          <w:rPr>
            <w:noProof/>
            <w:webHidden/>
            <w:sz w:val="22"/>
            <w:szCs w:val="22"/>
          </w:rPr>
          <w:fldChar w:fldCharType="separate"/>
        </w:r>
        <w:r w:rsidR="004F76C4">
          <w:rPr>
            <w:noProof/>
            <w:webHidden/>
            <w:sz w:val="22"/>
            <w:szCs w:val="22"/>
          </w:rPr>
          <w:t>7</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2" w:history="1">
        <w:r w:rsidRPr="000542A0">
          <w:rPr>
            <w:rStyle w:val="Hyperlink"/>
            <w:noProof/>
            <w:sz w:val="22"/>
            <w:szCs w:val="22"/>
          </w:rPr>
          <w:t>Ombudsmen’s Investigations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_Toc225333142 \h </w:instrText>
        </w:r>
        <w:r w:rsidR="00B43CE1" w:rsidRPr="000542A0">
          <w:rPr>
            <w:noProof/>
            <w:sz w:val="22"/>
            <w:szCs w:val="22"/>
          </w:rPr>
        </w:r>
        <w:r w:rsidRPr="000542A0">
          <w:rPr>
            <w:noProof/>
            <w:webHidden/>
            <w:sz w:val="22"/>
            <w:szCs w:val="22"/>
          </w:rPr>
          <w:fldChar w:fldCharType="separate"/>
        </w:r>
        <w:r w:rsidR="004F76C4">
          <w:rPr>
            <w:noProof/>
            <w:webHidden/>
            <w:sz w:val="22"/>
            <w:szCs w:val="22"/>
          </w:rPr>
          <w:t>8</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3" w:history="1">
        <w:r w:rsidRPr="000542A0">
          <w:rPr>
            <w:rStyle w:val="Hyperlink"/>
            <w:noProof/>
            <w:sz w:val="22"/>
            <w:szCs w:val="22"/>
          </w:rPr>
          <w:t>Mental health issues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_Toc225333143 \h </w:instrText>
        </w:r>
        <w:r w:rsidR="00B43CE1" w:rsidRPr="000542A0">
          <w:rPr>
            <w:noProof/>
            <w:sz w:val="22"/>
            <w:szCs w:val="22"/>
          </w:rPr>
        </w:r>
        <w:r w:rsidRPr="000542A0">
          <w:rPr>
            <w:noProof/>
            <w:webHidden/>
            <w:sz w:val="22"/>
            <w:szCs w:val="22"/>
          </w:rPr>
          <w:fldChar w:fldCharType="separate"/>
        </w:r>
        <w:r w:rsidR="004F76C4">
          <w:rPr>
            <w:noProof/>
            <w:webHidden/>
            <w:sz w:val="22"/>
            <w:szCs w:val="22"/>
          </w:rPr>
          <w:t>9</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4" w:history="1">
        <w:r w:rsidRPr="000542A0">
          <w:rPr>
            <w:rStyle w:val="Hyperlink"/>
            <w:noProof/>
            <w:sz w:val="22"/>
            <w:szCs w:val="22"/>
          </w:rPr>
          <w:t>Transgender people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_Toc225333144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10</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5" w:history="1">
        <w:r w:rsidRPr="000542A0">
          <w:rPr>
            <w:rStyle w:val="Hyperlink"/>
            <w:noProof/>
            <w:sz w:val="22"/>
            <w:szCs w:val="22"/>
          </w:rPr>
          <w:t>Over-representation of Māori</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_Toc225333145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10</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6" w:history="1">
        <w:r w:rsidRPr="000542A0">
          <w:rPr>
            <w:rStyle w:val="Hyperlink"/>
            <w:noProof/>
            <w:sz w:val="22"/>
            <w:szCs w:val="22"/>
          </w:rPr>
          <w:t>Capacity issues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_Toc225333146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11</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7" w:history="1">
        <w:r w:rsidRPr="000542A0">
          <w:rPr>
            <w:rStyle w:val="Hyperlink"/>
            <w:noProof/>
            <w:sz w:val="22"/>
            <w:szCs w:val="22"/>
          </w:rPr>
          <w:t>Staffing issues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_Toc225333147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12</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48" w:history="1">
        <w:r w:rsidRPr="000542A0">
          <w:rPr>
            <w:rStyle w:val="Hyperlink"/>
            <w:noProof/>
            <w:sz w:val="22"/>
            <w:szCs w:val="22"/>
          </w:rPr>
          <w:t>Private management of prisons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_Toc225333148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12</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49" w:history="1">
        <w:r w:rsidRPr="000542A0">
          <w:rPr>
            <w:rStyle w:val="Hyperlink"/>
            <w:noProof/>
            <w:sz w:val="22"/>
            <w:szCs w:val="22"/>
          </w:rPr>
          <w:t>Children and Young People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_Toc225333149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13</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50" w:history="1">
        <w:r w:rsidRPr="000542A0">
          <w:rPr>
            <w:rStyle w:val="Hyperlink"/>
            <w:noProof/>
            <w:sz w:val="22"/>
            <w:szCs w:val="22"/>
          </w:rPr>
          <w:t>Corporal punishment in the home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_Toc225333150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13</w:t>
        </w:r>
        <w:r w:rsidRPr="000542A0">
          <w:rPr>
            <w:noProof/>
            <w:webHidden/>
            <w:sz w:val="22"/>
            <w:szCs w:val="22"/>
          </w:rPr>
          <w:fldChar w:fldCharType="end"/>
        </w:r>
      </w:hyperlink>
    </w:p>
    <w:p w:rsidR="00CF140C" w:rsidRPr="000542A0" w:rsidRDefault="00CF140C">
      <w:pPr>
        <w:pStyle w:val="TOC3"/>
        <w:rPr>
          <w:rFonts w:ascii="Times New Roman" w:hAnsi="Times New Roman"/>
          <w:noProof/>
          <w:sz w:val="22"/>
          <w:szCs w:val="22"/>
          <w:lang w:val="en-GB" w:eastAsia="en-GB"/>
        </w:rPr>
      </w:pPr>
      <w:hyperlink w:anchor="_Toc225333151" w:history="1">
        <w:r w:rsidRPr="000542A0">
          <w:rPr>
            <w:rStyle w:val="Hyperlink"/>
            <w:noProof/>
            <w:sz w:val="22"/>
            <w:szCs w:val="22"/>
          </w:rPr>
          <w:t>Youth Justice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_Toc225333151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13</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52" w:history="1">
        <w:r w:rsidRPr="000542A0">
          <w:rPr>
            <w:rStyle w:val="Hyperlink"/>
            <w:noProof/>
            <w:sz w:val="22"/>
            <w:szCs w:val="22"/>
          </w:rPr>
          <w:t>Electro-convulsive Treatment (ECT)</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_Toc225333152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14</w:t>
        </w:r>
        <w:r w:rsidRPr="000542A0">
          <w:rPr>
            <w:noProof/>
            <w:webHidden/>
            <w:sz w:val="22"/>
            <w:szCs w:val="22"/>
          </w:rPr>
          <w:fldChar w:fldCharType="end"/>
        </w:r>
      </w:hyperlink>
    </w:p>
    <w:p w:rsidR="00CF140C" w:rsidRPr="000542A0" w:rsidRDefault="00CF140C" w:rsidP="000542A0">
      <w:pPr>
        <w:pStyle w:val="TOC1"/>
        <w:rPr>
          <w:rFonts w:ascii="Times New Roman" w:hAnsi="Times New Roman"/>
          <w:noProof/>
          <w:sz w:val="22"/>
          <w:szCs w:val="22"/>
          <w:lang w:val="en-GB" w:eastAsia="en-GB"/>
        </w:rPr>
      </w:pPr>
      <w:hyperlink w:anchor="_Toc225333153" w:history="1">
        <w:r w:rsidRPr="000542A0">
          <w:rPr>
            <w:rStyle w:val="Hyperlink"/>
            <w:noProof/>
            <w:sz w:val="22"/>
            <w:szCs w:val="22"/>
            <w:lang w:val="en-NZ"/>
          </w:rPr>
          <w:t>4.</w:t>
        </w:r>
        <w:r w:rsidRPr="000542A0">
          <w:rPr>
            <w:rFonts w:ascii="Times New Roman" w:hAnsi="Times New Roman"/>
            <w:noProof/>
            <w:sz w:val="22"/>
            <w:szCs w:val="22"/>
            <w:lang w:val="en-GB" w:eastAsia="en-GB"/>
          </w:rPr>
          <w:tab/>
        </w:r>
        <w:r w:rsidRPr="000542A0">
          <w:rPr>
            <w:rStyle w:val="Hyperlink"/>
            <w:noProof/>
            <w:sz w:val="22"/>
            <w:szCs w:val="22"/>
            <w:lang w:val="en-NZ"/>
          </w:rPr>
          <w:t>Immigration (Article 3)</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_Toc225333153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15</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54" w:history="1">
        <w:r w:rsidRPr="000542A0">
          <w:rPr>
            <w:rStyle w:val="Hyperlink"/>
            <w:noProof/>
            <w:sz w:val="22"/>
            <w:szCs w:val="22"/>
          </w:rPr>
          <w:t>Immigration Act Review</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_Toc225333154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15</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55" w:history="1">
        <w:r w:rsidRPr="000542A0">
          <w:rPr>
            <w:rStyle w:val="Hyperlink"/>
            <w:noProof/>
            <w:sz w:val="22"/>
            <w:szCs w:val="22"/>
          </w:rPr>
          <w:t xml:space="preserve">The </w:t>
        </w:r>
        <w:r w:rsidRPr="000542A0">
          <w:rPr>
            <w:rStyle w:val="Hyperlink"/>
            <w:i/>
            <w:noProof/>
            <w:sz w:val="22"/>
            <w:szCs w:val="22"/>
          </w:rPr>
          <w:t>Zaoui</w:t>
        </w:r>
        <w:r w:rsidRPr="000542A0">
          <w:rPr>
            <w:rStyle w:val="Hyperlink"/>
            <w:noProof/>
            <w:sz w:val="22"/>
            <w:szCs w:val="22"/>
          </w:rPr>
          <w:t xml:space="preserve"> Case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_Toc225333155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15</w:t>
        </w:r>
        <w:r w:rsidRPr="000542A0">
          <w:rPr>
            <w:noProof/>
            <w:webHidden/>
            <w:sz w:val="22"/>
            <w:szCs w:val="22"/>
          </w:rPr>
          <w:fldChar w:fldCharType="end"/>
        </w:r>
      </w:hyperlink>
    </w:p>
    <w:p w:rsidR="00CF140C" w:rsidRPr="000542A0" w:rsidRDefault="00CF140C" w:rsidP="000542A0">
      <w:pPr>
        <w:pStyle w:val="TOC1"/>
        <w:rPr>
          <w:rFonts w:ascii="Times New Roman" w:hAnsi="Times New Roman"/>
          <w:noProof/>
          <w:sz w:val="22"/>
          <w:szCs w:val="22"/>
          <w:lang w:val="en-GB" w:eastAsia="en-GB"/>
        </w:rPr>
      </w:pPr>
      <w:hyperlink w:anchor="_Toc225333156" w:history="1">
        <w:r w:rsidRPr="000542A0">
          <w:rPr>
            <w:rStyle w:val="Hyperlink"/>
            <w:noProof/>
            <w:sz w:val="22"/>
            <w:szCs w:val="22"/>
            <w:lang w:val="en-NZ"/>
          </w:rPr>
          <w:t>5.</w:t>
        </w:r>
        <w:r w:rsidRPr="000542A0">
          <w:rPr>
            <w:rFonts w:ascii="Times New Roman" w:hAnsi="Times New Roman"/>
            <w:noProof/>
            <w:sz w:val="22"/>
            <w:szCs w:val="22"/>
            <w:lang w:val="en-GB" w:eastAsia="en-GB"/>
          </w:rPr>
          <w:tab/>
        </w:r>
        <w:r w:rsidRPr="000542A0">
          <w:rPr>
            <w:rStyle w:val="Hyperlink"/>
            <w:noProof/>
            <w:sz w:val="22"/>
            <w:szCs w:val="22"/>
            <w:lang w:val="en-NZ"/>
          </w:rPr>
          <w:t>Education and training (Article 10)</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_Toc225333156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16</w:t>
        </w:r>
        <w:r w:rsidRPr="000542A0">
          <w:rPr>
            <w:noProof/>
            <w:webHidden/>
            <w:sz w:val="22"/>
            <w:szCs w:val="22"/>
          </w:rPr>
          <w:fldChar w:fldCharType="end"/>
        </w:r>
      </w:hyperlink>
    </w:p>
    <w:p w:rsidR="00CF140C" w:rsidRPr="000542A0" w:rsidRDefault="00CF140C" w:rsidP="000542A0">
      <w:pPr>
        <w:pStyle w:val="TOC1"/>
        <w:rPr>
          <w:rFonts w:ascii="Times New Roman" w:hAnsi="Times New Roman"/>
          <w:noProof/>
          <w:sz w:val="22"/>
          <w:szCs w:val="22"/>
          <w:lang w:val="en-GB" w:eastAsia="en-GB"/>
        </w:rPr>
      </w:pPr>
      <w:hyperlink w:anchor="_Toc225333157" w:history="1">
        <w:r w:rsidRPr="000542A0">
          <w:rPr>
            <w:rStyle w:val="Hyperlink"/>
            <w:noProof/>
            <w:sz w:val="22"/>
            <w:szCs w:val="22"/>
            <w:lang w:val="en-NZ"/>
          </w:rPr>
          <w:t>6.</w:t>
        </w:r>
        <w:r w:rsidRPr="000542A0">
          <w:rPr>
            <w:rFonts w:ascii="Times New Roman" w:hAnsi="Times New Roman"/>
            <w:noProof/>
            <w:sz w:val="22"/>
            <w:szCs w:val="22"/>
            <w:lang w:val="en-GB" w:eastAsia="en-GB"/>
          </w:rPr>
          <w:tab/>
        </w:r>
        <w:r w:rsidRPr="000542A0">
          <w:rPr>
            <w:rStyle w:val="Hyperlink"/>
            <w:noProof/>
            <w:sz w:val="22"/>
            <w:szCs w:val="22"/>
            <w:lang w:val="en-NZ"/>
          </w:rPr>
          <w:t>Review of legislation, policy and practice in relation to people subject to arrest, detention or imprisonment (Article 11)</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_Toc225333157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16</w:t>
        </w:r>
        <w:r w:rsidRPr="000542A0">
          <w:rPr>
            <w:noProof/>
            <w:webHidden/>
            <w:sz w:val="22"/>
            <w:szCs w:val="22"/>
          </w:rPr>
          <w:fldChar w:fldCharType="end"/>
        </w:r>
      </w:hyperlink>
    </w:p>
    <w:p w:rsidR="00CF140C" w:rsidRPr="000542A0" w:rsidRDefault="00CF140C" w:rsidP="000542A0">
      <w:pPr>
        <w:pStyle w:val="TOC1"/>
        <w:rPr>
          <w:rFonts w:ascii="Times New Roman" w:hAnsi="Times New Roman"/>
          <w:noProof/>
          <w:sz w:val="22"/>
          <w:szCs w:val="22"/>
          <w:lang w:val="en-GB" w:eastAsia="en-GB"/>
        </w:rPr>
      </w:pPr>
      <w:hyperlink w:anchor="_Toc225333158" w:history="1">
        <w:r w:rsidRPr="000542A0">
          <w:rPr>
            <w:rStyle w:val="Hyperlink"/>
            <w:noProof/>
            <w:sz w:val="22"/>
            <w:szCs w:val="22"/>
            <w:lang w:val="en-NZ"/>
          </w:rPr>
          <w:t>7.</w:t>
        </w:r>
        <w:r w:rsidRPr="000542A0">
          <w:rPr>
            <w:rFonts w:ascii="Times New Roman" w:hAnsi="Times New Roman"/>
            <w:noProof/>
            <w:sz w:val="22"/>
            <w:szCs w:val="22"/>
            <w:lang w:val="en-GB" w:eastAsia="en-GB"/>
          </w:rPr>
          <w:tab/>
        </w:r>
        <w:r w:rsidRPr="000542A0">
          <w:rPr>
            <w:rStyle w:val="Hyperlink"/>
            <w:noProof/>
            <w:sz w:val="22"/>
            <w:szCs w:val="22"/>
            <w:lang w:val="en-NZ"/>
          </w:rPr>
          <w:t>Complaints of torture and access to redress (Articles 12, 13 and 14)</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_Toc225333158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17</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59" w:history="1">
        <w:r w:rsidRPr="000542A0">
          <w:rPr>
            <w:rStyle w:val="Hyperlink"/>
            <w:noProof/>
            <w:sz w:val="22"/>
            <w:szCs w:val="22"/>
          </w:rPr>
          <w:t xml:space="preserve">The </w:t>
        </w:r>
        <w:r w:rsidRPr="000542A0">
          <w:rPr>
            <w:rStyle w:val="Hyperlink"/>
            <w:i/>
            <w:noProof/>
            <w:sz w:val="22"/>
            <w:szCs w:val="22"/>
          </w:rPr>
          <w:t>Taunoa</w:t>
        </w:r>
        <w:r w:rsidRPr="000542A0">
          <w:rPr>
            <w:rStyle w:val="Hyperlink"/>
            <w:noProof/>
            <w:sz w:val="22"/>
            <w:szCs w:val="22"/>
          </w:rPr>
          <w:t xml:space="preserve"> Case</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_Toc225333159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17</w:t>
        </w:r>
        <w:r w:rsidRPr="000542A0">
          <w:rPr>
            <w:noProof/>
            <w:webHidden/>
            <w:sz w:val="22"/>
            <w:szCs w:val="22"/>
          </w:rPr>
          <w:fldChar w:fldCharType="end"/>
        </w:r>
      </w:hyperlink>
    </w:p>
    <w:p w:rsidR="00CF140C" w:rsidRPr="000542A0" w:rsidRDefault="00CF140C">
      <w:pPr>
        <w:pStyle w:val="TOC2"/>
        <w:rPr>
          <w:rFonts w:ascii="Times New Roman" w:hAnsi="Times New Roman"/>
          <w:noProof/>
          <w:sz w:val="22"/>
          <w:szCs w:val="22"/>
          <w:lang w:val="en-GB" w:eastAsia="en-GB"/>
        </w:rPr>
      </w:pPr>
      <w:hyperlink w:anchor="_Toc225333160" w:history="1">
        <w:r w:rsidRPr="000542A0">
          <w:rPr>
            <w:rStyle w:val="Hyperlink"/>
            <w:noProof/>
            <w:sz w:val="22"/>
            <w:szCs w:val="22"/>
          </w:rPr>
          <w:t>Services for victims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_Toc225333160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17</w:t>
        </w:r>
        <w:r w:rsidRPr="000542A0">
          <w:rPr>
            <w:noProof/>
            <w:webHidden/>
            <w:sz w:val="22"/>
            <w:szCs w:val="22"/>
          </w:rPr>
          <w:fldChar w:fldCharType="end"/>
        </w:r>
      </w:hyperlink>
    </w:p>
    <w:p w:rsidR="000542A0" w:rsidRPr="000542A0" w:rsidRDefault="00CF140C" w:rsidP="000542A0">
      <w:pPr>
        <w:pStyle w:val="TOC2"/>
        <w:rPr>
          <w:noProof/>
          <w:color w:val="0000FF"/>
          <w:sz w:val="22"/>
          <w:szCs w:val="22"/>
          <w:u w:val="single"/>
        </w:rPr>
      </w:pPr>
      <w:hyperlink w:anchor="_Toc225333161" w:history="1">
        <w:r w:rsidRPr="000542A0">
          <w:rPr>
            <w:rStyle w:val="Hyperlink"/>
            <w:noProof/>
            <w:sz w:val="22"/>
            <w:szCs w:val="22"/>
          </w:rPr>
          <w:t>Access to redress</w:t>
        </w:r>
        <w:r w:rsidRPr="000542A0">
          <w:rPr>
            <w:noProof/>
            <w:webHidden/>
            <w:sz w:val="22"/>
            <w:szCs w:val="22"/>
          </w:rPr>
          <w:tab/>
        </w:r>
        <w:r w:rsidRPr="000542A0">
          <w:rPr>
            <w:noProof/>
            <w:webHidden/>
            <w:sz w:val="22"/>
            <w:szCs w:val="22"/>
          </w:rPr>
          <w:fldChar w:fldCharType="begin"/>
        </w:r>
        <w:r w:rsidRPr="000542A0">
          <w:rPr>
            <w:noProof/>
            <w:webHidden/>
            <w:sz w:val="22"/>
            <w:szCs w:val="22"/>
          </w:rPr>
          <w:instrText xml:space="preserve"> PAGEREF _Toc225333161 \h </w:instrText>
        </w:r>
        <w:r w:rsidR="00B43CE1" w:rsidRPr="000542A0">
          <w:rPr>
            <w:noProof/>
            <w:sz w:val="22"/>
            <w:szCs w:val="22"/>
          </w:rPr>
        </w:r>
        <w:r w:rsidRPr="000542A0">
          <w:rPr>
            <w:noProof/>
            <w:webHidden/>
            <w:sz w:val="22"/>
            <w:szCs w:val="22"/>
          </w:rPr>
          <w:fldChar w:fldCharType="separate"/>
        </w:r>
        <w:r w:rsidR="004F76C4">
          <w:rPr>
            <w:noProof/>
            <w:webHidden/>
            <w:sz w:val="22"/>
            <w:szCs w:val="22"/>
          </w:rPr>
          <w:t>18</w:t>
        </w:r>
        <w:r w:rsidRPr="000542A0">
          <w:rPr>
            <w:noProof/>
            <w:webHidden/>
            <w:sz w:val="22"/>
            <w:szCs w:val="22"/>
          </w:rPr>
          <w:fldChar w:fldCharType="end"/>
        </w:r>
      </w:hyperlink>
    </w:p>
    <w:p w:rsidR="000542A0" w:rsidRDefault="00352A78" w:rsidP="000542A0">
      <w:pPr>
        <w:pStyle w:val="Heading1"/>
        <w:numPr>
          <w:ilvl w:val="0"/>
          <w:numId w:val="0"/>
        </w:numPr>
        <w:rPr>
          <w:sz w:val="22"/>
          <w:szCs w:val="22"/>
        </w:rPr>
      </w:pPr>
      <w:r w:rsidRPr="000542A0">
        <w:rPr>
          <w:sz w:val="22"/>
          <w:szCs w:val="22"/>
        </w:rPr>
        <w:fldChar w:fldCharType="end"/>
      </w:r>
      <w:bookmarkStart w:id="0" w:name="_Toc222903306"/>
      <w:bookmarkStart w:id="1" w:name="_Toc225333130"/>
    </w:p>
    <w:p w:rsidR="004F76C4" w:rsidRDefault="004F76C4" w:rsidP="004F76C4">
      <w:pPr>
        <w:rPr>
          <w:lang w:val="en-NZ" w:eastAsia="en-NZ"/>
        </w:rPr>
      </w:pPr>
      <w:r>
        <w:rPr>
          <w:lang w:val="en-NZ" w:eastAsia="en-NZ"/>
        </w:rPr>
        <w:t>ISBN: 978-0-478-32944-5 (Word)</w:t>
      </w:r>
    </w:p>
    <w:p w:rsidR="004F76C4" w:rsidRPr="004F76C4" w:rsidRDefault="004F76C4" w:rsidP="004F76C4">
      <w:pPr>
        <w:rPr>
          <w:lang w:val="en-NZ" w:eastAsia="en-NZ"/>
        </w:rPr>
      </w:pPr>
      <w:r>
        <w:rPr>
          <w:lang w:val="en-NZ" w:eastAsia="en-NZ"/>
        </w:rPr>
        <w:t>Human Rights Commission 2009</w:t>
      </w:r>
      <w:r>
        <w:rPr>
          <w:lang w:val="en-NZ" w:eastAsia="en-NZ"/>
        </w:rPr>
        <w:br/>
      </w:r>
      <w:hyperlink r:id="rId10" w:history="1">
        <w:r w:rsidRPr="006A7905">
          <w:rPr>
            <w:rStyle w:val="Hyperlink"/>
            <w:lang w:val="en-NZ" w:eastAsia="en-NZ"/>
          </w:rPr>
          <w:t>www.hrc.co.nz</w:t>
        </w:r>
      </w:hyperlink>
      <w:r>
        <w:rPr>
          <w:lang w:val="en-NZ" w:eastAsia="en-NZ"/>
        </w:rPr>
        <w:t xml:space="preserve"> </w:t>
      </w:r>
    </w:p>
    <w:p w:rsidR="009E32EA" w:rsidRPr="000542A0" w:rsidRDefault="000542A0" w:rsidP="000542A0">
      <w:pPr>
        <w:pStyle w:val="Heading1"/>
      </w:pPr>
      <w:r>
        <w:rPr>
          <w:sz w:val="22"/>
          <w:szCs w:val="22"/>
        </w:rPr>
        <w:br w:type="page"/>
      </w:r>
      <w:r w:rsidR="009E32EA" w:rsidRPr="000542A0">
        <w:lastRenderedPageBreak/>
        <w:t>Introduction</w:t>
      </w:r>
      <w:bookmarkEnd w:id="0"/>
      <w:bookmarkEnd w:id="1"/>
      <w:r w:rsidR="009E32EA" w:rsidRPr="000542A0">
        <w:t xml:space="preserve"> </w:t>
      </w:r>
    </w:p>
    <w:p w:rsidR="009E32EA" w:rsidRPr="00B73FA8" w:rsidRDefault="009E32EA" w:rsidP="00B73FA8">
      <w:pPr>
        <w:jc w:val="both"/>
        <w:rPr>
          <w:sz w:val="22"/>
          <w:szCs w:val="22"/>
          <w:lang w:val="en-NZ"/>
        </w:rPr>
      </w:pPr>
    </w:p>
    <w:p w:rsidR="00E070ED" w:rsidRDefault="009E32EA" w:rsidP="00D54A7C">
      <w:pPr>
        <w:numPr>
          <w:ilvl w:val="1"/>
          <w:numId w:val="3"/>
        </w:numPr>
        <w:tabs>
          <w:tab w:val="clear" w:pos="1080"/>
          <w:tab w:val="num" w:pos="540"/>
        </w:tabs>
        <w:ind w:left="540" w:hanging="540"/>
        <w:jc w:val="both"/>
        <w:rPr>
          <w:sz w:val="22"/>
          <w:szCs w:val="22"/>
          <w:lang w:val="en-NZ"/>
        </w:rPr>
      </w:pPr>
      <w:r w:rsidRPr="00B73FA8">
        <w:rPr>
          <w:sz w:val="22"/>
          <w:szCs w:val="22"/>
          <w:lang w:val="en-NZ"/>
        </w:rPr>
        <w:t>The New Zealand Human Rights Commission (the Commission) appreciates the opportunity to provide information</w:t>
      </w:r>
      <w:r w:rsidR="008F5652" w:rsidRPr="00B73FA8">
        <w:rPr>
          <w:sz w:val="22"/>
          <w:szCs w:val="22"/>
          <w:lang w:val="en-NZ"/>
        </w:rPr>
        <w:t xml:space="preserve"> </w:t>
      </w:r>
      <w:r w:rsidR="005623A4">
        <w:rPr>
          <w:sz w:val="22"/>
          <w:szCs w:val="22"/>
          <w:lang w:val="en-NZ"/>
        </w:rPr>
        <w:t xml:space="preserve">to the Committee Against Torture </w:t>
      </w:r>
      <w:r w:rsidR="00C978BF">
        <w:rPr>
          <w:sz w:val="22"/>
          <w:szCs w:val="22"/>
          <w:lang w:val="en-NZ"/>
        </w:rPr>
        <w:t xml:space="preserve">(the Committee) </w:t>
      </w:r>
      <w:r w:rsidR="008F5652" w:rsidRPr="00B73FA8">
        <w:rPr>
          <w:sz w:val="22"/>
          <w:szCs w:val="22"/>
          <w:lang w:val="en-NZ"/>
        </w:rPr>
        <w:t>in relation to</w:t>
      </w:r>
      <w:r w:rsidRPr="00B73FA8">
        <w:rPr>
          <w:sz w:val="22"/>
          <w:szCs w:val="22"/>
          <w:lang w:val="en-NZ"/>
        </w:rPr>
        <w:t xml:space="preserve"> the Committee’s consideration of N</w:t>
      </w:r>
      <w:r w:rsidR="008F5652" w:rsidRPr="00B73FA8">
        <w:rPr>
          <w:sz w:val="22"/>
          <w:szCs w:val="22"/>
          <w:lang w:val="en-NZ"/>
        </w:rPr>
        <w:t xml:space="preserve">ew </w:t>
      </w:r>
      <w:r w:rsidRPr="00B73FA8">
        <w:rPr>
          <w:sz w:val="22"/>
          <w:szCs w:val="22"/>
          <w:lang w:val="en-NZ"/>
        </w:rPr>
        <w:t>Z</w:t>
      </w:r>
      <w:r w:rsidR="008F5652" w:rsidRPr="00B73FA8">
        <w:rPr>
          <w:sz w:val="22"/>
          <w:szCs w:val="22"/>
          <w:lang w:val="en-NZ"/>
        </w:rPr>
        <w:t xml:space="preserve">ealand’s fifth periodic report.  </w:t>
      </w:r>
    </w:p>
    <w:p w:rsidR="00E070ED" w:rsidRDefault="00E070ED" w:rsidP="00E070ED">
      <w:pPr>
        <w:jc w:val="both"/>
        <w:rPr>
          <w:sz w:val="22"/>
          <w:szCs w:val="22"/>
          <w:lang w:val="en-NZ"/>
        </w:rPr>
      </w:pPr>
    </w:p>
    <w:p w:rsidR="00E070ED" w:rsidRDefault="009E32EA" w:rsidP="00D54A7C">
      <w:pPr>
        <w:numPr>
          <w:ilvl w:val="1"/>
          <w:numId w:val="3"/>
        </w:numPr>
        <w:tabs>
          <w:tab w:val="clear" w:pos="1080"/>
          <w:tab w:val="num" w:pos="540"/>
        </w:tabs>
        <w:ind w:left="540" w:hanging="540"/>
        <w:jc w:val="both"/>
        <w:rPr>
          <w:sz w:val="22"/>
          <w:szCs w:val="22"/>
          <w:lang w:val="en-NZ"/>
        </w:rPr>
      </w:pPr>
      <w:r w:rsidRPr="00B73FA8">
        <w:rPr>
          <w:sz w:val="22"/>
          <w:szCs w:val="22"/>
          <w:lang w:val="en-NZ"/>
        </w:rPr>
        <w:t>The Commission is an independent national human rights institution with ‘A’ status accreditation from the International Co-ordinating Committee of National Human Rights Institutions</w:t>
      </w:r>
      <w:r w:rsidR="00C44C92" w:rsidRPr="00B73FA8">
        <w:rPr>
          <w:sz w:val="22"/>
          <w:szCs w:val="22"/>
          <w:lang w:val="en-NZ"/>
        </w:rPr>
        <w:t>.  It</w:t>
      </w:r>
      <w:r w:rsidRPr="00B73FA8">
        <w:rPr>
          <w:sz w:val="22"/>
          <w:szCs w:val="22"/>
          <w:lang w:val="en-NZ"/>
        </w:rPr>
        <w:t xml:space="preserve"> derives its statutory mandate from the Human Rights Act 1993. </w:t>
      </w:r>
      <w:r w:rsidR="00E070ED">
        <w:rPr>
          <w:sz w:val="22"/>
          <w:szCs w:val="22"/>
          <w:lang w:val="en-NZ"/>
        </w:rPr>
        <w:t xml:space="preserve"> </w:t>
      </w:r>
    </w:p>
    <w:p w:rsidR="00DC5DC0" w:rsidRDefault="00DC5DC0" w:rsidP="00DC5DC0">
      <w:pPr>
        <w:jc w:val="both"/>
        <w:rPr>
          <w:sz w:val="22"/>
          <w:szCs w:val="22"/>
          <w:lang w:val="en-NZ"/>
        </w:rPr>
      </w:pPr>
    </w:p>
    <w:p w:rsidR="00E070ED" w:rsidRDefault="00285725" w:rsidP="00A8120A">
      <w:pPr>
        <w:numPr>
          <w:ilvl w:val="1"/>
          <w:numId w:val="3"/>
        </w:numPr>
        <w:tabs>
          <w:tab w:val="clear" w:pos="1080"/>
          <w:tab w:val="num" w:pos="540"/>
        </w:tabs>
        <w:ind w:left="540" w:hanging="540"/>
        <w:jc w:val="both"/>
        <w:rPr>
          <w:sz w:val="22"/>
          <w:szCs w:val="22"/>
          <w:lang w:val="en-NZ"/>
        </w:rPr>
      </w:pPr>
      <w:r>
        <w:rPr>
          <w:sz w:val="22"/>
          <w:szCs w:val="22"/>
          <w:lang w:val="en-NZ"/>
        </w:rPr>
        <w:t xml:space="preserve">This report is provided with the aim of updating the Committee </w:t>
      </w:r>
      <w:r w:rsidR="00DC5DC0">
        <w:rPr>
          <w:sz w:val="22"/>
          <w:szCs w:val="22"/>
          <w:lang w:val="en-NZ"/>
        </w:rPr>
        <w:t xml:space="preserve">on </w:t>
      </w:r>
      <w:r>
        <w:rPr>
          <w:sz w:val="22"/>
          <w:szCs w:val="22"/>
          <w:lang w:val="en-NZ"/>
        </w:rPr>
        <w:t xml:space="preserve">recent </w:t>
      </w:r>
      <w:r w:rsidR="00DC5DC0">
        <w:rPr>
          <w:sz w:val="22"/>
          <w:szCs w:val="22"/>
          <w:lang w:val="en-NZ"/>
        </w:rPr>
        <w:t xml:space="preserve">developments </w:t>
      </w:r>
      <w:r w:rsidR="00334194">
        <w:rPr>
          <w:sz w:val="22"/>
          <w:szCs w:val="22"/>
          <w:lang w:val="en-NZ"/>
        </w:rPr>
        <w:t>and identifying what</w:t>
      </w:r>
      <w:r>
        <w:rPr>
          <w:sz w:val="22"/>
          <w:szCs w:val="22"/>
          <w:lang w:val="en-NZ"/>
        </w:rPr>
        <w:t xml:space="preserve"> the </w:t>
      </w:r>
      <w:r w:rsidRPr="00285725">
        <w:rPr>
          <w:sz w:val="22"/>
          <w:szCs w:val="22"/>
          <w:lang w:val="en-NZ"/>
        </w:rPr>
        <w:t>Commission</w:t>
      </w:r>
      <w:r>
        <w:rPr>
          <w:sz w:val="22"/>
          <w:szCs w:val="22"/>
          <w:lang w:val="en-NZ"/>
        </w:rPr>
        <w:t xml:space="preserve"> views as </w:t>
      </w:r>
      <w:r w:rsidR="00612769">
        <w:rPr>
          <w:sz w:val="22"/>
          <w:szCs w:val="22"/>
          <w:lang w:val="en-NZ"/>
        </w:rPr>
        <w:t xml:space="preserve">key achievements </w:t>
      </w:r>
      <w:r w:rsidR="0091164A">
        <w:rPr>
          <w:sz w:val="22"/>
          <w:szCs w:val="22"/>
          <w:lang w:val="en-NZ"/>
        </w:rPr>
        <w:t>and</w:t>
      </w:r>
      <w:r>
        <w:rPr>
          <w:sz w:val="22"/>
          <w:szCs w:val="22"/>
          <w:lang w:val="en-NZ"/>
        </w:rPr>
        <w:t xml:space="preserve"> </w:t>
      </w:r>
      <w:r w:rsidR="00612769">
        <w:rPr>
          <w:sz w:val="22"/>
          <w:szCs w:val="22"/>
          <w:lang w:val="en-NZ"/>
        </w:rPr>
        <w:t>significant challenges for New Zealand’s implementation of the Convention.</w:t>
      </w:r>
    </w:p>
    <w:p w:rsidR="00635C3F" w:rsidRPr="000542A0" w:rsidRDefault="00635C3F" w:rsidP="000542A0">
      <w:pPr>
        <w:pStyle w:val="Heading1"/>
      </w:pPr>
      <w:bookmarkStart w:id="2" w:name="_Toc225333131"/>
      <w:r w:rsidRPr="000542A0">
        <w:t>Summary of achievements and challenges</w:t>
      </w:r>
      <w:bookmarkEnd w:id="2"/>
    </w:p>
    <w:p w:rsidR="00635C3F" w:rsidRDefault="00635C3F" w:rsidP="00635C3F">
      <w:pPr>
        <w:tabs>
          <w:tab w:val="num" w:pos="540"/>
        </w:tabs>
        <w:jc w:val="both"/>
        <w:rPr>
          <w:sz w:val="22"/>
          <w:szCs w:val="22"/>
          <w:lang w:val="en-NZ"/>
        </w:rPr>
      </w:pPr>
    </w:p>
    <w:p w:rsidR="00E070ED" w:rsidRDefault="003C1268" w:rsidP="00D54A7C">
      <w:pPr>
        <w:numPr>
          <w:ilvl w:val="1"/>
          <w:numId w:val="3"/>
        </w:numPr>
        <w:tabs>
          <w:tab w:val="clear" w:pos="1080"/>
          <w:tab w:val="num" w:pos="540"/>
        </w:tabs>
        <w:ind w:left="540" w:hanging="540"/>
        <w:jc w:val="both"/>
        <w:rPr>
          <w:sz w:val="22"/>
          <w:szCs w:val="22"/>
          <w:lang w:val="en-NZ"/>
        </w:rPr>
      </w:pPr>
      <w:r w:rsidRPr="00B73FA8">
        <w:rPr>
          <w:sz w:val="22"/>
          <w:szCs w:val="22"/>
          <w:lang w:val="en-NZ"/>
        </w:rPr>
        <w:t>In 2004 the Commission published a comprehensive baseline review of human rights in New Zealand</w:t>
      </w:r>
      <w:r w:rsidR="00916327" w:rsidRPr="00B73FA8">
        <w:rPr>
          <w:sz w:val="22"/>
          <w:szCs w:val="22"/>
          <w:lang w:val="en-NZ"/>
        </w:rPr>
        <w:t>.</w:t>
      </w:r>
      <w:r w:rsidRPr="00B73FA8">
        <w:rPr>
          <w:rStyle w:val="FootnoteReference"/>
          <w:sz w:val="22"/>
          <w:szCs w:val="22"/>
          <w:lang w:val="en-NZ"/>
        </w:rPr>
        <w:footnoteReference w:id="1"/>
      </w:r>
      <w:r w:rsidR="00916327" w:rsidRPr="00B73FA8">
        <w:rPr>
          <w:sz w:val="22"/>
          <w:szCs w:val="22"/>
          <w:lang w:val="en-NZ"/>
        </w:rPr>
        <w:t xml:space="preserve">  </w:t>
      </w:r>
      <w:r w:rsidRPr="00B73FA8">
        <w:rPr>
          <w:sz w:val="22"/>
          <w:szCs w:val="22"/>
          <w:lang w:val="en-NZ"/>
        </w:rPr>
        <w:t>The review</w:t>
      </w:r>
      <w:r w:rsidRPr="00B73FA8">
        <w:rPr>
          <w:i/>
          <w:sz w:val="22"/>
          <w:szCs w:val="22"/>
          <w:lang w:val="en-NZ"/>
        </w:rPr>
        <w:t xml:space="preserve"> </w:t>
      </w:r>
      <w:r w:rsidRPr="00B73FA8">
        <w:rPr>
          <w:sz w:val="22"/>
          <w:szCs w:val="22"/>
          <w:lang w:val="en-NZ"/>
        </w:rPr>
        <w:t xml:space="preserve">found that New Zealand met international human rights standards in many respects and had most of the elements necessary for the effective protection, promotion and fulfilment of human rights. </w:t>
      </w:r>
      <w:r w:rsidR="00B73FA8" w:rsidRPr="00B73FA8">
        <w:rPr>
          <w:sz w:val="22"/>
          <w:szCs w:val="22"/>
          <w:lang w:val="en-NZ"/>
        </w:rPr>
        <w:t xml:space="preserve"> </w:t>
      </w:r>
      <w:r w:rsidRPr="00B73FA8">
        <w:rPr>
          <w:sz w:val="22"/>
          <w:szCs w:val="22"/>
          <w:lang w:val="en-NZ"/>
        </w:rPr>
        <w:t>At the same time it highlighted a</w:t>
      </w:r>
      <w:r w:rsidR="00E639AE" w:rsidRPr="00B73FA8">
        <w:rPr>
          <w:sz w:val="22"/>
          <w:szCs w:val="22"/>
          <w:lang w:val="en-NZ"/>
        </w:rPr>
        <w:t xml:space="preserve"> number of pressing human rights issues, </w:t>
      </w:r>
      <w:r w:rsidR="00F36B30">
        <w:rPr>
          <w:sz w:val="22"/>
          <w:szCs w:val="22"/>
          <w:lang w:val="en-NZ"/>
        </w:rPr>
        <w:t>which included:</w:t>
      </w:r>
      <w:r w:rsidR="00E639AE" w:rsidRPr="00B73FA8">
        <w:rPr>
          <w:sz w:val="22"/>
          <w:szCs w:val="22"/>
          <w:lang w:val="en-NZ"/>
        </w:rPr>
        <w:t xml:space="preserve"> the vulnerability of children and young people and of people in detention</w:t>
      </w:r>
      <w:r w:rsidR="00FE416D">
        <w:rPr>
          <w:sz w:val="22"/>
          <w:szCs w:val="22"/>
          <w:lang w:val="en-NZ"/>
        </w:rPr>
        <w:t>;</w:t>
      </w:r>
      <w:r w:rsidR="00E639AE" w:rsidRPr="00B73FA8">
        <w:rPr>
          <w:sz w:val="22"/>
          <w:szCs w:val="22"/>
          <w:lang w:val="en-NZ"/>
        </w:rPr>
        <w:t xml:space="preserve"> and </w:t>
      </w:r>
      <w:r w:rsidRPr="00B73FA8">
        <w:rPr>
          <w:sz w:val="22"/>
          <w:szCs w:val="22"/>
          <w:lang w:val="en-NZ"/>
        </w:rPr>
        <w:t xml:space="preserve">the need for explicit recognition of human rights standards at all levels of New Zealand society.  </w:t>
      </w:r>
    </w:p>
    <w:p w:rsidR="00E070ED" w:rsidRDefault="00E070ED" w:rsidP="00E070ED">
      <w:pPr>
        <w:jc w:val="both"/>
        <w:rPr>
          <w:sz w:val="22"/>
          <w:szCs w:val="22"/>
          <w:lang w:val="en-NZ"/>
        </w:rPr>
      </w:pPr>
    </w:p>
    <w:p w:rsidR="00E070ED" w:rsidRDefault="003C1268" w:rsidP="00D54A7C">
      <w:pPr>
        <w:numPr>
          <w:ilvl w:val="1"/>
          <w:numId w:val="3"/>
        </w:numPr>
        <w:tabs>
          <w:tab w:val="clear" w:pos="1080"/>
          <w:tab w:val="num" w:pos="540"/>
        </w:tabs>
        <w:ind w:left="540" w:hanging="540"/>
        <w:jc w:val="both"/>
        <w:rPr>
          <w:sz w:val="22"/>
          <w:szCs w:val="22"/>
          <w:lang w:val="en-NZ"/>
        </w:rPr>
      </w:pPr>
      <w:r w:rsidRPr="00B73FA8">
        <w:rPr>
          <w:sz w:val="22"/>
          <w:szCs w:val="22"/>
          <w:lang w:val="en-NZ"/>
        </w:rPr>
        <w:t xml:space="preserve">The review provided the evidential basis for </w:t>
      </w:r>
      <w:r w:rsidR="006A5D71" w:rsidRPr="00B73FA8">
        <w:rPr>
          <w:i/>
          <w:sz w:val="22"/>
          <w:szCs w:val="22"/>
          <w:lang w:val="en-NZ"/>
        </w:rPr>
        <w:t>T</w:t>
      </w:r>
      <w:r w:rsidRPr="00B73FA8">
        <w:rPr>
          <w:i/>
          <w:sz w:val="22"/>
          <w:szCs w:val="22"/>
          <w:lang w:val="en-NZ"/>
        </w:rPr>
        <w:t xml:space="preserve">he </w:t>
      </w:r>
      <w:smartTag w:uri="urn:schemas-microsoft-com:office:smarttags" w:element="country-region">
        <w:smartTag w:uri="urn:schemas-microsoft-com:office:smarttags" w:element="place">
          <w:r w:rsidRPr="00B73FA8">
            <w:rPr>
              <w:i/>
              <w:sz w:val="22"/>
              <w:szCs w:val="22"/>
              <w:lang w:val="en-NZ"/>
            </w:rPr>
            <w:t>New Zealand</w:t>
          </w:r>
        </w:smartTag>
      </w:smartTag>
      <w:r w:rsidRPr="00B73FA8">
        <w:rPr>
          <w:i/>
          <w:sz w:val="22"/>
          <w:szCs w:val="22"/>
          <w:lang w:val="en-NZ"/>
        </w:rPr>
        <w:t xml:space="preserve"> Action Plan for Human Rights</w:t>
      </w:r>
      <w:r w:rsidR="007307B4" w:rsidRPr="00B73FA8">
        <w:rPr>
          <w:i/>
          <w:sz w:val="22"/>
          <w:szCs w:val="22"/>
          <w:lang w:val="en-NZ"/>
        </w:rPr>
        <w:t xml:space="preserve"> </w:t>
      </w:r>
      <w:r w:rsidR="00B73FA8" w:rsidRPr="00B73FA8">
        <w:rPr>
          <w:i/>
          <w:sz w:val="22"/>
          <w:szCs w:val="22"/>
          <w:lang w:val="en-NZ"/>
        </w:rPr>
        <w:t>/</w:t>
      </w:r>
      <w:r w:rsidR="007307B4" w:rsidRPr="00B73FA8">
        <w:rPr>
          <w:i/>
          <w:sz w:val="22"/>
          <w:szCs w:val="22"/>
          <w:lang w:val="en-NZ"/>
        </w:rPr>
        <w:t xml:space="preserve"> Mana ki te Tangata</w:t>
      </w:r>
      <w:r w:rsidRPr="00B73FA8">
        <w:rPr>
          <w:sz w:val="22"/>
          <w:szCs w:val="22"/>
          <w:lang w:val="en-NZ"/>
        </w:rPr>
        <w:t xml:space="preserve">, published in 2005. It identified actions </w:t>
      </w:r>
      <w:r w:rsidR="00FE416D" w:rsidRPr="00B73FA8">
        <w:rPr>
          <w:sz w:val="22"/>
          <w:szCs w:val="22"/>
          <w:lang w:val="en-NZ"/>
        </w:rPr>
        <w:t>for the five years to 2010</w:t>
      </w:r>
      <w:r w:rsidR="00FE416D">
        <w:rPr>
          <w:sz w:val="22"/>
          <w:szCs w:val="22"/>
          <w:lang w:val="en-NZ"/>
        </w:rPr>
        <w:t xml:space="preserve"> that were </w:t>
      </w:r>
      <w:r w:rsidRPr="00B73FA8">
        <w:rPr>
          <w:sz w:val="22"/>
          <w:szCs w:val="22"/>
          <w:lang w:val="en-NZ"/>
        </w:rPr>
        <w:t>required to address the issues identified in the review and better promote and protect human rights.</w:t>
      </w:r>
      <w:r w:rsidRPr="00B73FA8">
        <w:rPr>
          <w:rStyle w:val="FootnoteReference"/>
          <w:sz w:val="22"/>
          <w:szCs w:val="22"/>
          <w:lang w:val="en-NZ"/>
        </w:rPr>
        <w:footnoteReference w:id="2"/>
      </w:r>
      <w:r w:rsidRPr="00B73FA8">
        <w:rPr>
          <w:sz w:val="22"/>
          <w:szCs w:val="22"/>
          <w:lang w:val="en-NZ"/>
        </w:rPr>
        <w:t xml:space="preserve">  </w:t>
      </w:r>
    </w:p>
    <w:p w:rsidR="00E070ED" w:rsidRDefault="00E070ED" w:rsidP="00E070ED">
      <w:pPr>
        <w:jc w:val="both"/>
        <w:rPr>
          <w:sz w:val="22"/>
          <w:szCs w:val="22"/>
          <w:lang w:eastAsia="en-GB"/>
        </w:rPr>
      </w:pPr>
    </w:p>
    <w:p w:rsidR="00E070ED" w:rsidRDefault="001E2A80" w:rsidP="00D54A7C">
      <w:pPr>
        <w:numPr>
          <w:ilvl w:val="1"/>
          <w:numId w:val="3"/>
        </w:numPr>
        <w:tabs>
          <w:tab w:val="clear" w:pos="1080"/>
          <w:tab w:val="num" w:pos="540"/>
        </w:tabs>
        <w:ind w:left="540" w:hanging="540"/>
        <w:jc w:val="both"/>
        <w:rPr>
          <w:sz w:val="22"/>
          <w:szCs w:val="22"/>
          <w:lang w:val="en-NZ"/>
        </w:rPr>
      </w:pPr>
      <w:r w:rsidRPr="00B73FA8">
        <w:rPr>
          <w:sz w:val="22"/>
          <w:szCs w:val="22"/>
          <w:lang w:eastAsia="en-GB"/>
        </w:rPr>
        <w:t>In 2008</w:t>
      </w:r>
      <w:r w:rsidR="00C44C92" w:rsidRPr="00B73FA8">
        <w:rPr>
          <w:sz w:val="22"/>
          <w:szCs w:val="22"/>
          <w:lang w:eastAsia="en-GB"/>
        </w:rPr>
        <w:t xml:space="preserve"> the Commission reviewed the progress that has been made during the first three of the Action Plan’s five years.</w:t>
      </w:r>
      <w:r w:rsidR="00122A9E" w:rsidRPr="00B73FA8">
        <w:rPr>
          <w:sz w:val="22"/>
          <w:szCs w:val="22"/>
          <w:lang w:eastAsia="en-GB"/>
        </w:rPr>
        <w:t xml:space="preserve">  </w:t>
      </w:r>
      <w:r w:rsidR="003F3DEF" w:rsidRPr="00B73FA8">
        <w:rPr>
          <w:sz w:val="22"/>
          <w:szCs w:val="22"/>
          <w:lang w:eastAsia="en-GB"/>
        </w:rPr>
        <w:t>The Commission notes some</w:t>
      </w:r>
      <w:r w:rsidR="008F5652" w:rsidRPr="00B73FA8">
        <w:rPr>
          <w:sz w:val="22"/>
          <w:szCs w:val="22"/>
          <w:lang w:val="en-NZ"/>
        </w:rPr>
        <w:t xml:space="preserve"> significant developments</w:t>
      </w:r>
      <w:r w:rsidR="003839FF" w:rsidRPr="00B73FA8">
        <w:rPr>
          <w:sz w:val="22"/>
          <w:szCs w:val="22"/>
        </w:rPr>
        <w:t>, including</w:t>
      </w:r>
      <w:r w:rsidR="009E32EA" w:rsidRPr="00B73FA8">
        <w:rPr>
          <w:sz w:val="22"/>
          <w:szCs w:val="22"/>
        </w:rPr>
        <w:t xml:space="preserve">: </w:t>
      </w:r>
    </w:p>
    <w:p w:rsidR="00E070ED" w:rsidRPr="00B73FA8" w:rsidRDefault="00F31D38" w:rsidP="00D54A7C">
      <w:pPr>
        <w:numPr>
          <w:ilvl w:val="0"/>
          <w:numId w:val="2"/>
        </w:numPr>
        <w:tabs>
          <w:tab w:val="clear" w:pos="1440"/>
          <w:tab w:val="num" w:pos="1080"/>
        </w:tabs>
        <w:ind w:left="1080" w:hanging="540"/>
        <w:jc w:val="both"/>
        <w:rPr>
          <w:sz w:val="22"/>
          <w:szCs w:val="22"/>
          <w:lang w:val="en-NZ"/>
        </w:rPr>
      </w:pPr>
      <w:r>
        <w:rPr>
          <w:sz w:val="22"/>
          <w:szCs w:val="22"/>
        </w:rPr>
        <w:t xml:space="preserve">New Zealand’s </w:t>
      </w:r>
      <w:r w:rsidR="00E070ED">
        <w:rPr>
          <w:sz w:val="22"/>
          <w:szCs w:val="22"/>
        </w:rPr>
        <w:t>r</w:t>
      </w:r>
      <w:r w:rsidR="00E070ED" w:rsidRPr="00B73FA8">
        <w:rPr>
          <w:sz w:val="22"/>
          <w:szCs w:val="22"/>
          <w:lang w:val="en-NZ"/>
        </w:rPr>
        <w:t xml:space="preserve">atification of the Optional Protocol </w:t>
      </w:r>
      <w:r w:rsidR="00E070ED">
        <w:rPr>
          <w:sz w:val="22"/>
          <w:szCs w:val="22"/>
          <w:lang w:val="en-NZ"/>
        </w:rPr>
        <w:t xml:space="preserve">to the Convention </w:t>
      </w:r>
      <w:r w:rsidR="00E070ED" w:rsidRPr="00B73FA8">
        <w:rPr>
          <w:sz w:val="22"/>
          <w:szCs w:val="22"/>
          <w:lang w:val="en-NZ"/>
        </w:rPr>
        <w:t>and establishment of National Preventive Mechanisms</w:t>
      </w:r>
      <w:r w:rsidR="00E070ED">
        <w:rPr>
          <w:sz w:val="22"/>
          <w:szCs w:val="22"/>
          <w:lang w:val="en-NZ"/>
        </w:rPr>
        <w:t>;</w:t>
      </w:r>
    </w:p>
    <w:p w:rsidR="00E070ED" w:rsidRDefault="00E070ED" w:rsidP="00D54A7C">
      <w:pPr>
        <w:numPr>
          <w:ilvl w:val="0"/>
          <w:numId w:val="2"/>
        </w:numPr>
        <w:tabs>
          <w:tab w:val="clear" w:pos="1440"/>
          <w:tab w:val="num" w:pos="1080"/>
        </w:tabs>
        <w:ind w:left="1080" w:hanging="540"/>
        <w:jc w:val="both"/>
        <w:rPr>
          <w:sz w:val="22"/>
          <w:szCs w:val="22"/>
          <w:lang w:val="en-NZ"/>
        </w:rPr>
      </w:pPr>
      <w:r>
        <w:rPr>
          <w:sz w:val="22"/>
          <w:szCs w:val="22"/>
          <w:lang w:val="en-NZ"/>
        </w:rPr>
        <w:t>r</w:t>
      </w:r>
      <w:r w:rsidRPr="00B73FA8">
        <w:rPr>
          <w:sz w:val="22"/>
          <w:szCs w:val="22"/>
          <w:lang w:val="en-NZ"/>
        </w:rPr>
        <w:t>atification of the Convention on the Rights of Persons with Disabilities</w:t>
      </w:r>
      <w:r>
        <w:rPr>
          <w:sz w:val="22"/>
          <w:szCs w:val="22"/>
          <w:lang w:val="en-NZ"/>
        </w:rPr>
        <w:t>;</w:t>
      </w:r>
      <w:r w:rsidRPr="00B73FA8">
        <w:rPr>
          <w:sz w:val="22"/>
          <w:szCs w:val="22"/>
          <w:lang w:val="en-NZ"/>
        </w:rPr>
        <w:t xml:space="preserve"> </w:t>
      </w:r>
    </w:p>
    <w:p w:rsidR="00B014EE" w:rsidRPr="00B73FA8" w:rsidRDefault="00B014EE" w:rsidP="00D54A7C">
      <w:pPr>
        <w:numPr>
          <w:ilvl w:val="0"/>
          <w:numId w:val="2"/>
        </w:numPr>
        <w:tabs>
          <w:tab w:val="clear" w:pos="1440"/>
          <w:tab w:val="num" w:pos="1080"/>
        </w:tabs>
        <w:ind w:left="1080" w:hanging="540"/>
        <w:jc w:val="both"/>
        <w:rPr>
          <w:sz w:val="22"/>
          <w:szCs w:val="22"/>
          <w:lang w:val="en-NZ"/>
        </w:rPr>
      </w:pPr>
      <w:r>
        <w:rPr>
          <w:sz w:val="22"/>
          <w:szCs w:val="22"/>
          <w:lang w:val="en-NZ"/>
        </w:rPr>
        <w:t>reviews of the legislation governing policing and corrections, which have resulted in improvements to the law in those areas;</w:t>
      </w:r>
    </w:p>
    <w:p w:rsidR="00E070ED" w:rsidRPr="00B73FA8" w:rsidRDefault="00F31D38" w:rsidP="00D54A7C">
      <w:pPr>
        <w:numPr>
          <w:ilvl w:val="0"/>
          <w:numId w:val="2"/>
        </w:numPr>
        <w:tabs>
          <w:tab w:val="clear" w:pos="1440"/>
          <w:tab w:val="num" w:pos="1080"/>
        </w:tabs>
        <w:ind w:left="1080" w:hanging="540"/>
        <w:jc w:val="both"/>
        <w:rPr>
          <w:sz w:val="22"/>
          <w:szCs w:val="22"/>
          <w:lang w:val="en-NZ"/>
        </w:rPr>
      </w:pPr>
      <w:r>
        <w:rPr>
          <w:sz w:val="22"/>
          <w:szCs w:val="22"/>
          <w:lang w:val="en-NZ"/>
        </w:rPr>
        <w:t>improvements to the law allowing</w:t>
      </w:r>
      <w:r w:rsidR="00E070ED" w:rsidRPr="00B73FA8">
        <w:rPr>
          <w:sz w:val="22"/>
          <w:szCs w:val="22"/>
          <w:lang w:val="en-NZ"/>
        </w:rPr>
        <w:t xml:space="preserve"> </w:t>
      </w:r>
      <w:r>
        <w:rPr>
          <w:sz w:val="22"/>
          <w:szCs w:val="22"/>
          <w:lang w:val="en-NZ"/>
        </w:rPr>
        <w:t>children of female</w:t>
      </w:r>
      <w:r w:rsidR="00E070ED" w:rsidRPr="00B73FA8">
        <w:rPr>
          <w:sz w:val="22"/>
          <w:szCs w:val="22"/>
          <w:lang w:val="en-NZ"/>
        </w:rPr>
        <w:t xml:space="preserve"> prisoners </w:t>
      </w:r>
      <w:r>
        <w:rPr>
          <w:sz w:val="22"/>
          <w:szCs w:val="22"/>
          <w:lang w:val="en-NZ"/>
        </w:rPr>
        <w:t>to</w:t>
      </w:r>
      <w:r w:rsidR="00E070ED" w:rsidRPr="00B73FA8">
        <w:rPr>
          <w:sz w:val="22"/>
          <w:szCs w:val="22"/>
          <w:lang w:val="en-NZ"/>
        </w:rPr>
        <w:t xml:space="preserve"> be accommodated with their mothers</w:t>
      </w:r>
      <w:r w:rsidR="00E070ED">
        <w:rPr>
          <w:sz w:val="22"/>
          <w:szCs w:val="22"/>
          <w:lang w:val="en-NZ"/>
        </w:rPr>
        <w:t>;</w:t>
      </w:r>
    </w:p>
    <w:p w:rsidR="00E070ED" w:rsidRPr="00B73FA8" w:rsidRDefault="00E070ED" w:rsidP="00D54A7C">
      <w:pPr>
        <w:numPr>
          <w:ilvl w:val="0"/>
          <w:numId w:val="2"/>
        </w:numPr>
        <w:tabs>
          <w:tab w:val="clear" w:pos="1440"/>
          <w:tab w:val="num" w:pos="1080"/>
        </w:tabs>
        <w:ind w:left="1080" w:hanging="540"/>
        <w:jc w:val="both"/>
        <w:rPr>
          <w:sz w:val="22"/>
          <w:szCs w:val="22"/>
          <w:lang w:val="en-NZ"/>
        </w:rPr>
      </w:pPr>
      <w:r w:rsidRPr="00B73FA8">
        <w:rPr>
          <w:sz w:val="22"/>
          <w:szCs w:val="22"/>
          <w:lang w:val="en-NZ"/>
        </w:rPr>
        <w:t>increase</w:t>
      </w:r>
      <w:r w:rsidR="004B4248">
        <w:rPr>
          <w:sz w:val="22"/>
          <w:szCs w:val="22"/>
          <w:lang w:val="en-NZ"/>
        </w:rPr>
        <w:t xml:space="preserve">d </w:t>
      </w:r>
      <w:r w:rsidR="000A7928">
        <w:rPr>
          <w:sz w:val="22"/>
          <w:szCs w:val="22"/>
          <w:lang w:val="en-NZ"/>
        </w:rPr>
        <w:t xml:space="preserve">provision of </w:t>
      </w:r>
      <w:r w:rsidR="004B4248">
        <w:rPr>
          <w:sz w:val="22"/>
          <w:szCs w:val="22"/>
          <w:lang w:val="en-NZ"/>
        </w:rPr>
        <w:t xml:space="preserve">drug and </w:t>
      </w:r>
      <w:r w:rsidRPr="00B73FA8">
        <w:rPr>
          <w:sz w:val="22"/>
          <w:szCs w:val="22"/>
          <w:lang w:val="en-NZ"/>
        </w:rPr>
        <w:t>alcohol services, employment and education opportunities in prisons</w:t>
      </w:r>
      <w:r>
        <w:rPr>
          <w:sz w:val="22"/>
          <w:szCs w:val="22"/>
          <w:lang w:val="en-NZ"/>
        </w:rPr>
        <w:t>;</w:t>
      </w:r>
    </w:p>
    <w:p w:rsidR="00E070ED" w:rsidRPr="00B73FA8" w:rsidRDefault="00E070ED" w:rsidP="00D54A7C">
      <w:pPr>
        <w:numPr>
          <w:ilvl w:val="0"/>
          <w:numId w:val="2"/>
        </w:numPr>
        <w:tabs>
          <w:tab w:val="clear" w:pos="1440"/>
          <w:tab w:val="num" w:pos="1080"/>
        </w:tabs>
        <w:ind w:left="1080" w:hanging="540"/>
        <w:jc w:val="both"/>
        <w:rPr>
          <w:sz w:val="22"/>
          <w:szCs w:val="22"/>
          <w:lang w:val="en-NZ"/>
        </w:rPr>
      </w:pPr>
      <w:r w:rsidRPr="00B73FA8">
        <w:rPr>
          <w:sz w:val="22"/>
          <w:szCs w:val="22"/>
          <w:lang w:val="en-NZ"/>
        </w:rPr>
        <w:t xml:space="preserve">an increase in the number of beds </w:t>
      </w:r>
      <w:r w:rsidR="000A7928">
        <w:rPr>
          <w:sz w:val="22"/>
          <w:szCs w:val="22"/>
          <w:lang w:val="en-NZ"/>
        </w:rPr>
        <w:t xml:space="preserve">available </w:t>
      </w:r>
      <w:r w:rsidRPr="00B73FA8">
        <w:rPr>
          <w:sz w:val="22"/>
          <w:szCs w:val="22"/>
          <w:lang w:val="en-NZ"/>
        </w:rPr>
        <w:t>in Child, Youth and Family facilities</w:t>
      </w:r>
      <w:r>
        <w:rPr>
          <w:sz w:val="22"/>
          <w:szCs w:val="22"/>
          <w:lang w:val="en-NZ"/>
        </w:rPr>
        <w:t>;</w:t>
      </w:r>
    </w:p>
    <w:p w:rsidR="00E070ED" w:rsidRPr="00B73FA8" w:rsidRDefault="00E070ED" w:rsidP="00D54A7C">
      <w:pPr>
        <w:numPr>
          <w:ilvl w:val="0"/>
          <w:numId w:val="2"/>
        </w:numPr>
        <w:tabs>
          <w:tab w:val="clear" w:pos="1440"/>
          <w:tab w:val="num" w:pos="1080"/>
        </w:tabs>
        <w:ind w:left="1080" w:hanging="540"/>
        <w:jc w:val="both"/>
        <w:rPr>
          <w:sz w:val="22"/>
          <w:szCs w:val="22"/>
          <w:lang w:val="en-NZ"/>
        </w:rPr>
      </w:pPr>
      <w:r w:rsidRPr="00B73FA8">
        <w:rPr>
          <w:sz w:val="22"/>
          <w:szCs w:val="22"/>
          <w:lang w:val="en-NZ"/>
        </w:rPr>
        <w:lastRenderedPageBreak/>
        <w:t xml:space="preserve">amendment of </w:t>
      </w:r>
      <w:r w:rsidR="00086B9E">
        <w:rPr>
          <w:sz w:val="22"/>
          <w:szCs w:val="22"/>
          <w:lang w:val="en-NZ"/>
        </w:rPr>
        <w:t>the law dealing with corporal punishment of children in the home</w:t>
      </w:r>
      <w:r w:rsidRPr="00B73FA8">
        <w:rPr>
          <w:sz w:val="22"/>
          <w:szCs w:val="22"/>
          <w:lang w:val="en-NZ"/>
        </w:rPr>
        <w:t xml:space="preserve">; </w:t>
      </w:r>
      <w:r w:rsidR="00685C61">
        <w:rPr>
          <w:sz w:val="22"/>
          <w:szCs w:val="22"/>
          <w:lang w:val="en-NZ"/>
        </w:rPr>
        <w:t>and</w:t>
      </w:r>
    </w:p>
    <w:p w:rsidR="00E070ED" w:rsidRPr="00B73FA8" w:rsidRDefault="00E070ED" w:rsidP="00D54A7C">
      <w:pPr>
        <w:numPr>
          <w:ilvl w:val="0"/>
          <w:numId w:val="2"/>
        </w:numPr>
        <w:tabs>
          <w:tab w:val="clear" w:pos="1440"/>
          <w:tab w:val="num" w:pos="1080"/>
        </w:tabs>
        <w:ind w:left="1080" w:hanging="540"/>
        <w:jc w:val="both"/>
        <w:rPr>
          <w:sz w:val="22"/>
          <w:szCs w:val="22"/>
          <w:lang w:val="en-NZ"/>
        </w:rPr>
      </w:pPr>
      <w:r w:rsidRPr="00B73FA8">
        <w:rPr>
          <w:sz w:val="22"/>
          <w:szCs w:val="22"/>
          <w:lang w:val="en-NZ"/>
        </w:rPr>
        <w:t xml:space="preserve">proposed legislation to extend the protections of the Children, Young Persons and their Families Act 1989 to include 17 year olds (although </w:t>
      </w:r>
      <w:r w:rsidR="00635C3F">
        <w:rPr>
          <w:sz w:val="22"/>
          <w:szCs w:val="22"/>
          <w:lang w:val="en-NZ"/>
        </w:rPr>
        <w:t xml:space="preserve">the Commission notes with concern that </w:t>
      </w:r>
      <w:r w:rsidRPr="00B73FA8">
        <w:rPr>
          <w:sz w:val="22"/>
          <w:szCs w:val="22"/>
          <w:lang w:val="en-NZ"/>
        </w:rPr>
        <w:t>there are now indications that this proposal may not be passed</w:t>
      </w:r>
      <w:r w:rsidR="00F1291A">
        <w:rPr>
          <w:sz w:val="22"/>
          <w:szCs w:val="22"/>
          <w:lang w:val="en-NZ"/>
        </w:rPr>
        <w:t xml:space="preserve"> into law</w:t>
      </w:r>
      <w:r w:rsidRPr="00B73FA8">
        <w:rPr>
          <w:sz w:val="22"/>
          <w:szCs w:val="22"/>
          <w:lang w:val="en-NZ"/>
        </w:rPr>
        <w:t>)</w:t>
      </w:r>
      <w:r>
        <w:rPr>
          <w:sz w:val="22"/>
          <w:szCs w:val="22"/>
          <w:lang w:val="en-NZ"/>
        </w:rPr>
        <w:t>.</w:t>
      </w:r>
    </w:p>
    <w:p w:rsidR="00E070ED" w:rsidRDefault="00E070ED" w:rsidP="00E070ED">
      <w:pPr>
        <w:jc w:val="both"/>
        <w:rPr>
          <w:sz w:val="22"/>
          <w:szCs w:val="22"/>
          <w:lang w:val="en-NZ"/>
        </w:rPr>
      </w:pPr>
    </w:p>
    <w:p w:rsidR="003839FF" w:rsidRDefault="009E32EA" w:rsidP="00D54A7C">
      <w:pPr>
        <w:numPr>
          <w:ilvl w:val="1"/>
          <w:numId w:val="3"/>
        </w:numPr>
        <w:tabs>
          <w:tab w:val="clear" w:pos="1080"/>
          <w:tab w:val="num" w:pos="540"/>
        </w:tabs>
        <w:ind w:left="540" w:hanging="540"/>
        <w:jc w:val="both"/>
        <w:rPr>
          <w:sz w:val="22"/>
          <w:szCs w:val="22"/>
          <w:lang w:val="en-NZ"/>
        </w:rPr>
      </w:pPr>
      <w:r w:rsidRPr="00B73FA8">
        <w:rPr>
          <w:sz w:val="22"/>
          <w:szCs w:val="22"/>
          <w:lang w:val="en-NZ"/>
        </w:rPr>
        <w:t>Significant challenges remain, such as</w:t>
      </w:r>
      <w:r w:rsidR="003839FF" w:rsidRPr="00B73FA8">
        <w:rPr>
          <w:sz w:val="22"/>
          <w:szCs w:val="22"/>
          <w:lang w:val="en-NZ"/>
        </w:rPr>
        <w:t>:</w:t>
      </w:r>
      <w:r w:rsidRPr="00B73FA8">
        <w:rPr>
          <w:sz w:val="22"/>
          <w:szCs w:val="22"/>
          <w:lang w:val="en-NZ"/>
        </w:rPr>
        <w:t xml:space="preserve"> </w:t>
      </w:r>
    </w:p>
    <w:p w:rsidR="003E0C92" w:rsidRDefault="003E0C92" w:rsidP="00D54A7C">
      <w:pPr>
        <w:numPr>
          <w:ilvl w:val="0"/>
          <w:numId w:val="7"/>
        </w:numPr>
        <w:tabs>
          <w:tab w:val="clear" w:pos="1440"/>
          <w:tab w:val="num" w:pos="1080"/>
        </w:tabs>
        <w:ind w:left="1080" w:hanging="540"/>
        <w:jc w:val="both"/>
        <w:rPr>
          <w:sz w:val="22"/>
          <w:szCs w:val="22"/>
        </w:rPr>
      </w:pPr>
      <w:r>
        <w:rPr>
          <w:sz w:val="22"/>
          <w:szCs w:val="22"/>
        </w:rPr>
        <w:t>ensuring that all National Preventive Mechanisms are adequately resourced to effectively fulfil their new responsibilities;</w:t>
      </w:r>
    </w:p>
    <w:p w:rsidR="00977BAB" w:rsidRDefault="00977BAB" w:rsidP="00D54A7C">
      <w:pPr>
        <w:numPr>
          <w:ilvl w:val="0"/>
          <w:numId w:val="7"/>
        </w:numPr>
        <w:tabs>
          <w:tab w:val="clear" w:pos="1440"/>
          <w:tab w:val="num" w:pos="1080"/>
        </w:tabs>
        <w:ind w:left="1080" w:hanging="540"/>
        <w:jc w:val="both"/>
        <w:rPr>
          <w:sz w:val="22"/>
          <w:szCs w:val="22"/>
        </w:rPr>
      </w:pPr>
      <w:r w:rsidRPr="00B014EE">
        <w:rPr>
          <w:sz w:val="22"/>
          <w:szCs w:val="22"/>
        </w:rPr>
        <w:t xml:space="preserve">addressing the risks and issues associated with the introduction of tasers; </w:t>
      </w:r>
    </w:p>
    <w:p w:rsidR="00B014EE" w:rsidRPr="00B014EE" w:rsidRDefault="00B014EE" w:rsidP="00D54A7C">
      <w:pPr>
        <w:numPr>
          <w:ilvl w:val="0"/>
          <w:numId w:val="7"/>
        </w:numPr>
        <w:tabs>
          <w:tab w:val="clear" w:pos="1440"/>
          <w:tab w:val="num" w:pos="1080"/>
        </w:tabs>
        <w:ind w:left="1080" w:hanging="540"/>
        <w:jc w:val="both"/>
        <w:rPr>
          <w:sz w:val="22"/>
          <w:szCs w:val="22"/>
        </w:rPr>
      </w:pPr>
      <w:r w:rsidRPr="00B014EE">
        <w:rPr>
          <w:sz w:val="22"/>
          <w:szCs w:val="22"/>
        </w:rPr>
        <w:t>improving the provision of mental health services for people in prison;</w:t>
      </w:r>
    </w:p>
    <w:p w:rsidR="00B014EE" w:rsidRPr="00B014EE" w:rsidRDefault="00B014EE" w:rsidP="00D54A7C">
      <w:pPr>
        <w:numPr>
          <w:ilvl w:val="0"/>
          <w:numId w:val="7"/>
        </w:numPr>
        <w:tabs>
          <w:tab w:val="clear" w:pos="1440"/>
          <w:tab w:val="num" w:pos="1080"/>
        </w:tabs>
        <w:ind w:left="1080" w:hanging="540"/>
        <w:jc w:val="both"/>
        <w:rPr>
          <w:sz w:val="22"/>
          <w:szCs w:val="22"/>
        </w:rPr>
      </w:pPr>
      <w:r w:rsidRPr="00B014EE">
        <w:rPr>
          <w:sz w:val="22"/>
          <w:szCs w:val="22"/>
        </w:rPr>
        <w:t>addressing the disproportionate number of Māori in prison, the high overall levels of imprisonment and the human rights implications of resulting capacity and staffing pressures;</w:t>
      </w:r>
    </w:p>
    <w:p w:rsidR="00977BAB" w:rsidRPr="00B014EE" w:rsidRDefault="00977BAB" w:rsidP="00D54A7C">
      <w:pPr>
        <w:numPr>
          <w:ilvl w:val="0"/>
          <w:numId w:val="7"/>
        </w:numPr>
        <w:tabs>
          <w:tab w:val="clear" w:pos="1440"/>
          <w:tab w:val="num" w:pos="1080"/>
        </w:tabs>
        <w:ind w:left="1080" w:hanging="540"/>
        <w:jc w:val="both"/>
        <w:rPr>
          <w:sz w:val="22"/>
          <w:szCs w:val="22"/>
        </w:rPr>
      </w:pPr>
      <w:r w:rsidRPr="00B014EE">
        <w:rPr>
          <w:sz w:val="22"/>
          <w:szCs w:val="22"/>
        </w:rPr>
        <w:t>removing New Zealand’s treaty reservations regarding the mixing of adults and young people in detention;</w:t>
      </w:r>
    </w:p>
    <w:p w:rsidR="00977BAB" w:rsidRPr="00B014EE" w:rsidRDefault="00977BAB" w:rsidP="00D54A7C">
      <w:pPr>
        <w:numPr>
          <w:ilvl w:val="0"/>
          <w:numId w:val="7"/>
        </w:numPr>
        <w:tabs>
          <w:tab w:val="clear" w:pos="1440"/>
          <w:tab w:val="num" w:pos="1080"/>
        </w:tabs>
        <w:ind w:left="1080" w:hanging="540"/>
        <w:jc w:val="both"/>
        <w:rPr>
          <w:sz w:val="22"/>
          <w:szCs w:val="22"/>
        </w:rPr>
      </w:pPr>
      <w:r w:rsidRPr="00B014EE">
        <w:rPr>
          <w:sz w:val="22"/>
          <w:szCs w:val="22"/>
        </w:rPr>
        <w:t>implementing a systematic and comprehensive approach to human rights education for law enforcement personnel and staff of places of detention and ensuring that human rights are fully integrated into day to day practices;</w:t>
      </w:r>
    </w:p>
    <w:p w:rsidR="00B014EE" w:rsidRPr="00B014EE" w:rsidRDefault="00B014EE" w:rsidP="00D54A7C">
      <w:pPr>
        <w:numPr>
          <w:ilvl w:val="0"/>
          <w:numId w:val="7"/>
        </w:numPr>
        <w:tabs>
          <w:tab w:val="clear" w:pos="1440"/>
          <w:tab w:val="num" w:pos="1080"/>
        </w:tabs>
        <w:ind w:left="1080" w:hanging="540"/>
        <w:jc w:val="both"/>
        <w:rPr>
          <w:sz w:val="22"/>
          <w:szCs w:val="22"/>
        </w:rPr>
      </w:pPr>
      <w:r w:rsidRPr="00B014EE">
        <w:rPr>
          <w:sz w:val="22"/>
          <w:szCs w:val="22"/>
        </w:rPr>
        <w:t>ensuring that immigration legislation is fully compliant with human rights standards;</w:t>
      </w:r>
    </w:p>
    <w:p w:rsidR="009F1435" w:rsidRPr="00B014EE" w:rsidRDefault="009F1435" w:rsidP="00D54A7C">
      <w:pPr>
        <w:numPr>
          <w:ilvl w:val="0"/>
          <w:numId w:val="7"/>
        </w:numPr>
        <w:tabs>
          <w:tab w:val="clear" w:pos="1440"/>
          <w:tab w:val="num" w:pos="1080"/>
        </w:tabs>
        <w:ind w:left="1080" w:hanging="540"/>
        <w:jc w:val="both"/>
        <w:rPr>
          <w:sz w:val="22"/>
          <w:szCs w:val="22"/>
        </w:rPr>
      </w:pPr>
      <w:r>
        <w:rPr>
          <w:sz w:val="22"/>
          <w:szCs w:val="22"/>
        </w:rPr>
        <w:t>providing an appropriate process for resolving historical claims of abuse experienced by people detained or in the care of the State; and</w:t>
      </w:r>
    </w:p>
    <w:p w:rsidR="00B014EE" w:rsidRDefault="00B014EE" w:rsidP="00D54A7C">
      <w:pPr>
        <w:numPr>
          <w:ilvl w:val="0"/>
          <w:numId w:val="7"/>
        </w:numPr>
        <w:tabs>
          <w:tab w:val="clear" w:pos="1440"/>
          <w:tab w:val="num" w:pos="1080"/>
        </w:tabs>
        <w:ind w:left="1080" w:hanging="540"/>
        <w:jc w:val="both"/>
        <w:rPr>
          <w:sz w:val="22"/>
          <w:szCs w:val="22"/>
          <w:lang w:val="en-NZ"/>
        </w:rPr>
      </w:pPr>
      <w:r w:rsidRPr="00B014EE">
        <w:rPr>
          <w:sz w:val="22"/>
          <w:szCs w:val="22"/>
        </w:rPr>
        <w:t>f</w:t>
      </w:r>
      <w:r w:rsidR="00977BAB">
        <w:rPr>
          <w:sz w:val="22"/>
          <w:szCs w:val="22"/>
        </w:rPr>
        <w:t xml:space="preserve">urther </w:t>
      </w:r>
      <w:r w:rsidRPr="00B014EE">
        <w:rPr>
          <w:sz w:val="22"/>
          <w:szCs w:val="22"/>
        </w:rPr>
        <w:t>strengthening victim’s rights and access to compensation and withdrawal of the reservation to Article 14</w:t>
      </w:r>
      <w:r w:rsidR="009F1435">
        <w:rPr>
          <w:sz w:val="22"/>
          <w:szCs w:val="22"/>
        </w:rPr>
        <w:t>.</w:t>
      </w:r>
    </w:p>
    <w:p w:rsidR="00B014EE" w:rsidRDefault="00B014EE" w:rsidP="00B014EE">
      <w:pPr>
        <w:tabs>
          <w:tab w:val="num" w:pos="540"/>
        </w:tabs>
        <w:jc w:val="both"/>
        <w:rPr>
          <w:sz w:val="22"/>
          <w:szCs w:val="22"/>
          <w:lang w:val="en-NZ"/>
        </w:rPr>
      </w:pPr>
    </w:p>
    <w:p w:rsidR="00635C3F" w:rsidRDefault="00B014EE" w:rsidP="00D54A7C">
      <w:pPr>
        <w:numPr>
          <w:ilvl w:val="1"/>
          <w:numId w:val="3"/>
        </w:numPr>
        <w:tabs>
          <w:tab w:val="clear" w:pos="1080"/>
          <w:tab w:val="num" w:pos="540"/>
        </w:tabs>
        <w:ind w:left="540" w:hanging="540"/>
        <w:jc w:val="both"/>
        <w:rPr>
          <w:sz w:val="22"/>
          <w:szCs w:val="22"/>
          <w:lang w:val="en-NZ"/>
        </w:rPr>
      </w:pPr>
      <w:r>
        <w:rPr>
          <w:sz w:val="22"/>
          <w:szCs w:val="22"/>
          <w:lang w:val="en-NZ"/>
        </w:rPr>
        <w:t>The Commission would welcome the Committee’s consideration of these issues.</w:t>
      </w:r>
    </w:p>
    <w:p w:rsidR="00992744" w:rsidRPr="000542A0" w:rsidRDefault="00992744" w:rsidP="000542A0">
      <w:pPr>
        <w:pStyle w:val="Heading1"/>
      </w:pPr>
      <w:bookmarkStart w:id="3" w:name="_Toc222903308"/>
      <w:bookmarkStart w:id="4" w:name="_Toc225333132"/>
      <w:r w:rsidRPr="000542A0">
        <w:t>Prevention of torture</w:t>
      </w:r>
      <w:r w:rsidR="008D5E2D" w:rsidRPr="000542A0">
        <w:t xml:space="preserve"> and cruel, inhuman or degrading treatment or punishment</w:t>
      </w:r>
      <w:r w:rsidRPr="000542A0">
        <w:t xml:space="preserve"> (Article</w:t>
      </w:r>
      <w:r w:rsidR="008D5E2D" w:rsidRPr="000542A0">
        <w:t>s</w:t>
      </w:r>
      <w:r w:rsidRPr="000542A0">
        <w:t xml:space="preserve"> 2</w:t>
      </w:r>
      <w:r w:rsidR="008D5E2D" w:rsidRPr="000542A0">
        <w:t xml:space="preserve"> and 16</w:t>
      </w:r>
      <w:r w:rsidRPr="000542A0">
        <w:t>)</w:t>
      </w:r>
      <w:bookmarkEnd w:id="3"/>
      <w:bookmarkEnd w:id="4"/>
    </w:p>
    <w:p w:rsidR="00992744" w:rsidRPr="00BA5B5E" w:rsidRDefault="00BA5B5E" w:rsidP="00BA5B5E">
      <w:pPr>
        <w:pStyle w:val="Heading2"/>
      </w:pPr>
      <w:bookmarkStart w:id="5" w:name="_Toc222903309"/>
      <w:bookmarkStart w:id="6" w:name="_Toc225333133"/>
      <w:r w:rsidRPr="00BA5B5E">
        <w:t>Optional Protocol to the Convention against Torture</w:t>
      </w:r>
      <w:bookmarkEnd w:id="5"/>
      <w:bookmarkEnd w:id="6"/>
    </w:p>
    <w:p w:rsidR="001A3F68" w:rsidRDefault="004E31D1" w:rsidP="00D54A7C">
      <w:pPr>
        <w:numPr>
          <w:ilvl w:val="1"/>
          <w:numId w:val="3"/>
        </w:numPr>
        <w:tabs>
          <w:tab w:val="clear" w:pos="1080"/>
          <w:tab w:val="num" w:pos="540"/>
        </w:tabs>
        <w:ind w:left="540" w:hanging="540"/>
        <w:jc w:val="both"/>
        <w:rPr>
          <w:sz w:val="22"/>
          <w:szCs w:val="22"/>
        </w:rPr>
      </w:pPr>
      <w:bookmarkStart w:id="7" w:name="_Toc222903310"/>
      <w:r w:rsidRPr="00D15A27">
        <w:rPr>
          <w:sz w:val="22"/>
          <w:szCs w:val="22"/>
        </w:rPr>
        <w:t xml:space="preserve">In 2007 </w:t>
      </w:r>
      <w:r w:rsidR="001A3F68" w:rsidRPr="00D15A27">
        <w:rPr>
          <w:sz w:val="22"/>
          <w:szCs w:val="22"/>
        </w:rPr>
        <w:t xml:space="preserve">New Zealand ratified the Optional Protocol to the Convention against Torture (OPCAT) </w:t>
      </w:r>
      <w:r w:rsidR="00C756F1" w:rsidRPr="00D15A27">
        <w:rPr>
          <w:sz w:val="22"/>
          <w:szCs w:val="22"/>
        </w:rPr>
        <w:t>and established National P</w:t>
      </w:r>
      <w:r w:rsidR="001A3F68" w:rsidRPr="00D15A27">
        <w:rPr>
          <w:sz w:val="22"/>
          <w:szCs w:val="22"/>
        </w:rPr>
        <w:t>reventiv</w:t>
      </w:r>
      <w:r w:rsidR="00C756F1" w:rsidRPr="00D15A27">
        <w:rPr>
          <w:sz w:val="22"/>
          <w:szCs w:val="22"/>
        </w:rPr>
        <w:t>e M</w:t>
      </w:r>
      <w:r w:rsidRPr="00D15A27">
        <w:rPr>
          <w:sz w:val="22"/>
          <w:szCs w:val="22"/>
        </w:rPr>
        <w:t>echanisms</w:t>
      </w:r>
      <w:r w:rsidR="00C756F1" w:rsidRPr="00D15A27">
        <w:rPr>
          <w:sz w:val="22"/>
          <w:szCs w:val="22"/>
        </w:rPr>
        <w:t xml:space="preserve"> (NPMs)</w:t>
      </w:r>
      <w:r w:rsidRPr="00D15A27">
        <w:rPr>
          <w:sz w:val="22"/>
          <w:szCs w:val="22"/>
        </w:rPr>
        <w:t xml:space="preserve"> to give it effect</w:t>
      </w:r>
      <w:r w:rsidR="001A3F68" w:rsidRPr="00D15A27">
        <w:rPr>
          <w:sz w:val="22"/>
          <w:szCs w:val="22"/>
        </w:rPr>
        <w:t>.</w:t>
      </w:r>
    </w:p>
    <w:p w:rsidR="007415C4" w:rsidRDefault="007415C4" w:rsidP="007415C4">
      <w:pPr>
        <w:jc w:val="both"/>
        <w:rPr>
          <w:sz w:val="22"/>
          <w:szCs w:val="22"/>
        </w:rPr>
      </w:pPr>
    </w:p>
    <w:p w:rsidR="007415C4" w:rsidRDefault="009C472B" w:rsidP="00D54A7C">
      <w:pPr>
        <w:numPr>
          <w:ilvl w:val="1"/>
          <w:numId w:val="3"/>
        </w:numPr>
        <w:tabs>
          <w:tab w:val="clear" w:pos="1080"/>
          <w:tab w:val="num" w:pos="540"/>
        </w:tabs>
        <w:ind w:left="540" w:hanging="540"/>
        <w:jc w:val="both"/>
        <w:rPr>
          <w:sz w:val="22"/>
          <w:szCs w:val="22"/>
        </w:rPr>
      </w:pPr>
      <w:r w:rsidRPr="00D15A27">
        <w:rPr>
          <w:sz w:val="22"/>
          <w:szCs w:val="22"/>
        </w:rPr>
        <w:t>The</w:t>
      </w:r>
      <w:r w:rsidR="00125259" w:rsidRPr="00D15A27">
        <w:rPr>
          <w:sz w:val="22"/>
          <w:szCs w:val="22"/>
        </w:rPr>
        <w:t xml:space="preserve"> Ombudsm</w:t>
      </w:r>
      <w:r w:rsidRPr="00D15A27">
        <w:rPr>
          <w:sz w:val="22"/>
          <w:szCs w:val="22"/>
        </w:rPr>
        <w:t>a</w:t>
      </w:r>
      <w:r w:rsidR="00125259" w:rsidRPr="00D15A27">
        <w:rPr>
          <w:sz w:val="22"/>
          <w:szCs w:val="22"/>
        </w:rPr>
        <w:t>n, the Independent Police Conduct Authority</w:t>
      </w:r>
      <w:r w:rsidRPr="00D15A27">
        <w:rPr>
          <w:sz w:val="22"/>
          <w:szCs w:val="22"/>
        </w:rPr>
        <w:t xml:space="preserve"> (IPCA)</w:t>
      </w:r>
      <w:r w:rsidR="00125259" w:rsidRPr="00D15A27">
        <w:rPr>
          <w:sz w:val="22"/>
          <w:szCs w:val="22"/>
        </w:rPr>
        <w:t xml:space="preserve">, the Children’s Commissioner and the Inspector of Service Penal Establishments </w:t>
      </w:r>
      <w:r w:rsidR="00AC338B" w:rsidRPr="00D15A27">
        <w:rPr>
          <w:sz w:val="22"/>
          <w:szCs w:val="22"/>
        </w:rPr>
        <w:t>have</w:t>
      </w:r>
      <w:r w:rsidRPr="00D15A27">
        <w:rPr>
          <w:sz w:val="22"/>
          <w:szCs w:val="22"/>
        </w:rPr>
        <w:t xml:space="preserve"> each</w:t>
      </w:r>
      <w:r w:rsidR="00125259" w:rsidRPr="00D15A27">
        <w:rPr>
          <w:sz w:val="22"/>
          <w:szCs w:val="22"/>
        </w:rPr>
        <w:t xml:space="preserve"> </w:t>
      </w:r>
      <w:r w:rsidR="00AC338B" w:rsidRPr="00D15A27">
        <w:rPr>
          <w:sz w:val="22"/>
          <w:szCs w:val="22"/>
        </w:rPr>
        <w:t xml:space="preserve">been </w:t>
      </w:r>
      <w:r w:rsidR="00125259" w:rsidRPr="00D15A27">
        <w:rPr>
          <w:sz w:val="22"/>
          <w:szCs w:val="22"/>
        </w:rPr>
        <w:t>designated as NPMs to inspect and monitor specific categories of places of detention</w:t>
      </w:r>
      <w:r w:rsidR="000C5ECA">
        <w:rPr>
          <w:sz w:val="22"/>
          <w:szCs w:val="22"/>
        </w:rPr>
        <w:t xml:space="preserve">.  The </w:t>
      </w:r>
      <w:r w:rsidR="00125259" w:rsidRPr="00D15A27">
        <w:rPr>
          <w:sz w:val="22"/>
          <w:szCs w:val="22"/>
        </w:rPr>
        <w:t xml:space="preserve">Human Rights Commission </w:t>
      </w:r>
      <w:r w:rsidR="00AC338B" w:rsidRPr="00D15A27">
        <w:rPr>
          <w:sz w:val="22"/>
          <w:szCs w:val="22"/>
        </w:rPr>
        <w:t>has been appointed to a coordinating role as the designated</w:t>
      </w:r>
      <w:r w:rsidR="00125259" w:rsidRPr="00D15A27">
        <w:rPr>
          <w:sz w:val="22"/>
          <w:szCs w:val="22"/>
        </w:rPr>
        <w:t xml:space="preserve"> Central National Preventive Mechanism.  </w:t>
      </w:r>
    </w:p>
    <w:p w:rsidR="007415C4" w:rsidRDefault="007415C4" w:rsidP="007415C4">
      <w:pPr>
        <w:jc w:val="both"/>
        <w:rPr>
          <w:sz w:val="22"/>
          <w:szCs w:val="22"/>
        </w:rPr>
      </w:pPr>
    </w:p>
    <w:p w:rsidR="007415C4" w:rsidRDefault="000C5ECA" w:rsidP="00D54A7C">
      <w:pPr>
        <w:numPr>
          <w:ilvl w:val="1"/>
          <w:numId w:val="3"/>
        </w:numPr>
        <w:tabs>
          <w:tab w:val="clear" w:pos="1080"/>
          <w:tab w:val="num" w:pos="540"/>
        </w:tabs>
        <w:ind w:left="540" w:hanging="540"/>
        <w:jc w:val="both"/>
        <w:rPr>
          <w:sz w:val="22"/>
          <w:szCs w:val="22"/>
        </w:rPr>
      </w:pPr>
      <w:r>
        <w:rPr>
          <w:sz w:val="22"/>
          <w:szCs w:val="22"/>
        </w:rPr>
        <w:t>Establishment of the post of</w:t>
      </w:r>
      <w:r w:rsidR="00CC7E88" w:rsidRPr="00CC7E88">
        <w:rPr>
          <w:sz w:val="22"/>
          <w:szCs w:val="22"/>
        </w:rPr>
        <w:t xml:space="preserve"> Inspector of Service Penal Establishments to monitor Defence Force facilities </w:t>
      </w:r>
      <w:r w:rsidR="00CC7E88">
        <w:rPr>
          <w:sz w:val="22"/>
          <w:szCs w:val="22"/>
        </w:rPr>
        <w:t>i</w:t>
      </w:r>
      <w:r w:rsidR="00CC7E88" w:rsidRPr="00CC7E88">
        <w:rPr>
          <w:sz w:val="22"/>
          <w:szCs w:val="22"/>
        </w:rPr>
        <w:t xml:space="preserve">s a </w:t>
      </w:r>
      <w:r w:rsidR="00CC7E88">
        <w:rPr>
          <w:sz w:val="22"/>
          <w:szCs w:val="22"/>
        </w:rPr>
        <w:t>noteworthy</w:t>
      </w:r>
      <w:r w:rsidR="00CC7E88" w:rsidRPr="00CC7E88">
        <w:rPr>
          <w:sz w:val="22"/>
          <w:szCs w:val="22"/>
        </w:rPr>
        <w:t xml:space="preserve"> development, </w:t>
      </w:r>
      <w:r w:rsidR="00CC7E88">
        <w:rPr>
          <w:sz w:val="22"/>
          <w:szCs w:val="22"/>
        </w:rPr>
        <w:t xml:space="preserve">as </w:t>
      </w:r>
      <w:r w:rsidR="00871B6F">
        <w:rPr>
          <w:sz w:val="22"/>
          <w:szCs w:val="22"/>
        </w:rPr>
        <w:t xml:space="preserve">prior to </w:t>
      </w:r>
      <w:r w:rsidR="00B1452F">
        <w:rPr>
          <w:sz w:val="22"/>
          <w:szCs w:val="22"/>
        </w:rPr>
        <w:t xml:space="preserve">OPCAT </w:t>
      </w:r>
      <w:r>
        <w:rPr>
          <w:sz w:val="22"/>
          <w:szCs w:val="22"/>
        </w:rPr>
        <w:t>ratification</w:t>
      </w:r>
      <w:r w:rsidR="00B1452F">
        <w:rPr>
          <w:sz w:val="22"/>
          <w:szCs w:val="22"/>
        </w:rPr>
        <w:t xml:space="preserve"> </w:t>
      </w:r>
      <w:r w:rsidR="00CC7E88">
        <w:rPr>
          <w:sz w:val="22"/>
          <w:szCs w:val="22"/>
        </w:rPr>
        <w:t xml:space="preserve">military facilities </w:t>
      </w:r>
      <w:r w:rsidR="00871B6F">
        <w:rPr>
          <w:sz w:val="22"/>
          <w:szCs w:val="22"/>
        </w:rPr>
        <w:t>were not</w:t>
      </w:r>
      <w:r w:rsidR="00CC7E88">
        <w:rPr>
          <w:sz w:val="22"/>
          <w:szCs w:val="22"/>
        </w:rPr>
        <w:t xml:space="preserve"> subject to </w:t>
      </w:r>
      <w:r w:rsidR="00CC7E88" w:rsidRPr="00CC7E88">
        <w:rPr>
          <w:sz w:val="22"/>
          <w:szCs w:val="22"/>
        </w:rPr>
        <w:t>regular external monitoring</w:t>
      </w:r>
      <w:r w:rsidR="00167585">
        <w:rPr>
          <w:sz w:val="22"/>
          <w:szCs w:val="22"/>
        </w:rPr>
        <w:t xml:space="preserve"> or review</w:t>
      </w:r>
      <w:r w:rsidR="00CC7E88" w:rsidRPr="00CC7E88">
        <w:rPr>
          <w:sz w:val="22"/>
          <w:szCs w:val="22"/>
        </w:rPr>
        <w:t>.</w:t>
      </w:r>
    </w:p>
    <w:p w:rsidR="007415C4" w:rsidRDefault="007415C4" w:rsidP="007415C4">
      <w:pPr>
        <w:jc w:val="both"/>
        <w:rPr>
          <w:sz w:val="22"/>
          <w:szCs w:val="22"/>
        </w:rPr>
      </w:pPr>
    </w:p>
    <w:p w:rsidR="007415C4" w:rsidRDefault="0057273E" w:rsidP="00D54A7C">
      <w:pPr>
        <w:numPr>
          <w:ilvl w:val="1"/>
          <w:numId w:val="3"/>
        </w:numPr>
        <w:tabs>
          <w:tab w:val="clear" w:pos="1080"/>
          <w:tab w:val="num" w:pos="540"/>
        </w:tabs>
        <w:ind w:left="540" w:hanging="540"/>
        <w:jc w:val="both"/>
        <w:rPr>
          <w:sz w:val="22"/>
          <w:szCs w:val="22"/>
        </w:rPr>
      </w:pPr>
      <w:r w:rsidRPr="00D15A27">
        <w:rPr>
          <w:sz w:val="22"/>
          <w:szCs w:val="22"/>
        </w:rPr>
        <w:t xml:space="preserve">The first collated annual report of the five OPCAT organisations has been published, and is provided </w:t>
      </w:r>
      <w:r w:rsidR="00AC338B" w:rsidRPr="00D15A27">
        <w:rPr>
          <w:sz w:val="22"/>
          <w:szCs w:val="22"/>
        </w:rPr>
        <w:t xml:space="preserve">herewith </w:t>
      </w:r>
      <w:r w:rsidRPr="00D15A27">
        <w:rPr>
          <w:sz w:val="22"/>
          <w:szCs w:val="22"/>
        </w:rPr>
        <w:t xml:space="preserve">for the Committee’s information.  </w:t>
      </w:r>
      <w:r w:rsidR="00D15A27" w:rsidRPr="00D15A27">
        <w:rPr>
          <w:sz w:val="22"/>
          <w:szCs w:val="22"/>
        </w:rPr>
        <w:t xml:space="preserve">Activities </w:t>
      </w:r>
      <w:r w:rsidR="00D15A27" w:rsidRPr="00D15A27">
        <w:rPr>
          <w:sz w:val="22"/>
          <w:szCs w:val="22"/>
        </w:rPr>
        <w:lastRenderedPageBreak/>
        <w:t>in the</w:t>
      </w:r>
      <w:r w:rsidRPr="00D15A27">
        <w:rPr>
          <w:sz w:val="22"/>
          <w:szCs w:val="22"/>
        </w:rPr>
        <w:t xml:space="preserve"> first </w:t>
      </w:r>
      <w:r w:rsidR="00D15A27" w:rsidRPr="00D15A27">
        <w:rPr>
          <w:sz w:val="22"/>
          <w:szCs w:val="22"/>
        </w:rPr>
        <w:t>year</w:t>
      </w:r>
      <w:r w:rsidRPr="00D15A27">
        <w:rPr>
          <w:sz w:val="22"/>
          <w:szCs w:val="22"/>
        </w:rPr>
        <w:t xml:space="preserve"> focussed on planning and piloting the monitoring system, and preparing for monitoring programmes to be implemented in the </w:t>
      </w:r>
      <w:r w:rsidR="00190995">
        <w:rPr>
          <w:sz w:val="22"/>
          <w:szCs w:val="22"/>
        </w:rPr>
        <w:t>following</w:t>
      </w:r>
      <w:r w:rsidRPr="00D15A27">
        <w:rPr>
          <w:sz w:val="22"/>
          <w:szCs w:val="22"/>
        </w:rPr>
        <w:t xml:space="preserve"> year.</w:t>
      </w:r>
    </w:p>
    <w:p w:rsidR="007415C4" w:rsidRDefault="007415C4" w:rsidP="007415C4">
      <w:pPr>
        <w:jc w:val="both"/>
        <w:rPr>
          <w:sz w:val="22"/>
          <w:szCs w:val="22"/>
        </w:rPr>
      </w:pPr>
    </w:p>
    <w:p w:rsidR="004A47BD" w:rsidRDefault="004E31D1" w:rsidP="00D54A7C">
      <w:pPr>
        <w:numPr>
          <w:ilvl w:val="1"/>
          <w:numId w:val="3"/>
        </w:numPr>
        <w:tabs>
          <w:tab w:val="clear" w:pos="1080"/>
          <w:tab w:val="num" w:pos="540"/>
        </w:tabs>
        <w:ind w:left="540" w:hanging="540"/>
        <w:jc w:val="both"/>
        <w:rPr>
          <w:sz w:val="22"/>
          <w:szCs w:val="22"/>
        </w:rPr>
      </w:pPr>
      <w:r w:rsidRPr="00D15A27">
        <w:rPr>
          <w:sz w:val="22"/>
          <w:szCs w:val="22"/>
        </w:rPr>
        <w:t>Scoping</w:t>
      </w:r>
      <w:r w:rsidR="006D1B6C" w:rsidRPr="00D15A27">
        <w:rPr>
          <w:sz w:val="22"/>
          <w:szCs w:val="22"/>
        </w:rPr>
        <w:t xml:space="preserve"> work</w:t>
      </w:r>
      <w:r w:rsidRPr="00D15A27">
        <w:rPr>
          <w:sz w:val="22"/>
          <w:szCs w:val="22"/>
        </w:rPr>
        <w:t xml:space="preserve"> and initial monitoring visits have highlighted</w:t>
      </w:r>
      <w:r w:rsidR="006D1B6C" w:rsidRPr="00D15A27">
        <w:rPr>
          <w:color w:val="000000"/>
          <w:sz w:val="22"/>
          <w:szCs w:val="22"/>
        </w:rPr>
        <w:t xml:space="preserve"> challenging issues</w:t>
      </w:r>
      <w:r w:rsidR="00C756F1" w:rsidRPr="00D15A27">
        <w:rPr>
          <w:color w:val="000000"/>
          <w:sz w:val="22"/>
          <w:szCs w:val="22"/>
        </w:rPr>
        <w:t xml:space="preserve"> across </w:t>
      </w:r>
      <w:r w:rsidR="00D15A27">
        <w:rPr>
          <w:color w:val="000000"/>
          <w:sz w:val="22"/>
          <w:szCs w:val="22"/>
        </w:rPr>
        <w:t>the various</w:t>
      </w:r>
      <w:r w:rsidR="00C756F1" w:rsidRPr="00D15A27">
        <w:rPr>
          <w:color w:val="000000"/>
          <w:sz w:val="22"/>
          <w:szCs w:val="22"/>
        </w:rPr>
        <w:t xml:space="preserve"> detention contexts</w:t>
      </w:r>
      <w:r w:rsidR="004A47BD" w:rsidRPr="00D15A27">
        <w:rPr>
          <w:sz w:val="22"/>
          <w:szCs w:val="22"/>
        </w:rPr>
        <w:t xml:space="preserve">, including:  </w:t>
      </w:r>
    </w:p>
    <w:p w:rsidR="007415C4" w:rsidRPr="007415C4" w:rsidRDefault="007415C4" w:rsidP="00D54A7C">
      <w:pPr>
        <w:numPr>
          <w:ilvl w:val="0"/>
          <w:numId w:val="5"/>
        </w:numPr>
        <w:tabs>
          <w:tab w:val="clear" w:pos="1440"/>
          <w:tab w:val="num" w:pos="1080"/>
        </w:tabs>
        <w:ind w:left="1080" w:hanging="540"/>
        <w:rPr>
          <w:sz w:val="22"/>
          <w:szCs w:val="22"/>
        </w:rPr>
      </w:pPr>
      <w:r w:rsidRPr="007415C4">
        <w:rPr>
          <w:sz w:val="22"/>
          <w:szCs w:val="22"/>
        </w:rPr>
        <w:t xml:space="preserve">ensuring that all facilities are suitable for the purpose; </w:t>
      </w:r>
    </w:p>
    <w:p w:rsidR="007415C4" w:rsidRPr="007415C4" w:rsidRDefault="007415C4" w:rsidP="00D54A7C">
      <w:pPr>
        <w:numPr>
          <w:ilvl w:val="0"/>
          <w:numId w:val="5"/>
        </w:numPr>
        <w:tabs>
          <w:tab w:val="clear" w:pos="1440"/>
          <w:tab w:val="num" w:pos="1080"/>
        </w:tabs>
        <w:ind w:left="1080" w:hanging="540"/>
        <w:rPr>
          <w:sz w:val="22"/>
          <w:szCs w:val="22"/>
        </w:rPr>
      </w:pPr>
      <w:r w:rsidRPr="007415C4">
        <w:rPr>
          <w:sz w:val="22"/>
          <w:szCs w:val="22"/>
        </w:rPr>
        <w:t>the need for adequate staffing levels, training and specialist staff; and</w:t>
      </w:r>
    </w:p>
    <w:p w:rsidR="007415C4" w:rsidRPr="007415C4" w:rsidRDefault="007415C4" w:rsidP="00D54A7C">
      <w:pPr>
        <w:numPr>
          <w:ilvl w:val="0"/>
          <w:numId w:val="5"/>
        </w:numPr>
        <w:tabs>
          <w:tab w:val="clear" w:pos="1440"/>
          <w:tab w:val="num" w:pos="1080"/>
        </w:tabs>
        <w:ind w:left="1080" w:hanging="540"/>
        <w:rPr>
          <w:sz w:val="22"/>
          <w:szCs w:val="22"/>
        </w:rPr>
      </w:pPr>
      <w:r w:rsidRPr="007415C4">
        <w:rPr>
          <w:sz w:val="22"/>
          <w:szCs w:val="22"/>
        </w:rPr>
        <w:t>the need for particular attention to the rights of specific groups such as children and young people, asylum seekers and disabled people.</w:t>
      </w:r>
    </w:p>
    <w:p w:rsidR="007415C4" w:rsidRDefault="007415C4" w:rsidP="007415C4">
      <w:pPr>
        <w:jc w:val="both"/>
        <w:rPr>
          <w:sz w:val="22"/>
          <w:szCs w:val="22"/>
        </w:rPr>
      </w:pPr>
    </w:p>
    <w:p w:rsidR="007415C4" w:rsidRDefault="00041EB1" w:rsidP="00D54A7C">
      <w:pPr>
        <w:numPr>
          <w:ilvl w:val="1"/>
          <w:numId w:val="3"/>
        </w:numPr>
        <w:tabs>
          <w:tab w:val="clear" w:pos="1080"/>
          <w:tab w:val="num" w:pos="540"/>
        </w:tabs>
        <w:ind w:left="540" w:hanging="540"/>
        <w:jc w:val="both"/>
        <w:rPr>
          <w:sz w:val="22"/>
          <w:szCs w:val="22"/>
        </w:rPr>
      </w:pPr>
      <w:r w:rsidRPr="00D15A27">
        <w:rPr>
          <w:sz w:val="22"/>
          <w:szCs w:val="22"/>
        </w:rPr>
        <w:t xml:space="preserve">A </w:t>
      </w:r>
      <w:r w:rsidR="00AC338B" w:rsidRPr="00D15A27">
        <w:rPr>
          <w:sz w:val="22"/>
          <w:szCs w:val="22"/>
        </w:rPr>
        <w:t xml:space="preserve">further </w:t>
      </w:r>
      <w:r w:rsidRPr="00D15A27">
        <w:rPr>
          <w:sz w:val="22"/>
          <w:szCs w:val="22"/>
        </w:rPr>
        <w:t xml:space="preserve">challenge is that the NPMs are small organisations and to varying extents, the NPM </w:t>
      </w:r>
      <w:r w:rsidR="00BA5B5E">
        <w:rPr>
          <w:sz w:val="22"/>
          <w:szCs w:val="22"/>
        </w:rPr>
        <w:t>responsibilities</w:t>
      </w:r>
      <w:r w:rsidR="00BA5B5E" w:rsidRPr="00D15A27">
        <w:rPr>
          <w:sz w:val="22"/>
          <w:szCs w:val="22"/>
        </w:rPr>
        <w:t xml:space="preserve"> </w:t>
      </w:r>
      <w:r w:rsidR="00BA5B5E">
        <w:rPr>
          <w:sz w:val="22"/>
          <w:szCs w:val="22"/>
        </w:rPr>
        <w:t>represent</w:t>
      </w:r>
      <w:r w:rsidRPr="00D15A27">
        <w:rPr>
          <w:sz w:val="22"/>
          <w:szCs w:val="22"/>
        </w:rPr>
        <w:t xml:space="preserve"> a significant e</w:t>
      </w:r>
      <w:r w:rsidR="006D1B6C" w:rsidRPr="00D15A27">
        <w:rPr>
          <w:sz w:val="22"/>
          <w:szCs w:val="22"/>
        </w:rPr>
        <w:t>xpansion of role and workload.</w:t>
      </w:r>
      <w:r w:rsidR="00741A5E" w:rsidRPr="00D15A27">
        <w:rPr>
          <w:sz w:val="22"/>
          <w:szCs w:val="22"/>
        </w:rPr>
        <w:t xml:space="preserve">  </w:t>
      </w:r>
      <w:r w:rsidR="00556878" w:rsidRPr="00D15A27">
        <w:rPr>
          <w:sz w:val="22"/>
          <w:szCs w:val="22"/>
        </w:rPr>
        <w:t>Scoping activities undertaken in the first year have assisted NPMs to gauge the level of resources that their pre</w:t>
      </w:r>
      <w:r w:rsidR="0024356C">
        <w:rPr>
          <w:sz w:val="22"/>
          <w:szCs w:val="22"/>
        </w:rPr>
        <w:t>ventive monitoring will require</w:t>
      </w:r>
      <w:r w:rsidR="00556878" w:rsidRPr="00D15A27">
        <w:rPr>
          <w:sz w:val="22"/>
          <w:szCs w:val="22"/>
        </w:rPr>
        <w:t xml:space="preserve"> and some additional resource needs have been identified</w:t>
      </w:r>
      <w:r w:rsidR="006D1B6C" w:rsidRPr="00D15A27">
        <w:rPr>
          <w:sz w:val="22"/>
          <w:szCs w:val="22"/>
        </w:rPr>
        <w:t xml:space="preserve"> for consideration in budget allocations</w:t>
      </w:r>
      <w:r w:rsidR="00556878" w:rsidRPr="00D15A27">
        <w:rPr>
          <w:sz w:val="22"/>
          <w:szCs w:val="22"/>
        </w:rPr>
        <w:t>.</w:t>
      </w:r>
      <w:r w:rsidR="006D1B6C" w:rsidRPr="00D15A27">
        <w:rPr>
          <w:sz w:val="22"/>
          <w:szCs w:val="22"/>
        </w:rPr>
        <w:t xml:space="preserve">  These include the IPCA’s need for funding in order to implement its planned monitoring programme.</w:t>
      </w:r>
      <w:r w:rsidR="00556878" w:rsidRPr="00D15A27">
        <w:rPr>
          <w:sz w:val="22"/>
          <w:szCs w:val="22"/>
        </w:rPr>
        <w:t xml:space="preserve">  </w:t>
      </w:r>
    </w:p>
    <w:p w:rsidR="007415C4" w:rsidRDefault="007415C4" w:rsidP="007415C4">
      <w:pPr>
        <w:jc w:val="both"/>
        <w:rPr>
          <w:sz w:val="22"/>
          <w:szCs w:val="22"/>
        </w:rPr>
      </w:pPr>
    </w:p>
    <w:p w:rsidR="007415C4" w:rsidRPr="00B014EE" w:rsidRDefault="00AC338B" w:rsidP="00D54A7C">
      <w:pPr>
        <w:numPr>
          <w:ilvl w:val="1"/>
          <w:numId w:val="3"/>
        </w:numPr>
        <w:tabs>
          <w:tab w:val="clear" w:pos="1080"/>
          <w:tab w:val="num" w:pos="540"/>
        </w:tabs>
        <w:ind w:left="540" w:hanging="540"/>
        <w:jc w:val="both"/>
        <w:rPr>
          <w:b/>
          <w:sz w:val="22"/>
          <w:szCs w:val="22"/>
        </w:rPr>
      </w:pPr>
      <w:r w:rsidRPr="00B014EE">
        <w:rPr>
          <w:b/>
          <w:sz w:val="22"/>
          <w:szCs w:val="22"/>
        </w:rPr>
        <w:t xml:space="preserve">The Commission acknowledges the government’s commitment to ratifying and implementing OPCAT and the cooperation provided to NPMs to date by the agencies and institutions involved.  </w:t>
      </w:r>
      <w:r w:rsidR="008A4464" w:rsidRPr="00B014EE">
        <w:rPr>
          <w:rFonts w:cs="Arial"/>
          <w:b/>
          <w:sz w:val="22"/>
          <w:szCs w:val="22"/>
        </w:rPr>
        <w:t>The Commission and designated NPMs are confident that the implementation of OPCAT in New Zealand will help to strengthen the protection of the rights of people in detention.</w:t>
      </w:r>
    </w:p>
    <w:p w:rsidR="007415C4" w:rsidRPr="00B014EE" w:rsidRDefault="007415C4" w:rsidP="007415C4">
      <w:pPr>
        <w:jc w:val="both"/>
        <w:rPr>
          <w:b/>
          <w:sz w:val="22"/>
          <w:szCs w:val="22"/>
        </w:rPr>
      </w:pPr>
    </w:p>
    <w:p w:rsidR="001A3F68" w:rsidRPr="00B014EE" w:rsidRDefault="00041EB1" w:rsidP="00D54A7C">
      <w:pPr>
        <w:numPr>
          <w:ilvl w:val="1"/>
          <w:numId w:val="3"/>
        </w:numPr>
        <w:tabs>
          <w:tab w:val="clear" w:pos="1080"/>
          <w:tab w:val="num" w:pos="540"/>
        </w:tabs>
        <w:ind w:left="540" w:hanging="540"/>
        <w:jc w:val="both"/>
        <w:rPr>
          <w:b/>
          <w:sz w:val="22"/>
          <w:szCs w:val="22"/>
        </w:rPr>
      </w:pPr>
      <w:r w:rsidRPr="00B014EE">
        <w:rPr>
          <w:b/>
          <w:sz w:val="22"/>
          <w:szCs w:val="22"/>
        </w:rPr>
        <w:t xml:space="preserve">The Commission would like to highlight the importance of </w:t>
      </w:r>
      <w:r w:rsidR="00052AB3" w:rsidRPr="00B014EE">
        <w:rPr>
          <w:b/>
          <w:sz w:val="22"/>
          <w:szCs w:val="22"/>
        </w:rPr>
        <w:t>continued</w:t>
      </w:r>
      <w:r w:rsidRPr="00B014EE">
        <w:rPr>
          <w:b/>
          <w:sz w:val="22"/>
          <w:szCs w:val="22"/>
        </w:rPr>
        <w:t xml:space="preserve"> cooperation and the need to ensure that NPMs are adequately resourced to effectively </w:t>
      </w:r>
      <w:r w:rsidR="007415C4" w:rsidRPr="00B014EE">
        <w:rPr>
          <w:b/>
          <w:sz w:val="22"/>
          <w:szCs w:val="22"/>
        </w:rPr>
        <w:t xml:space="preserve">and independently </w:t>
      </w:r>
      <w:r w:rsidRPr="00B014EE">
        <w:rPr>
          <w:b/>
          <w:sz w:val="22"/>
          <w:szCs w:val="22"/>
        </w:rPr>
        <w:t>carry out their roles.</w:t>
      </w:r>
    </w:p>
    <w:p w:rsidR="007415C4" w:rsidRDefault="007415C4" w:rsidP="007415C4">
      <w:pPr>
        <w:pStyle w:val="Heading2"/>
      </w:pPr>
      <w:bookmarkStart w:id="8" w:name="_Toc225333134"/>
      <w:r>
        <w:t>Police</w:t>
      </w:r>
      <w:bookmarkEnd w:id="8"/>
    </w:p>
    <w:p w:rsidR="007415C4" w:rsidRDefault="00C045A2" w:rsidP="007415C4">
      <w:pPr>
        <w:pStyle w:val="Heading3"/>
      </w:pPr>
      <w:bookmarkStart w:id="9" w:name="_Toc225333135"/>
      <w:r>
        <w:t>Police Act Review</w:t>
      </w:r>
      <w:bookmarkEnd w:id="9"/>
    </w:p>
    <w:p w:rsidR="007415C4" w:rsidRDefault="007415C4" w:rsidP="00D54A7C">
      <w:pPr>
        <w:numPr>
          <w:ilvl w:val="1"/>
          <w:numId w:val="3"/>
        </w:numPr>
        <w:tabs>
          <w:tab w:val="clear" w:pos="1080"/>
          <w:tab w:val="num" w:pos="540"/>
        </w:tabs>
        <w:ind w:left="540" w:hanging="540"/>
        <w:jc w:val="both"/>
        <w:rPr>
          <w:sz w:val="22"/>
          <w:szCs w:val="22"/>
        </w:rPr>
      </w:pPr>
      <w:r w:rsidRPr="00622B81">
        <w:rPr>
          <w:sz w:val="22"/>
          <w:szCs w:val="22"/>
          <w:lang w:eastAsia="en-GB"/>
        </w:rPr>
        <w:t xml:space="preserve">The Policing Act 2008 was enacted following a </w:t>
      </w:r>
      <w:r w:rsidR="000662FE">
        <w:rPr>
          <w:sz w:val="22"/>
          <w:szCs w:val="22"/>
          <w:lang w:eastAsia="en-GB"/>
        </w:rPr>
        <w:t xml:space="preserve">substantial </w:t>
      </w:r>
      <w:r w:rsidRPr="00622B81">
        <w:rPr>
          <w:sz w:val="22"/>
          <w:szCs w:val="22"/>
          <w:lang w:eastAsia="en-GB"/>
        </w:rPr>
        <w:t xml:space="preserve">review of policing legislation.  The Commission acknowledges the </w:t>
      </w:r>
      <w:r w:rsidRPr="00622B81">
        <w:rPr>
          <w:sz w:val="22"/>
          <w:szCs w:val="22"/>
          <w:lang w:val="en-NZ"/>
        </w:rPr>
        <w:t xml:space="preserve">considerable efforts undertaken to engage in public consultation in the course of the review.  </w:t>
      </w:r>
    </w:p>
    <w:p w:rsidR="007415C4" w:rsidRDefault="007415C4" w:rsidP="007415C4">
      <w:pPr>
        <w:jc w:val="both"/>
        <w:rPr>
          <w:sz w:val="22"/>
          <w:szCs w:val="22"/>
        </w:rPr>
      </w:pPr>
    </w:p>
    <w:p w:rsidR="007415C4" w:rsidRPr="00B014EE" w:rsidRDefault="007415C4" w:rsidP="00D54A7C">
      <w:pPr>
        <w:numPr>
          <w:ilvl w:val="1"/>
          <w:numId w:val="3"/>
        </w:numPr>
        <w:tabs>
          <w:tab w:val="clear" w:pos="1080"/>
          <w:tab w:val="num" w:pos="540"/>
        </w:tabs>
        <w:ind w:left="540" w:hanging="540"/>
        <w:jc w:val="both"/>
        <w:rPr>
          <w:b/>
          <w:sz w:val="22"/>
          <w:szCs w:val="22"/>
        </w:rPr>
      </w:pPr>
      <w:r w:rsidRPr="00B014EE">
        <w:rPr>
          <w:b/>
          <w:sz w:val="22"/>
          <w:szCs w:val="22"/>
          <w:lang w:eastAsia="en-GB"/>
        </w:rPr>
        <w:t>The Commission welcomed the inclusion of a set of principles in the new Policing Act, including the principle that “policing services are provided in a man</w:t>
      </w:r>
      <w:r w:rsidR="00200A7F" w:rsidRPr="00B014EE">
        <w:rPr>
          <w:b/>
          <w:sz w:val="22"/>
          <w:szCs w:val="22"/>
          <w:lang w:eastAsia="en-GB"/>
        </w:rPr>
        <w:t>ner that respects human rights”;</w:t>
      </w:r>
      <w:r w:rsidRPr="00B014EE">
        <w:rPr>
          <w:b/>
          <w:sz w:val="22"/>
          <w:szCs w:val="22"/>
          <w:lang w:eastAsia="en-GB"/>
        </w:rPr>
        <w:t xml:space="preserve"> and the subsequent development of a Code of Conduct for all Police employees.</w:t>
      </w:r>
    </w:p>
    <w:p w:rsidR="007415C4" w:rsidRDefault="007415C4" w:rsidP="007415C4">
      <w:pPr>
        <w:pStyle w:val="Heading3"/>
      </w:pPr>
      <w:bookmarkStart w:id="10" w:name="_Toc225333136"/>
      <w:r>
        <w:t>Independent Police Conduct Authority</w:t>
      </w:r>
      <w:bookmarkEnd w:id="10"/>
    </w:p>
    <w:bookmarkEnd w:id="7"/>
    <w:p w:rsidR="007415C4" w:rsidRDefault="00783BA1" w:rsidP="00D54A7C">
      <w:pPr>
        <w:numPr>
          <w:ilvl w:val="1"/>
          <w:numId w:val="3"/>
        </w:numPr>
        <w:tabs>
          <w:tab w:val="clear" w:pos="1080"/>
          <w:tab w:val="num" w:pos="540"/>
        </w:tabs>
        <w:ind w:left="540" w:hanging="540"/>
        <w:jc w:val="both"/>
        <w:rPr>
          <w:sz w:val="22"/>
          <w:szCs w:val="22"/>
        </w:rPr>
      </w:pPr>
      <w:r w:rsidRPr="006D6462">
        <w:rPr>
          <w:sz w:val="22"/>
          <w:szCs w:val="22"/>
          <w:lang w:val="en-GB" w:eastAsia="en-GB"/>
        </w:rPr>
        <w:t>Independent monitoring of the Police has been enhanced through the a</w:t>
      </w:r>
      <w:r w:rsidR="00DE45AB" w:rsidRPr="006D6462">
        <w:rPr>
          <w:sz w:val="22"/>
          <w:szCs w:val="22"/>
          <w:lang w:val="en-GB" w:eastAsia="en-GB"/>
        </w:rPr>
        <w:t>mendment</w:t>
      </w:r>
      <w:r w:rsidRPr="006D6462">
        <w:rPr>
          <w:sz w:val="22"/>
          <w:szCs w:val="22"/>
          <w:lang w:val="en-GB" w:eastAsia="en-GB"/>
        </w:rPr>
        <w:t xml:space="preserve"> in 2007 of</w:t>
      </w:r>
      <w:r w:rsidR="00DE45AB" w:rsidRPr="006D6462">
        <w:rPr>
          <w:sz w:val="22"/>
          <w:szCs w:val="22"/>
          <w:lang w:val="en-GB" w:eastAsia="en-GB"/>
        </w:rPr>
        <w:t xml:space="preserve"> the Independent Police Conduct Authority Act 1988</w:t>
      </w:r>
      <w:r w:rsidRPr="006D6462">
        <w:rPr>
          <w:sz w:val="22"/>
          <w:szCs w:val="22"/>
          <w:lang w:val="en-GB" w:eastAsia="en-GB"/>
        </w:rPr>
        <w:t xml:space="preserve">.  The amendments </w:t>
      </w:r>
      <w:r w:rsidR="000A2158" w:rsidRPr="006D6462">
        <w:rPr>
          <w:sz w:val="22"/>
          <w:szCs w:val="22"/>
          <w:lang w:val="en-GB" w:eastAsia="en-GB"/>
        </w:rPr>
        <w:t>included</w:t>
      </w:r>
      <w:r w:rsidRPr="006D6462">
        <w:rPr>
          <w:sz w:val="22"/>
          <w:szCs w:val="22"/>
          <w:lang w:val="en-NZ"/>
        </w:rPr>
        <w:t xml:space="preserve"> </w:t>
      </w:r>
      <w:r w:rsidR="00E46A4B" w:rsidRPr="006D6462">
        <w:rPr>
          <w:sz w:val="22"/>
          <w:szCs w:val="22"/>
          <w:lang w:val="en-NZ"/>
        </w:rPr>
        <w:t xml:space="preserve">expanding the </w:t>
      </w:r>
      <w:r w:rsidR="00C81E8B" w:rsidRPr="006D6462">
        <w:rPr>
          <w:sz w:val="22"/>
          <w:szCs w:val="22"/>
          <w:lang w:val="en-NZ"/>
        </w:rPr>
        <w:t>IPCA</w:t>
      </w:r>
      <w:r w:rsidR="00E46A4B" w:rsidRPr="006D6462">
        <w:rPr>
          <w:sz w:val="22"/>
          <w:szCs w:val="22"/>
          <w:lang w:val="en-NZ"/>
        </w:rPr>
        <w:t>’s membership</w:t>
      </w:r>
      <w:r w:rsidR="00C81E8B" w:rsidRPr="006D6462">
        <w:rPr>
          <w:sz w:val="22"/>
          <w:szCs w:val="22"/>
          <w:lang w:val="en-NZ"/>
        </w:rPr>
        <w:t xml:space="preserve"> from a single person </w:t>
      </w:r>
      <w:r w:rsidR="00E46A4B" w:rsidRPr="006D6462">
        <w:rPr>
          <w:sz w:val="22"/>
          <w:szCs w:val="22"/>
          <w:lang w:val="en-NZ"/>
        </w:rPr>
        <w:t>to a Board</w:t>
      </w:r>
      <w:r w:rsidR="00E46A4B">
        <w:rPr>
          <w:sz w:val="22"/>
          <w:szCs w:val="22"/>
          <w:lang w:val="en-NZ"/>
        </w:rPr>
        <w:t xml:space="preserve"> of up to five people;</w:t>
      </w:r>
      <w:r w:rsidR="00126E8B">
        <w:rPr>
          <w:sz w:val="22"/>
          <w:szCs w:val="22"/>
          <w:lang w:val="en-NZ"/>
        </w:rPr>
        <w:t xml:space="preserve"> </w:t>
      </w:r>
      <w:r w:rsidR="00C81E8B" w:rsidRPr="00BC53AA">
        <w:rPr>
          <w:sz w:val="22"/>
          <w:szCs w:val="22"/>
          <w:lang w:val="en-NZ"/>
        </w:rPr>
        <w:t xml:space="preserve">and providing the IPCA with </w:t>
      </w:r>
      <w:r w:rsidR="00126E8B">
        <w:rPr>
          <w:sz w:val="22"/>
          <w:szCs w:val="22"/>
          <w:lang w:val="en-NZ"/>
        </w:rPr>
        <w:t>the same powers as Commissions of Inquiry, including powers t</w:t>
      </w:r>
      <w:r w:rsidR="00C81E8B" w:rsidRPr="00BC53AA">
        <w:rPr>
          <w:sz w:val="22"/>
          <w:szCs w:val="22"/>
          <w:lang w:val="en-NZ"/>
        </w:rPr>
        <w:t>o receive evidence, examine documents, and summon witnesses.</w:t>
      </w:r>
    </w:p>
    <w:p w:rsidR="007415C4" w:rsidRDefault="007415C4" w:rsidP="007415C4">
      <w:pPr>
        <w:jc w:val="both"/>
        <w:rPr>
          <w:sz w:val="22"/>
          <w:szCs w:val="22"/>
        </w:rPr>
      </w:pPr>
    </w:p>
    <w:p w:rsidR="00783BA1" w:rsidRPr="00B014EE" w:rsidRDefault="000A2158" w:rsidP="00D54A7C">
      <w:pPr>
        <w:numPr>
          <w:ilvl w:val="1"/>
          <w:numId w:val="3"/>
        </w:numPr>
        <w:tabs>
          <w:tab w:val="clear" w:pos="1080"/>
          <w:tab w:val="num" w:pos="540"/>
        </w:tabs>
        <w:ind w:left="540" w:hanging="540"/>
        <w:jc w:val="both"/>
        <w:rPr>
          <w:b/>
          <w:sz w:val="22"/>
          <w:szCs w:val="22"/>
        </w:rPr>
      </w:pPr>
      <w:r w:rsidRPr="006D6462">
        <w:rPr>
          <w:b/>
          <w:sz w:val="22"/>
          <w:szCs w:val="22"/>
          <w:lang w:val="en-GB" w:eastAsia="en-GB"/>
        </w:rPr>
        <w:t>These changes</w:t>
      </w:r>
      <w:r w:rsidR="00622B81" w:rsidRPr="006D6462">
        <w:rPr>
          <w:b/>
          <w:sz w:val="22"/>
          <w:szCs w:val="22"/>
          <w:lang w:val="en-GB" w:eastAsia="en-GB"/>
        </w:rPr>
        <w:t xml:space="preserve">, along with the IPCA’s designation as </w:t>
      </w:r>
      <w:r w:rsidR="00BC53AA" w:rsidRPr="006D6462">
        <w:rPr>
          <w:b/>
          <w:sz w:val="22"/>
          <w:szCs w:val="22"/>
          <w:lang w:val="en-GB" w:eastAsia="en-GB"/>
        </w:rPr>
        <w:t>a National Preventive Mechanism</w:t>
      </w:r>
      <w:r w:rsidR="00622B81" w:rsidRPr="006D6462">
        <w:rPr>
          <w:b/>
          <w:sz w:val="22"/>
          <w:szCs w:val="22"/>
          <w:lang w:val="en-GB" w:eastAsia="en-GB"/>
        </w:rPr>
        <w:t xml:space="preserve">, </w:t>
      </w:r>
      <w:r w:rsidRPr="006D6462">
        <w:rPr>
          <w:b/>
          <w:sz w:val="22"/>
          <w:szCs w:val="22"/>
          <w:lang w:val="en-GB" w:eastAsia="en-GB"/>
        </w:rPr>
        <w:t>have</w:t>
      </w:r>
      <w:r w:rsidRPr="006D6462">
        <w:rPr>
          <w:b/>
          <w:sz w:val="22"/>
          <w:szCs w:val="22"/>
          <w:lang w:val="en-NZ"/>
        </w:rPr>
        <w:t xml:space="preserve"> expanded and strengthened the powers and capacity of the IPCA to conduct its own </w:t>
      </w:r>
      <w:r w:rsidRPr="006D6462">
        <w:rPr>
          <w:rFonts w:cs="Arial"/>
          <w:b/>
          <w:sz w:val="22"/>
          <w:szCs w:val="22"/>
          <w:lang w:val="en-NZ"/>
        </w:rPr>
        <w:t>independent investigations and monitoring of Police.</w:t>
      </w:r>
      <w:r w:rsidRPr="00BC53AA">
        <w:rPr>
          <w:rFonts w:cs="Arial"/>
          <w:sz w:val="22"/>
          <w:szCs w:val="22"/>
          <w:lang w:val="en-NZ"/>
        </w:rPr>
        <w:t xml:space="preserve">  </w:t>
      </w:r>
      <w:r w:rsidR="00126E8B" w:rsidRPr="00B014EE">
        <w:rPr>
          <w:rFonts w:cs="Arial"/>
          <w:b/>
          <w:sz w:val="22"/>
          <w:szCs w:val="22"/>
          <w:lang w:val="en-NZ"/>
        </w:rPr>
        <w:t xml:space="preserve">The Commission notes the importance of ensuring </w:t>
      </w:r>
      <w:r w:rsidR="00783BA1" w:rsidRPr="00B014EE">
        <w:rPr>
          <w:b/>
          <w:sz w:val="22"/>
          <w:szCs w:val="22"/>
          <w:lang w:val="en-NZ"/>
        </w:rPr>
        <w:lastRenderedPageBreak/>
        <w:t xml:space="preserve">that adequate funding and resources are also provided to the IPCA to enable it to meet its extended role and functions. </w:t>
      </w:r>
    </w:p>
    <w:p w:rsidR="00CE2E47" w:rsidRPr="00B03E65" w:rsidRDefault="00CE2E47" w:rsidP="00CE2E47">
      <w:pPr>
        <w:pStyle w:val="Heading3"/>
      </w:pPr>
      <w:bookmarkStart w:id="11" w:name="_Toc225333137"/>
      <w:r w:rsidRPr="00B03E65">
        <w:t>Tasers</w:t>
      </w:r>
      <w:bookmarkEnd w:id="11"/>
    </w:p>
    <w:p w:rsidR="00CE2E47" w:rsidRDefault="006F73F7" w:rsidP="00D54A7C">
      <w:pPr>
        <w:numPr>
          <w:ilvl w:val="1"/>
          <w:numId w:val="3"/>
        </w:numPr>
        <w:tabs>
          <w:tab w:val="clear" w:pos="1080"/>
          <w:tab w:val="num" w:pos="540"/>
        </w:tabs>
        <w:ind w:left="540" w:hanging="540"/>
        <w:jc w:val="both"/>
        <w:rPr>
          <w:sz w:val="22"/>
          <w:szCs w:val="22"/>
        </w:rPr>
      </w:pPr>
      <w:r w:rsidRPr="00B60755">
        <w:rPr>
          <w:sz w:val="22"/>
          <w:szCs w:val="22"/>
          <w:lang w:val="en-GB" w:eastAsia="en-GB"/>
        </w:rPr>
        <w:t>In August 2008 t</w:t>
      </w:r>
      <w:r w:rsidR="00FD27AB" w:rsidRPr="00B60755">
        <w:rPr>
          <w:sz w:val="22"/>
          <w:szCs w:val="22"/>
          <w:lang w:val="en-GB" w:eastAsia="en-GB"/>
        </w:rPr>
        <w:t xml:space="preserve">he Police Commissioner announced the nationwide introduction of </w:t>
      </w:r>
      <w:r w:rsidR="00C7237F" w:rsidRPr="00B60755">
        <w:rPr>
          <w:sz w:val="22"/>
          <w:szCs w:val="22"/>
          <w:lang w:val="en-GB" w:eastAsia="en-GB"/>
        </w:rPr>
        <w:t xml:space="preserve">the </w:t>
      </w:r>
      <w:r w:rsidR="00FD27AB" w:rsidRPr="00B60755">
        <w:rPr>
          <w:sz w:val="22"/>
          <w:szCs w:val="22"/>
          <w:lang w:val="en-GB" w:eastAsia="en-GB"/>
        </w:rPr>
        <w:t>Taser</w:t>
      </w:r>
      <w:r w:rsidR="00C7237F" w:rsidRPr="00B60755">
        <w:rPr>
          <w:sz w:val="22"/>
          <w:szCs w:val="22"/>
          <w:lang w:val="en-GB" w:eastAsia="en-GB"/>
        </w:rPr>
        <w:t xml:space="preserve"> X26</w:t>
      </w:r>
      <w:r w:rsidR="00FD27AB" w:rsidRPr="00B60755">
        <w:rPr>
          <w:sz w:val="22"/>
          <w:szCs w:val="22"/>
          <w:lang w:val="en-GB" w:eastAsia="en-GB"/>
        </w:rPr>
        <w:t xml:space="preserve">, following a </w:t>
      </w:r>
      <w:r w:rsidRPr="00B60755">
        <w:rPr>
          <w:sz w:val="22"/>
          <w:szCs w:val="22"/>
          <w:lang w:val="en-GB" w:eastAsia="en-GB"/>
        </w:rPr>
        <w:t xml:space="preserve">12 month </w:t>
      </w:r>
      <w:r w:rsidR="00FD27AB" w:rsidRPr="00B60755">
        <w:rPr>
          <w:sz w:val="22"/>
          <w:szCs w:val="22"/>
          <w:lang w:val="en-GB" w:eastAsia="en-GB"/>
        </w:rPr>
        <w:t xml:space="preserve">trial in </w:t>
      </w:r>
      <w:r w:rsidRPr="00B60755">
        <w:rPr>
          <w:sz w:val="22"/>
          <w:szCs w:val="22"/>
          <w:lang w:val="en-GB" w:eastAsia="en-GB"/>
        </w:rPr>
        <w:t>four</w:t>
      </w:r>
      <w:r w:rsidR="00FD27AB" w:rsidRPr="00B60755">
        <w:rPr>
          <w:sz w:val="22"/>
          <w:szCs w:val="22"/>
          <w:lang w:val="en-GB" w:eastAsia="en-GB"/>
        </w:rPr>
        <w:t xml:space="preserve"> police districts in 2006-07.  </w:t>
      </w:r>
      <w:r w:rsidR="00CE2E47">
        <w:rPr>
          <w:sz w:val="22"/>
          <w:szCs w:val="22"/>
        </w:rPr>
        <w:t xml:space="preserve"> </w:t>
      </w:r>
    </w:p>
    <w:p w:rsidR="00CE2E47" w:rsidRDefault="00CE2E47" w:rsidP="00CE2E47">
      <w:pPr>
        <w:jc w:val="both"/>
        <w:rPr>
          <w:sz w:val="22"/>
          <w:szCs w:val="22"/>
        </w:rPr>
      </w:pPr>
    </w:p>
    <w:p w:rsidR="00CE2E47" w:rsidRDefault="006F73F7" w:rsidP="00D54A7C">
      <w:pPr>
        <w:numPr>
          <w:ilvl w:val="1"/>
          <w:numId w:val="3"/>
        </w:numPr>
        <w:tabs>
          <w:tab w:val="clear" w:pos="1080"/>
          <w:tab w:val="num" w:pos="540"/>
        </w:tabs>
        <w:ind w:left="540" w:hanging="540"/>
        <w:jc w:val="both"/>
        <w:rPr>
          <w:sz w:val="22"/>
          <w:szCs w:val="22"/>
        </w:rPr>
      </w:pPr>
      <w:r w:rsidRPr="00B60755">
        <w:rPr>
          <w:sz w:val="22"/>
          <w:szCs w:val="22"/>
          <w:lang w:val="en-GB" w:eastAsia="en-GB"/>
        </w:rPr>
        <w:t>A</w:t>
      </w:r>
      <w:r w:rsidR="00833ADB" w:rsidRPr="00B60755">
        <w:rPr>
          <w:sz w:val="22"/>
          <w:szCs w:val="22"/>
          <w:lang w:val="en-GB" w:eastAsia="en-GB"/>
        </w:rPr>
        <w:t xml:space="preserve">n </w:t>
      </w:r>
      <w:r w:rsidRPr="00B60755">
        <w:rPr>
          <w:sz w:val="22"/>
          <w:szCs w:val="22"/>
          <w:lang w:val="en-GB" w:eastAsia="en-GB"/>
        </w:rPr>
        <w:t xml:space="preserve">evaluation report </w:t>
      </w:r>
      <w:r w:rsidR="00833ADB" w:rsidRPr="00B60755">
        <w:rPr>
          <w:sz w:val="22"/>
          <w:szCs w:val="22"/>
          <w:lang w:val="en-GB" w:eastAsia="en-GB"/>
        </w:rPr>
        <w:t>prepared by the Police</w:t>
      </w:r>
      <w:r w:rsidR="00E74F4A" w:rsidRPr="00B60755">
        <w:rPr>
          <w:sz w:val="22"/>
          <w:szCs w:val="22"/>
          <w:lang w:val="en-GB" w:eastAsia="en-GB"/>
        </w:rPr>
        <w:t xml:space="preserve"> </w:t>
      </w:r>
      <w:r w:rsidR="00D61CA8" w:rsidRPr="00B60755">
        <w:rPr>
          <w:sz w:val="22"/>
          <w:szCs w:val="22"/>
          <w:lang w:val="en-GB" w:eastAsia="en-GB"/>
        </w:rPr>
        <w:t>analysed taser use during the trial and reviewed</w:t>
      </w:r>
      <w:r w:rsidR="00E74F4A" w:rsidRPr="00B60755">
        <w:rPr>
          <w:sz w:val="22"/>
          <w:szCs w:val="22"/>
          <w:lang w:val="en-GB" w:eastAsia="en-GB"/>
        </w:rPr>
        <w:t xml:space="preserve"> </w:t>
      </w:r>
      <w:r w:rsidR="00D61CA8" w:rsidRPr="00B60755">
        <w:rPr>
          <w:sz w:val="22"/>
          <w:szCs w:val="22"/>
          <w:lang w:val="en-GB" w:eastAsia="en-GB"/>
        </w:rPr>
        <w:t xml:space="preserve">international literature, </w:t>
      </w:r>
      <w:r w:rsidR="00E74F4A" w:rsidRPr="00B60755">
        <w:rPr>
          <w:sz w:val="22"/>
          <w:szCs w:val="22"/>
          <w:lang w:val="en-GB" w:eastAsia="en-GB"/>
        </w:rPr>
        <w:t xml:space="preserve">health and safety issues, </w:t>
      </w:r>
      <w:r w:rsidR="005236CA" w:rsidRPr="00B60755">
        <w:rPr>
          <w:sz w:val="22"/>
          <w:szCs w:val="22"/>
          <w:lang w:val="en-GB" w:eastAsia="en-GB"/>
        </w:rPr>
        <w:t xml:space="preserve">the Standard Operating Procedures </w:t>
      </w:r>
      <w:r w:rsidR="00483A1A" w:rsidRPr="00B60755">
        <w:rPr>
          <w:sz w:val="22"/>
          <w:szCs w:val="22"/>
          <w:lang w:val="en-GB" w:eastAsia="en-GB"/>
        </w:rPr>
        <w:t xml:space="preserve">(SOPs) </w:t>
      </w:r>
      <w:r w:rsidR="005236CA" w:rsidRPr="00B60755">
        <w:rPr>
          <w:sz w:val="22"/>
          <w:szCs w:val="22"/>
          <w:lang w:val="en-GB" w:eastAsia="en-GB"/>
        </w:rPr>
        <w:t xml:space="preserve">used, </w:t>
      </w:r>
      <w:r w:rsidR="00997595" w:rsidRPr="00B60755">
        <w:rPr>
          <w:sz w:val="22"/>
          <w:szCs w:val="22"/>
          <w:lang w:val="en-GB" w:eastAsia="en-GB"/>
        </w:rPr>
        <w:t xml:space="preserve">and </w:t>
      </w:r>
      <w:r w:rsidR="005236CA" w:rsidRPr="00B60755">
        <w:rPr>
          <w:sz w:val="22"/>
          <w:szCs w:val="22"/>
          <w:lang w:val="en-GB" w:eastAsia="en-GB"/>
        </w:rPr>
        <w:t xml:space="preserve">perceived benefits and </w:t>
      </w:r>
      <w:r w:rsidR="00997595" w:rsidRPr="00B60755">
        <w:rPr>
          <w:sz w:val="22"/>
          <w:szCs w:val="22"/>
          <w:lang w:val="en-GB" w:eastAsia="en-GB"/>
        </w:rPr>
        <w:t>disadvantages of tasers.  The report</w:t>
      </w:r>
      <w:r w:rsidR="00E74F4A" w:rsidRPr="00B60755">
        <w:rPr>
          <w:sz w:val="22"/>
          <w:szCs w:val="22"/>
          <w:lang w:val="en-GB" w:eastAsia="en-GB"/>
        </w:rPr>
        <w:t xml:space="preserve"> </w:t>
      </w:r>
      <w:r w:rsidR="00833ADB" w:rsidRPr="00B60755">
        <w:rPr>
          <w:sz w:val="22"/>
          <w:szCs w:val="22"/>
          <w:lang w:val="en-GB" w:eastAsia="en-GB"/>
        </w:rPr>
        <w:t>concluded that on balance, the taser trial had proved successful</w:t>
      </w:r>
      <w:r w:rsidR="00E74F4A" w:rsidRPr="00B60755">
        <w:rPr>
          <w:sz w:val="22"/>
          <w:szCs w:val="22"/>
          <w:lang w:val="en-GB" w:eastAsia="en-GB"/>
        </w:rPr>
        <w:t>.</w:t>
      </w:r>
      <w:r w:rsidR="00FE72D2">
        <w:rPr>
          <w:rStyle w:val="FootnoteReference"/>
          <w:sz w:val="22"/>
          <w:szCs w:val="22"/>
          <w:lang w:val="en-GB" w:eastAsia="en-GB"/>
        </w:rPr>
        <w:footnoteReference w:id="3"/>
      </w:r>
    </w:p>
    <w:p w:rsidR="00CE2E47" w:rsidRDefault="00CE2E47" w:rsidP="00CE2E47">
      <w:pPr>
        <w:jc w:val="both"/>
        <w:rPr>
          <w:sz w:val="22"/>
          <w:szCs w:val="22"/>
          <w:lang w:val="en-GB" w:eastAsia="en-GB"/>
        </w:rPr>
      </w:pPr>
    </w:p>
    <w:p w:rsidR="00CE2E47" w:rsidRDefault="00997595" w:rsidP="00D54A7C">
      <w:pPr>
        <w:numPr>
          <w:ilvl w:val="1"/>
          <w:numId w:val="3"/>
        </w:numPr>
        <w:tabs>
          <w:tab w:val="clear" w:pos="1080"/>
          <w:tab w:val="num" w:pos="540"/>
        </w:tabs>
        <w:ind w:left="540" w:hanging="540"/>
        <w:jc w:val="both"/>
        <w:rPr>
          <w:sz w:val="22"/>
          <w:szCs w:val="22"/>
        </w:rPr>
      </w:pPr>
      <w:r w:rsidRPr="00B60755">
        <w:rPr>
          <w:sz w:val="22"/>
          <w:szCs w:val="22"/>
          <w:lang w:val="en-GB" w:eastAsia="en-GB"/>
        </w:rPr>
        <w:t>While the report noted support for th</w:t>
      </w:r>
      <w:r w:rsidR="00C7237F" w:rsidRPr="00B60755">
        <w:rPr>
          <w:sz w:val="22"/>
          <w:szCs w:val="22"/>
          <w:lang w:val="en-GB" w:eastAsia="en-GB"/>
        </w:rPr>
        <w:t>e introduction of tasers among P</w:t>
      </w:r>
      <w:r w:rsidRPr="00B60755">
        <w:rPr>
          <w:sz w:val="22"/>
          <w:szCs w:val="22"/>
          <w:lang w:val="en-GB" w:eastAsia="en-GB"/>
        </w:rPr>
        <w:t xml:space="preserve">olice and the public, </w:t>
      </w:r>
      <w:r w:rsidR="00C7237F" w:rsidRPr="00B60755">
        <w:rPr>
          <w:sz w:val="22"/>
          <w:szCs w:val="22"/>
          <w:lang w:val="en-GB" w:eastAsia="en-GB"/>
        </w:rPr>
        <w:t>some</w:t>
      </w:r>
      <w:r w:rsidR="0076525E" w:rsidRPr="00B60755">
        <w:rPr>
          <w:sz w:val="22"/>
          <w:szCs w:val="22"/>
          <w:lang w:val="en-GB" w:eastAsia="en-GB"/>
        </w:rPr>
        <w:t xml:space="preserve"> significant concerns have been raised</w:t>
      </w:r>
      <w:r w:rsidR="00C7237F" w:rsidRPr="00B60755">
        <w:rPr>
          <w:sz w:val="22"/>
          <w:szCs w:val="22"/>
          <w:lang w:val="en-GB" w:eastAsia="en-GB"/>
        </w:rPr>
        <w:t xml:space="preserve"> by those opposed to </w:t>
      </w:r>
      <w:r w:rsidR="002C460A" w:rsidRPr="00B60755">
        <w:rPr>
          <w:sz w:val="22"/>
          <w:szCs w:val="22"/>
          <w:lang w:val="en-GB" w:eastAsia="en-GB"/>
        </w:rPr>
        <w:t>taser use</w:t>
      </w:r>
      <w:r w:rsidR="00D61CA8" w:rsidRPr="00B60755">
        <w:rPr>
          <w:sz w:val="22"/>
          <w:szCs w:val="22"/>
          <w:lang w:val="en-GB" w:eastAsia="en-GB"/>
        </w:rPr>
        <w:t>.</w:t>
      </w:r>
      <w:r w:rsidR="0076525E" w:rsidRPr="00B60755">
        <w:rPr>
          <w:sz w:val="22"/>
          <w:szCs w:val="22"/>
          <w:lang w:val="en-GB" w:eastAsia="en-GB"/>
        </w:rPr>
        <w:t xml:space="preserve">  </w:t>
      </w:r>
      <w:r w:rsidR="00D61CA8" w:rsidRPr="00B60755">
        <w:rPr>
          <w:sz w:val="22"/>
          <w:szCs w:val="22"/>
          <w:lang w:val="en-GB" w:eastAsia="en-GB"/>
        </w:rPr>
        <w:t>These include concerns about</w:t>
      </w:r>
      <w:r w:rsidR="005236CA" w:rsidRPr="00B60755">
        <w:rPr>
          <w:sz w:val="22"/>
          <w:szCs w:val="22"/>
          <w:lang w:val="en-GB" w:eastAsia="en-GB"/>
        </w:rPr>
        <w:t xml:space="preserve"> the </w:t>
      </w:r>
      <w:r w:rsidR="00567C9E" w:rsidRPr="00B60755">
        <w:rPr>
          <w:sz w:val="22"/>
          <w:szCs w:val="22"/>
          <w:lang w:val="en-GB" w:eastAsia="en-GB"/>
        </w:rPr>
        <w:t>risks of</w:t>
      </w:r>
      <w:r w:rsidR="005236CA" w:rsidRPr="00B60755">
        <w:rPr>
          <w:sz w:val="22"/>
          <w:szCs w:val="22"/>
          <w:lang w:val="en-GB" w:eastAsia="en-GB"/>
        </w:rPr>
        <w:t xml:space="preserve"> injuries or </w:t>
      </w:r>
      <w:r w:rsidR="00567C9E" w:rsidRPr="00B60755">
        <w:rPr>
          <w:sz w:val="22"/>
          <w:szCs w:val="22"/>
          <w:lang w:val="en-GB" w:eastAsia="en-GB"/>
        </w:rPr>
        <w:t>death resulting from taser use;</w:t>
      </w:r>
      <w:r w:rsidR="005236CA" w:rsidRPr="00B60755">
        <w:rPr>
          <w:sz w:val="22"/>
          <w:szCs w:val="22"/>
          <w:lang w:val="en-GB" w:eastAsia="en-GB"/>
        </w:rPr>
        <w:t xml:space="preserve"> the potential for excessive or inappropriate use</w:t>
      </w:r>
      <w:r w:rsidR="00567C9E" w:rsidRPr="00B60755">
        <w:rPr>
          <w:sz w:val="22"/>
          <w:szCs w:val="22"/>
          <w:lang w:val="en-GB" w:eastAsia="en-GB"/>
        </w:rPr>
        <w:t>;</w:t>
      </w:r>
      <w:r w:rsidR="005236CA" w:rsidRPr="00B60755">
        <w:rPr>
          <w:sz w:val="22"/>
          <w:szCs w:val="22"/>
          <w:lang w:val="en-GB" w:eastAsia="en-GB"/>
        </w:rPr>
        <w:t xml:space="preserve"> and the </w:t>
      </w:r>
      <w:r w:rsidRPr="00B60755">
        <w:rPr>
          <w:sz w:val="22"/>
          <w:szCs w:val="22"/>
          <w:lang w:val="en-GB" w:eastAsia="en-GB"/>
        </w:rPr>
        <w:t xml:space="preserve">possibility that certain groups, such as those with mental health issues, Māori or Pacific peoples, may be disproportionately </w:t>
      </w:r>
      <w:r w:rsidR="0038531C" w:rsidRPr="00B60755">
        <w:rPr>
          <w:sz w:val="22"/>
          <w:szCs w:val="22"/>
          <w:lang w:val="en-GB" w:eastAsia="en-GB"/>
        </w:rPr>
        <w:t>affec</w:t>
      </w:r>
      <w:r w:rsidRPr="00B60755">
        <w:rPr>
          <w:sz w:val="22"/>
          <w:szCs w:val="22"/>
          <w:lang w:val="en-GB" w:eastAsia="en-GB"/>
        </w:rPr>
        <w:t>ted.</w:t>
      </w:r>
      <w:r w:rsidR="00FE72D2">
        <w:rPr>
          <w:rStyle w:val="FootnoteReference"/>
          <w:sz w:val="22"/>
          <w:szCs w:val="22"/>
          <w:lang w:val="en-GB" w:eastAsia="en-GB"/>
        </w:rPr>
        <w:footnoteReference w:id="4"/>
      </w:r>
      <w:r w:rsidR="00D914E7" w:rsidRPr="00B60755">
        <w:rPr>
          <w:sz w:val="22"/>
          <w:szCs w:val="22"/>
          <w:lang w:val="en-GB" w:eastAsia="en-GB"/>
        </w:rPr>
        <w:t xml:space="preserve">  </w:t>
      </w:r>
    </w:p>
    <w:p w:rsidR="00CE2E47" w:rsidRDefault="00CE2E47" w:rsidP="00CE2E47">
      <w:pPr>
        <w:jc w:val="both"/>
        <w:rPr>
          <w:sz w:val="22"/>
          <w:szCs w:val="22"/>
          <w:lang w:val="en-GB" w:eastAsia="en-GB"/>
        </w:rPr>
      </w:pPr>
    </w:p>
    <w:p w:rsidR="00CE2E47" w:rsidRDefault="00D914E7" w:rsidP="00D54A7C">
      <w:pPr>
        <w:numPr>
          <w:ilvl w:val="1"/>
          <w:numId w:val="3"/>
        </w:numPr>
        <w:tabs>
          <w:tab w:val="clear" w:pos="1080"/>
          <w:tab w:val="num" w:pos="540"/>
        </w:tabs>
        <w:ind w:left="540" w:hanging="540"/>
        <w:jc w:val="both"/>
        <w:rPr>
          <w:sz w:val="22"/>
          <w:szCs w:val="22"/>
        </w:rPr>
      </w:pPr>
      <w:r w:rsidRPr="00B60755">
        <w:rPr>
          <w:sz w:val="22"/>
          <w:szCs w:val="22"/>
          <w:lang w:val="en-GB" w:eastAsia="en-GB"/>
        </w:rPr>
        <w:t>The latter</w:t>
      </w:r>
      <w:r w:rsidR="00390E78" w:rsidRPr="00B60755">
        <w:rPr>
          <w:sz w:val="22"/>
          <w:szCs w:val="22"/>
          <w:lang w:val="en-GB" w:eastAsia="en-GB"/>
        </w:rPr>
        <w:t xml:space="preserve"> concerns appear to be borne out</w:t>
      </w:r>
      <w:r w:rsidRPr="00B60755">
        <w:rPr>
          <w:sz w:val="22"/>
          <w:szCs w:val="22"/>
          <w:lang w:val="en-GB" w:eastAsia="en-GB"/>
        </w:rPr>
        <w:t xml:space="preserve"> to some extent in the trial data</w:t>
      </w:r>
      <w:r w:rsidR="00390E78" w:rsidRPr="00B60755">
        <w:rPr>
          <w:sz w:val="22"/>
          <w:szCs w:val="22"/>
          <w:lang w:val="en-GB" w:eastAsia="en-GB"/>
        </w:rPr>
        <w:t xml:space="preserve">.  </w:t>
      </w:r>
      <w:r w:rsidR="00D61CA8" w:rsidRPr="00B60755">
        <w:rPr>
          <w:sz w:val="22"/>
          <w:szCs w:val="22"/>
          <w:lang w:val="en-GB" w:eastAsia="en-GB"/>
        </w:rPr>
        <w:t xml:space="preserve">The </w:t>
      </w:r>
      <w:r w:rsidR="00567C9E" w:rsidRPr="00B60755">
        <w:rPr>
          <w:sz w:val="22"/>
          <w:szCs w:val="22"/>
          <w:lang w:val="en-GB" w:eastAsia="en-GB"/>
        </w:rPr>
        <w:t>trial evaluation reports that 21% of taser incidents involved people who appeared to be experiencing mental health issues, and 58% of incidents involved Māori or Pacific Island subjects.</w:t>
      </w:r>
      <w:r w:rsidR="002C460A" w:rsidRPr="00B60755">
        <w:rPr>
          <w:rStyle w:val="FootnoteReference"/>
          <w:sz w:val="22"/>
          <w:szCs w:val="22"/>
          <w:lang w:val="en-GB" w:eastAsia="en-GB"/>
        </w:rPr>
        <w:footnoteReference w:id="5"/>
      </w:r>
      <w:r w:rsidR="00567C9E" w:rsidRPr="00B60755">
        <w:rPr>
          <w:sz w:val="22"/>
          <w:szCs w:val="22"/>
          <w:lang w:val="en-GB" w:eastAsia="en-GB"/>
        </w:rPr>
        <w:t xml:space="preserve">  </w:t>
      </w:r>
    </w:p>
    <w:p w:rsidR="00CE2E47" w:rsidRDefault="00CE2E47" w:rsidP="00CE2E47">
      <w:pPr>
        <w:jc w:val="both"/>
        <w:rPr>
          <w:sz w:val="22"/>
          <w:szCs w:val="22"/>
          <w:lang w:val="en-GB" w:eastAsia="en-GB"/>
        </w:rPr>
      </w:pPr>
    </w:p>
    <w:p w:rsidR="00CE2E47" w:rsidRDefault="00BB10F6" w:rsidP="00D54A7C">
      <w:pPr>
        <w:numPr>
          <w:ilvl w:val="1"/>
          <w:numId w:val="3"/>
        </w:numPr>
        <w:tabs>
          <w:tab w:val="clear" w:pos="1080"/>
          <w:tab w:val="num" w:pos="540"/>
        </w:tabs>
        <w:ind w:left="540" w:hanging="540"/>
        <w:jc w:val="both"/>
        <w:rPr>
          <w:sz w:val="22"/>
          <w:szCs w:val="22"/>
        </w:rPr>
      </w:pPr>
      <w:r>
        <w:rPr>
          <w:sz w:val="22"/>
          <w:szCs w:val="22"/>
          <w:lang w:val="en-GB" w:eastAsia="en-GB"/>
        </w:rPr>
        <w:t>It is also noted that, w</w:t>
      </w:r>
      <w:r w:rsidR="00390E78" w:rsidRPr="00B60755">
        <w:rPr>
          <w:sz w:val="22"/>
          <w:szCs w:val="22"/>
          <w:lang w:val="en-GB" w:eastAsia="en-GB"/>
        </w:rPr>
        <w:t>hile the SOPs require officers to consider the age of a subject when determining whether taser use is warranted, there are otherwise no specific requirements in relation to use of the taser on children or young people.  During the taser trial, five people in the 14-16 year old age group were involved in taser incidents (although the tasers were not discharged in those incidents).</w:t>
      </w:r>
      <w:r w:rsidR="002C460A" w:rsidRPr="00B60755">
        <w:rPr>
          <w:rStyle w:val="FootnoteReference"/>
          <w:sz w:val="22"/>
          <w:szCs w:val="22"/>
          <w:lang w:val="en-GB" w:eastAsia="en-GB"/>
        </w:rPr>
        <w:footnoteReference w:id="6"/>
      </w:r>
      <w:r w:rsidR="00390E78" w:rsidRPr="00B60755">
        <w:rPr>
          <w:sz w:val="22"/>
          <w:szCs w:val="22"/>
          <w:lang w:val="en-GB" w:eastAsia="en-GB"/>
        </w:rPr>
        <w:t xml:space="preserve"> </w:t>
      </w:r>
    </w:p>
    <w:p w:rsidR="00CE2E47" w:rsidRDefault="00CE2E47" w:rsidP="00CE2E47">
      <w:pPr>
        <w:jc w:val="both"/>
        <w:rPr>
          <w:sz w:val="22"/>
          <w:szCs w:val="22"/>
          <w:lang w:val="en-GB" w:eastAsia="en-GB"/>
        </w:rPr>
      </w:pPr>
    </w:p>
    <w:p w:rsidR="00CE2E47" w:rsidRDefault="00B60755" w:rsidP="00D54A7C">
      <w:pPr>
        <w:numPr>
          <w:ilvl w:val="1"/>
          <w:numId w:val="3"/>
        </w:numPr>
        <w:tabs>
          <w:tab w:val="clear" w:pos="1080"/>
          <w:tab w:val="num" w:pos="540"/>
        </w:tabs>
        <w:ind w:left="540" w:hanging="540"/>
        <w:jc w:val="both"/>
        <w:rPr>
          <w:sz w:val="22"/>
          <w:szCs w:val="22"/>
        </w:rPr>
      </w:pPr>
      <w:r>
        <w:rPr>
          <w:sz w:val="22"/>
          <w:szCs w:val="22"/>
          <w:lang w:val="en-GB" w:eastAsia="en-GB"/>
        </w:rPr>
        <w:t>Concerns have also been rais</w:t>
      </w:r>
      <w:r w:rsidR="00F72279" w:rsidRPr="00B60755">
        <w:rPr>
          <w:sz w:val="22"/>
          <w:szCs w:val="22"/>
          <w:lang w:val="en-GB" w:eastAsia="en-GB"/>
        </w:rPr>
        <w:t xml:space="preserve">ed regarding Police adherence to SOPs and the potential for the taser to become a routine option, rather than a measure of last resort.  </w:t>
      </w:r>
      <w:r w:rsidR="0076525E" w:rsidRPr="00B60755">
        <w:rPr>
          <w:sz w:val="22"/>
          <w:szCs w:val="22"/>
          <w:lang w:val="en-GB" w:eastAsia="en-GB"/>
        </w:rPr>
        <w:t xml:space="preserve">While the SOPs specify that tasers may only be used in situations involving ‘assaultive’ behaviour, </w:t>
      </w:r>
      <w:r w:rsidR="00483A1A" w:rsidRPr="00B60755">
        <w:rPr>
          <w:sz w:val="22"/>
          <w:szCs w:val="22"/>
          <w:lang w:val="en-GB" w:eastAsia="en-GB"/>
        </w:rPr>
        <w:t>there appear to be examples during the trial of taser</w:t>
      </w:r>
      <w:r w:rsidR="00BB10F6">
        <w:rPr>
          <w:sz w:val="22"/>
          <w:szCs w:val="22"/>
          <w:lang w:val="en-GB" w:eastAsia="en-GB"/>
        </w:rPr>
        <w:t>s being</w:t>
      </w:r>
      <w:r w:rsidR="00483A1A" w:rsidRPr="00B60755">
        <w:rPr>
          <w:sz w:val="22"/>
          <w:szCs w:val="22"/>
          <w:lang w:val="en-GB" w:eastAsia="en-GB"/>
        </w:rPr>
        <w:t xml:space="preserve"> use</w:t>
      </w:r>
      <w:r w:rsidR="00BB10F6">
        <w:rPr>
          <w:sz w:val="22"/>
          <w:szCs w:val="22"/>
          <w:lang w:val="en-GB" w:eastAsia="en-GB"/>
        </w:rPr>
        <w:t>d</w:t>
      </w:r>
      <w:r w:rsidR="00483A1A" w:rsidRPr="00B60755">
        <w:rPr>
          <w:sz w:val="22"/>
          <w:szCs w:val="22"/>
          <w:lang w:val="en-GB" w:eastAsia="en-GB"/>
        </w:rPr>
        <w:t xml:space="preserve"> in situations falling short of the ‘assaultive’ </w:t>
      </w:r>
      <w:r w:rsidR="00D26C86" w:rsidRPr="00B60755">
        <w:rPr>
          <w:sz w:val="22"/>
          <w:szCs w:val="22"/>
          <w:lang w:val="en-GB" w:eastAsia="en-GB"/>
        </w:rPr>
        <w:t xml:space="preserve">threat </w:t>
      </w:r>
      <w:r w:rsidR="00483A1A" w:rsidRPr="00B60755">
        <w:rPr>
          <w:sz w:val="22"/>
          <w:szCs w:val="22"/>
          <w:lang w:val="en-GB" w:eastAsia="en-GB"/>
        </w:rPr>
        <w:t>level required by the SOP.</w:t>
      </w:r>
      <w:r w:rsidR="00483A1A" w:rsidRPr="00B60755">
        <w:rPr>
          <w:rStyle w:val="FootnoteReference"/>
          <w:sz w:val="22"/>
          <w:szCs w:val="22"/>
          <w:lang w:val="en-GB" w:eastAsia="en-GB"/>
        </w:rPr>
        <w:footnoteReference w:id="7"/>
      </w:r>
      <w:r w:rsidR="00D914E7" w:rsidRPr="00B60755">
        <w:rPr>
          <w:sz w:val="22"/>
          <w:szCs w:val="22"/>
          <w:lang w:val="en-GB" w:eastAsia="en-GB"/>
        </w:rPr>
        <w:t xml:space="preserve">  </w:t>
      </w:r>
      <w:r w:rsidR="009D2857" w:rsidRPr="00B60755">
        <w:rPr>
          <w:sz w:val="22"/>
          <w:szCs w:val="22"/>
          <w:lang w:val="en-GB" w:eastAsia="en-GB"/>
        </w:rPr>
        <w:t xml:space="preserve">The </w:t>
      </w:r>
      <w:r w:rsidR="002C460A" w:rsidRPr="00B60755">
        <w:rPr>
          <w:sz w:val="22"/>
          <w:szCs w:val="22"/>
          <w:lang w:val="en-GB" w:eastAsia="en-GB"/>
        </w:rPr>
        <w:t xml:space="preserve">trial </w:t>
      </w:r>
      <w:r w:rsidR="009D2857" w:rsidRPr="00B60755">
        <w:rPr>
          <w:sz w:val="22"/>
          <w:szCs w:val="22"/>
          <w:lang w:val="en-GB" w:eastAsia="en-GB"/>
        </w:rPr>
        <w:t xml:space="preserve">evaluation report </w:t>
      </w:r>
      <w:r w:rsidR="00D914E7" w:rsidRPr="00B60755">
        <w:rPr>
          <w:sz w:val="22"/>
          <w:szCs w:val="22"/>
          <w:lang w:val="en-GB" w:eastAsia="en-GB"/>
        </w:rPr>
        <w:t xml:space="preserve">also </w:t>
      </w:r>
      <w:r w:rsidR="009D2857" w:rsidRPr="00B60755">
        <w:rPr>
          <w:sz w:val="22"/>
          <w:szCs w:val="22"/>
          <w:lang w:val="en-GB" w:eastAsia="en-GB"/>
        </w:rPr>
        <w:t xml:space="preserve">notes </w:t>
      </w:r>
      <w:r w:rsidR="00483A1A" w:rsidRPr="00B60755">
        <w:rPr>
          <w:sz w:val="22"/>
          <w:szCs w:val="22"/>
          <w:lang w:val="en-GB" w:eastAsia="en-GB"/>
        </w:rPr>
        <w:t xml:space="preserve">comments by </w:t>
      </w:r>
      <w:r w:rsidR="00026F65" w:rsidRPr="00B60755">
        <w:rPr>
          <w:sz w:val="22"/>
          <w:szCs w:val="22"/>
          <w:lang w:val="en-GB" w:eastAsia="en-GB"/>
        </w:rPr>
        <w:t xml:space="preserve">some </w:t>
      </w:r>
      <w:r w:rsidR="00483A1A" w:rsidRPr="00B60755">
        <w:rPr>
          <w:sz w:val="22"/>
          <w:szCs w:val="22"/>
          <w:lang w:val="en-GB" w:eastAsia="en-GB"/>
        </w:rPr>
        <w:t xml:space="preserve">officers on perceived </w:t>
      </w:r>
      <w:r w:rsidR="009D2857" w:rsidRPr="00B60755">
        <w:rPr>
          <w:sz w:val="22"/>
          <w:szCs w:val="22"/>
          <w:lang w:val="en-GB" w:eastAsia="en-GB"/>
        </w:rPr>
        <w:t>operational challenges</w:t>
      </w:r>
      <w:r w:rsidR="0076525E" w:rsidRPr="00B60755">
        <w:rPr>
          <w:sz w:val="22"/>
          <w:szCs w:val="22"/>
          <w:lang w:val="en-GB" w:eastAsia="en-GB"/>
        </w:rPr>
        <w:t xml:space="preserve"> </w:t>
      </w:r>
      <w:r w:rsidR="009D2857" w:rsidRPr="00B60755">
        <w:rPr>
          <w:sz w:val="22"/>
          <w:szCs w:val="22"/>
          <w:lang w:val="en-GB" w:eastAsia="en-GB"/>
        </w:rPr>
        <w:t xml:space="preserve">in situations that border on, but do not reach the </w:t>
      </w:r>
      <w:r w:rsidR="00483A1A" w:rsidRPr="00B60755">
        <w:rPr>
          <w:sz w:val="22"/>
          <w:szCs w:val="22"/>
          <w:lang w:val="en-GB" w:eastAsia="en-GB"/>
        </w:rPr>
        <w:t xml:space="preserve">required </w:t>
      </w:r>
      <w:r w:rsidR="009D2857" w:rsidRPr="00B60755">
        <w:rPr>
          <w:sz w:val="22"/>
          <w:szCs w:val="22"/>
          <w:lang w:val="en-GB" w:eastAsia="en-GB"/>
        </w:rPr>
        <w:t>level of assaultive</w:t>
      </w:r>
      <w:r w:rsidR="00483A1A" w:rsidRPr="00B60755">
        <w:rPr>
          <w:sz w:val="22"/>
          <w:szCs w:val="22"/>
          <w:lang w:val="en-GB" w:eastAsia="en-GB"/>
        </w:rPr>
        <w:t xml:space="preserve"> behaviour</w:t>
      </w:r>
      <w:r w:rsidR="009D2857" w:rsidRPr="00B60755">
        <w:rPr>
          <w:sz w:val="22"/>
          <w:szCs w:val="22"/>
          <w:lang w:val="en-GB" w:eastAsia="en-GB"/>
        </w:rPr>
        <w:t xml:space="preserve">, and concerns </w:t>
      </w:r>
      <w:r w:rsidR="00F021C6" w:rsidRPr="00B60755">
        <w:rPr>
          <w:sz w:val="22"/>
          <w:szCs w:val="22"/>
          <w:lang w:val="en-GB" w:eastAsia="en-GB"/>
        </w:rPr>
        <w:t xml:space="preserve">about </w:t>
      </w:r>
      <w:r w:rsidR="00D914E7" w:rsidRPr="00B60755">
        <w:rPr>
          <w:sz w:val="22"/>
          <w:szCs w:val="22"/>
          <w:lang w:val="en-GB" w:eastAsia="en-GB"/>
        </w:rPr>
        <w:t xml:space="preserve">the risks of </w:t>
      </w:r>
      <w:r w:rsidR="00F021C6" w:rsidRPr="00B60755">
        <w:rPr>
          <w:sz w:val="22"/>
          <w:szCs w:val="22"/>
          <w:lang w:val="en-GB" w:eastAsia="en-GB"/>
        </w:rPr>
        <w:t>under-assessing situations</w:t>
      </w:r>
      <w:r w:rsidR="0095027F" w:rsidRPr="00B60755">
        <w:rPr>
          <w:rStyle w:val="FootnoteReference"/>
          <w:sz w:val="22"/>
          <w:szCs w:val="22"/>
          <w:lang w:val="en-GB" w:eastAsia="en-GB"/>
        </w:rPr>
        <w:footnoteReference w:id="8"/>
      </w:r>
      <w:r w:rsidR="0095027F">
        <w:rPr>
          <w:sz w:val="22"/>
          <w:szCs w:val="22"/>
          <w:lang w:val="en-GB" w:eastAsia="en-GB"/>
        </w:rPr>
        <w:t xml:space="preserve"> </w:t>
      </w:r>
      <w:r w:rsidR="007E10B2" w:rsidRPr="00B60755">
        <w:rPr>
          <w:sz w:val="22"/>
          <w:szCs w:val="22"/>
          <w:lang w:val="en-GB" w:eastAsia="en-GB"/>
        </w:rPr>
        <w:t>(</w:t>
      </w:r>
      <w:r w:rsidR="002C460A" w:rsidRPr="00B60755">
        <w:rPr>
          <w:sz w:val="22"/>
          <w:szCs w:val="22"/>
          <w:lang w:val="en-GB" w:eastAsia="en-GB"/>
        </w:rPr>
        <w:t xml:space="preserve">from which it could be </w:t>
      </w:r>
      <w:r w:rsidR="00E64440" w:rsidRPr="00B60755">
        <w:rPr>
          <w:sz w:val="22"/>
          <w:szCs w:val="22"/>
          <w:lang w:val="en-GB" w:eastAsia="en-GB"/>
        </w:rPr>
        <w:t>inferr</w:t>
      </w:r>
      <w:r w:rsidR="002C460A" w:rsidRPr="00B60755">
        <w:rPr>
          <w:sz w:val="22"/>
          <w:szCs w:val="22"/>
          <w:lang w:val="en-GB" w:eastAsia="en-GB"/>
        </w:rPr>
        <w:t xml:space="preserve">ed that </w:t>
      </w:r>
      <w:r w:rsidR="00BB10F6">
        <w:rPr>
          <w:sz w:val="22"/>
          <w:szCs w:val="22"/>
          <w:lang w:val="en-GB" w:eastAsia="en-GB"/>
        </w:rPr>
        <w:t xml:space="preserve">there is </w:t>
      </w:r>
      <w:r w:rsidR="00200A7F">
        <w:rPr>
          <w:sz w:val="22"/>
          <w:szCs w:val="22"/>
          <w:lang w:val="en-GB" w:eastAsia="en-GB"/>
        </w:rPr>
        <w:t>some likelihood of</w:t>
      </w:r>
      <w:r w:rsidR="00BB10F6">
        <w:rPr>
          <w:sz w:val="22"/>
          <w:szCs w:val="22"/>
          <w:lang w:val="en-GB" w:eastAsia="en-GB"/>
        </w:rPr>
        <w:t xml:space="preserve"> </w:t>
      </w:r>
      <w:r w:rsidR="00866259" w:rsidRPr="00B60755">
        <w:rPr>
          <w:sz w:val="22"/>
          <w:szCs w:val="22"/>
          <w:lang w:val="en-GB" w:eastAsia="en-GB"/>
        </w:rPr>
        <w:t xml:space="preserve">officers </w:t>
      </w:r>
      <w:r w:rsidR="00200A7F">
        <w:rPr>
          <w:sz w:val="22"/>
          <w:szCs w:val="22"/>
          <w:lang w:val="en-GB" w:eastAsia="en-GB"/>
        </w:rPr>
        <w:t>tending</w:t>
      </w:r>
      <w:r w:rsidR="00866259" w:rsidRPr="00B60755">
        <w:rPr>
          <w:sz w:val="22"/>
          <w:szCs w:val="22"/>
          <w:lang w:val="en-GB" w:eastAsia="en-GB"/>
        </w:rPr>
        <w:t xml:space="preserve"> </w:t>
      </w:r>
      <w:r w:rsidR="007E10B2" w:rsidRPr="00B60755">
        <w:rPr>
          <w:sz w:val="22"/>
          <w:szCs w:val="22"/>
          <w:lang w:val="en-GB" w:eastAsia="en-GB"/>
        </w:rPr>
        <w:t xml:space="preserve">to </w:t>
      </w:r>
      <w:r w:rsidR="00866259" w:rsidRPr="00B60755">
        <w:rPr>
          <w:sz w:val="22"/>
          <w:szCs w:val="22"/>
          <w:lang w:val="en-GB" w:eastAsia="en-GB"/>
        </w:rPr>
        <w:t>err in favour of using a taser if in doubt)</w:t>
      </w:r>
      <w:r w:rsidR="009D2857" w:rsidRPr="00B60755">
        <w:rPr>
          <w:sz w:val="22"/>
          <w:szCs w:val="22"/>
          <w:lang w:val="en-GB" w:eastAsia="en-GB"/>
        </w:rPr>
        <w:t>.</w:t>
      </w:r>
      <w:r w:rsidR="0076525E" w:rsidRPr="00B60755">
        <w:rPr>
          <w:sz w:val="22"/>
          <w:szCs w:val="22"/>
          <w:lang w:val="en-GB" w:eastAsia="en-GB"/>
        </w:rPr>
        <w:t xml:space="preserve"> </w:t>
      </w:r>
    </w:p>
    <w:p w:rsidR="00CE2E47" w:rsidRPr="0095027F" w:rsidRDefault="00CE2E47" w:rsidP="00CE2E47">
      <w:pPr>
        <w:jc w:val="both"/>
        <w:rPr>
          <w:sz w:val="22"/>
          <w:szCs w:val="22"/>
          <w:lang w:eastAsia="en-GB"/>
        </w:rPr>
      </w:pPr>
    </w:p>
    <w:p w:rsidR="00CE2E47" w:rsidRDefault="0076525E" w:rsidP="00D54A7C">
      <w:pPr>
        <w:numPr>
          <w:ilvl w:val="1"/>
          <w:numId w:val="3"/>
        </w:numPr>
        <w:tabs>
          <w:tab w:val="clear" w:pos="1080"/>
          <w:tab w:val="num" w:pos="540"/>
        </w:tabs>
        <w:ind w:left="540" w:hanging="540"/>
        <w:jc w:val="both"/>
        <w:rPr>
          <w:sz w:val="22"/>
          <w:szCs w:val="22"/>
        </w:rPr>
      </w:pPr>
      <w:r w:rsidRPr="00B60755">
        <w:rPr>
          <w:sz w:val="22"/>
          <w:szCs w:val="22"/>
          <w:lang w:val="en-GB" w:eastAsia="en-GB"/>
        </w:rPr>
        <w:t xml:space="preserve">These issues </w:t>
      </w:r>
      <w:r w:rsidR="00BB10F6">
        <w:rPr>
          <w:sz w:val="22"/>
          <w:szCs w:val="22"/>
          <w:lang w:val="en-GB" w:eastAsia="en-GB"/>
        </w:rPr>
        <w:t>highlight</w:t>
      </w:r>
      <w:r w:rsidRPr="00B60755">
        <w:rPr>
          <w:sz w:val="22"/>
          <w:szCs w:val="22"/>
          <w:lang w:val="en-GB" w:eastAsia="en-GB"/>
        </w:rPr>
        <w:t xml:space="preserve"> the potential for ‘creep’ to occur</w:t>
      </w:r>
      <w:r w:rsidR="00D914E7" w:rsidRPr="00B60755">
        <w:rPr>
          <w:sz w:val="22"/>
          <w:szCs w:val="22"/>
          <w:lang w:val="en-GB" w:eastAsia="en-GB"/>
        </w:rPr>
        <w:t xml:space="preserve"> – that is,</w:t>
      </w:r>
      <w:r w:rsidR="00390E78" w:rsidRPr="00B60755">
        <w:rPr>
          <w:sz w:val="22"/>
          <w:szCs w:val="22"/>
          <w:lang w:val="en-GB" w:eastAsia="en-GB"/>
        </w:rPr>
        <w:t xml:space="preserve"> for greater reliance to be placed on tasers than </w:t>
      </w:r>
      <w:r w:rsidR="00D914E7" w:rsidRPr="00B60755">
        <w:rPr>
          <w:sz w:val="22"/>
          <w:szCs w:val="22"/>
          <w:lang w:val="en-GB" w:eastAsia="en-GB"/>
        </w:rPr>
        <w:t xml:space="preserve">only </w:t>
      </w:r>
      <w:r w:rsidR="00390E78" w:rsidRPr="00B60755">
        <w:rPr>
          <w:sz w:val="22"/>
          <w:szCs w:val="22"/>
          <w:lang w:val="en-GB" w:eastAsia="en-GB"/>
        </w:rPr>
        <w:t>as a measure of last resort,</w:t>
      </w:r>
      <w:r w:rsidRPr="00B60755">
        <w:rPr>
          <w:sz w:val="22"/>
          <w:szCs w:val="22"/>
          <w:lang w:val="en-GB" w:eastAsia="en-GB"/>
        </w:rPr>
        <w:t xml:space="preserve"> and for </w:t>
      </w:r>
      <w:r w:rsidR="00483A1A" w:rsidRPr="00B60755">
        <w:rPr>
          <w:sz w:val="22"/>
          <w:szCs w:val="22"/>
          <w:lang w:val="en-GB" w:eastAsia="en-GB"/>
        </w:rPr>
        <w:t>tasers to be used outside the stipulations of the SOPs.</w:t>
      </w:r>
    </w:p>
    <w:p w:rsidR="00CE2E47" w:rsidRDefault="00CE2E47" w:rsidP="00CE2E47">
      <w:pPr>
        <w:jc w:val="both"/>
        <w:rPr>
          <w:sz w:val="22"/>
          <w:szCs w:val="22"/>
          <w:lang w:val="en-GB" w:eastAsia="en-GB"/>
        </w:rPr>
      </w:pPr>
    </w:p>
    <w:p w:rsidR="00CE2E47" w:rsidRDefault="002E7907" w:rsidP="00D54A7C">
      <w:pPr>
        <w:numPr>
          <w:ilvl w:val="1"/>
          <w:numId w:val="3"/>
        </w:numPr>
        <w:tabs>
          <w:tab w:val="clear" w:pos="1080"/>
          <w:tab w:val="num" w:pos="540"/>
        </w:tabs>
        <w:ind w:left="540" w:hanging="540"/>
        <w:jc w:val="both"/>
        <w:rPr>
          <w:sz w:val="22"/>
          <w:szCs w:val="22"/>
        </w:rPr>
      </w:pPr>
      <w:r>
        <w:rPr>
          <w:sz w:val="22"/>
          <w:szCs w:val="22"/>
          <w:lang w:val="en-GB" w:eastAsia="en-GB"/>
        </w:rPr>
        <w:t>There have been some issues around</w:t>
      </w:r>
      <w:r w:rsidR="00567C9E" w:rsidRPr="00B60755">
        <w:rPr>
          <w:sz w:val="22"/>
          <w:szCs w:val="22"/>
          <w:lang w:val="en-GB" w:eastAsia="en-GB"/>
        </w:rPr>
        <w:t xml:space="preserve"> the transparency of the trial and decision making process, and the lack of wide public consultation.  </w:t>
      </w:r>
      <w:r w:rsidR="00D61CA8" w:rsidRPr="00B60755">
        <w:rPr>
          <w:sz w:val="22"/>
          <w:szCs w:val="22"/>
          <w:lang w:val="en-GB" w:eastAsia="en-GB"/>
        </w:rPr>
        <w:t>While</w:t>
      </w:r>
      <w:r w:rsidR="007E10B2" w:rsidRPr="00B60755">
        <w:rPr>
          <w:sz w:val="22"/>
          <w:szCs w:val="22"/>
          <w:lang w:val="en-GB" w:eastAsia="en-GB"/>
        </w:rPr>
        <w:t xml:space="preserve"> regular</w:t>
      </w:r>
      <w:r w:rsidR="00BE3320" w:rsidRPr="00B60755">
        <w:rPr>
          <w:sz w:val="22"/>
          <w:szCs w:val="22"/>
          <w:lang w:val="en-GB" w:eastAsia="en-GB"/>
        </w:rPr>
        <w:t xml:space="preserve"> updates and</w:t>
      </w:r>
      <w:r w:rsidR="00D61CA8" w:rsidRPr="00B60755">
        <w:rPr>
          <w:sz w:val="22"/>
          <w:szCs w:val="22"/>
          <w:lang w:val="en-GB" w:eastAsia="en-GB"/>
        </w:rPr>
        <w:t xml:space="preserve"> summary reports of taser use </w:t>
      </w:r>
      <w:r w:rsidR="0076525E" w:rsidRPr="00B60755">
        <w:rPr>
          <w:sz w:val="22"/>
          <w:szCs w:val="22"/>
          <w:lang w:val="en-GB" w:eastAsia="en-GB"/>
        </w:rPr>
        <w:t xml:space="preserve">were released </w:t>
      </w:r>
      <w:r w:rsidR="00D61CA8" w:rsidRPr="00B60755">
        <w:rPr>
          <w:sz w:val="22"/>
          <w:szCs w:val="22"/>
          <w:lang w:val="en-GB" w:eastAsia="en-GB"/>
        </w:rPr>
        <w:t>during the trial,</w:t>
      </w:r>
      <w:r w:rsidR="00DC2D0B" w:rsidRPr="00B60755">
        <w:rPr>
          <w:sz w:val="22"/>
          <w:szCs w:val="22"/>
          <w:lang w:val="en-GB" w:eastAsia="en-GB"/>
        </w:rPr>
        <w:t xml:space="preserve"> more detailed information </w:t>
      </w:r>
      <w:r w:rsidR="00F1240B">
        <w:rPr>
          <w:sz w:val="22"/>
          <w:szCs w:val="22"/>
          <w:lang w:val="en-GB" w:eastAsia="en-GB"/>
        </w:rPr>
        <w:t>from</w:t>
      </w:r>
      <w:r w:rsidR="00151C4D" w:rsidRPr="00B60755">
        <w:rPr>
          <w:sz w:val="22"/>
          <w:szCs w:val="22"/>
          <w:lang w:val="en-GB" w:eastAsia="en-GB"/>
        </w:rPr>
        <w:t xml:space="preserve"> incident reports</w:t>
      </w:r>
      <w:r w:rsidR="00026F65" w:rsidRPr="00B60755">
        <w:rPr>
          <w:sz w:val="22"/>
          <w:szCs w:val="22"/>
          <w:lang w:val="en-GB" w:eastAsia="en-GB"/>
        </w:rPr>
        <w:t xml:space="preserve"> sought by members of civil society, wa</w:t>
      </w:r>
      <w:r w:rsidR="00DC2D0B" w:rsidRPr="00B60755">
        <w:rPr>
          <w:sz w:val="22"/>
          <w:szCs w:val="22"/>
          <w:lang w:val="en-GB" w:eastAsia="en-GB"/>
        </w:rPr>
        <w:t>s initially withheld by police.  T</w:t>
      </w:r>
      <w:r w:rsidR="00D61CA8" w:rsidRPr="00B60755">
        <w:rPr>
          <w:sz w:val="22"/>
          <w:szCs w:val="22"/>
          <w:lang w:val="en-GB" w:eastAsia="en-GB"/>
        </w:rPr>
        <w:t xml:space="preserve">he Ombudsman, in upholding a complaint under the Official Information Act, </w:t>
      </w:r>
      <w:r w:rsidR="00D914E7" w:rsidRPr="00B60755">
        <w:rPr>
          <w:sz w:val="22"/>
          <w:szCs w:val="22"/>
          <w:lang w:val="en-GB" w:eastAsia="en-GB"/>
        </w:rPr>
        <w:t xml:space="preserve">highlighted the importance of transparency and accountability around the taser trial, </w:t>
      </w:r>
      <w:r w:rsidR="00BE3320" w:rsidRPr="00B60755">
        <w:rPr>
          <w:sz w:val="22"/>
          <w:szCs w:val="22"/>
          <w:lang w:val="en-GB" w:eastAsia="en-GB"/>
        </w:rPr>
        <w:t xml:space="preserve">and found </w:t>
      </w:r>
      <w:r w:rsidR="00DC2D0B" w:rsidRPr="00B60755">
        <w:rPr>
          <w:sz w:val="22"/>
          <w:szCs w:val="22"/>
          <w:lang w:val="en-GB" w:eastAsia="en-GB"/>
        </w:rPr>
        <w:t xml:space="preserve">that many of the brief summaries released had the effect of sanitising the original reports.  </w:t>
      </w:r>
      <w:r w:rsidR="007E10B2" w:rsidRPr="00B60755">
        <w:rPr>
          <w:sz w:val="22"/>
          <w:szCs w:val="22"/>
          <w:lang w:val="en-GB" w:eastAsia="en-GB"/>
        </w:rPr>
        <w:t>The incident reports are now available on the Police website.</w:t>
      </w:r>
      <w:r w:rsidR="00151C4D" w:rsidRPr="00B60755">
        <w:rPr>
          <w:rStyle w:val="FootnoteReference"/>
          <w:sz w:val="22"/>
          <w:szCs w:val="22"/>
          <w:lang w:val="en-GB" w:eastAsia="en-GB"/>
        </w:rPr>
        <w:footnoteReference w:id="9"/>
      </w:r>
    </w:p>
    <w:p w:rsidR="00CE2E47" w:rsidRDefault="00CE2E47" w:rsidP="00CE2E47">
      <w:pPr>
        <w:jc w:val="both"/>
        <w:rPr>
          <w:sz w:val="22"/>
          <w:szCs w:val="22"/>
          <w:lang w:val="en-GB" w:eastAsia="en-GB"/>
        </w:rPr>
      </w:pPr>
    </w:p>
    <w:p w:rsidR="002B1D05" w:rsidRPr="00B014EE" w:rsidRDefault="002E7907" w:rsidP="00D54A7C">
      <w:pPr>
        <w:numPr>
          <w:ilvl w:val="1"/>
          <w:numId w:val="3"/>
        </w:numPr>
        <w:tabs>
          <w:tab w:val="clear" w:pos="1080"/>
          <w:tab w:val="num" w:pos="540"/>
        </w:tabs>
        <w:ind w:left="540" w:hanging="540"/>
        <w:jc w:val="both"/>
        <w:rPr>
          <w:b/>
          <w:sz w:val="22"/>
          <w:szCs w:val="22"/>
        </w:rPr>
      </w:pPr>
      <w:r w:rsidRPr="00B014EE">
        <w:rPr>
          <w:b/>
          <w:sz w:val="22"/>
          <w:szCs w:val="22"/>
          <w:lang w:val="en-GB" w:eastAsia="en-GB"/>
        </w:rPr>
        <w:t xml:space="preserve">The introduction of tasers represents a departure from New Zealand’s tradition of a relatively unarmed police force.  </w:t>
      </w:r>
      <w:r w:rsidR="00CB0336" w:rsidRPr="00B014EE">
        <w:rPr>
          <w:b/>
          <w:sz w:val="22"/>
          <w:szCs w:val="22"/>
          <w:lang w:val="en-GB" w:eastAsia="en-GB"/>
        </w:rPr>
        <w:t>There are a number of c</w:t>
      </w:r>
      <w:r w:rsidR="002B1D05" w:rsidRPr="00B014EE">
        <w:rPr>
          <w:b/>
          <w:sz w:val="22"/>
          <w:szCs w:val="22"/>
          <w:lang w:val="en-GB" w:eastAsia="en-GB"/>
        </w:rPr>
        <w:t>oncerns and potenti</w:t>
      </w:r>
      <w:r w:rsidRPr="00B014EE">
        <w:rPr>
          <w:b/>
          <w:sz w:val="22"/>
          <w:szCs w:val="22"/>
          <w:lang w:val="en-GB" w:eastAsia="en-GB"/>
        </w:rPr>
        <w:t xml:space="preserve">al risks surrounding the taser </w:t>
      </w:r>
      <w:r w:rsidR="00CB0336" w:rsidRPr="00B014EE">
        <w:rPr>
          <w:b/>
          <w:sz w:val="22"/>
          <w:szCs w:val="22"/>
          <w:lang w:val="en-GB" w:eastAsia="en-GB"/>
        </w:rPr>
        <w:t xml:space="preserve">that </w:t>
      </w:r>
      <w:r w:rsidRPr="00B014EE">
        <w:rPr>
          <w:b/>
          <w:sz w:val="22"/>
          <w:szCs w:val="22"/>
          <w:lang w:val="en-GB" w:eastAsia="en-GB"/>
        </w:rPr>
        <w:t>highlight the need for</w:t>
      </w:r>
      <w:r w:rsidR="002B1D05" w:rsidRPr="00B014EE">
        <w:rPr>
          <w:b/>
          <w:sz w:val="22"/>
          <w:szCs w:val="22"/>
          <w:lang w:val="en-GB" w:eastAsia="en-GB"/>
        </w:rPr>
        <w:t xml:space="preserve"> </w:t>
      </w:r>
      <w:r w:rsidR="00F021C6" w:rsidRPr="00B014EE">
        <w:rPr>
          <w:b/>
          <w:sz w:val="22"/>
          <w:szCs w:val="22"/>
          <w:lang w:val="en-GB" w:eastAsia="en-GB"/>
        </w:rPr>
        <w:t>stringent safeguards</w:t>
      </w:r>
      <w:r w:rsidRPr="00B014EE">
        <w:rPr>
          <w:b/>
          <w:sz w:val="22"/>
          <w:szCs w:val="22"/>
          <w:lang w:val="en-GB" w:eastAsia="en-GB"/>
        </w:rPr>
        <w:t>,</w:t>
      </w:r>
      <w:r w:rsidR="00F021C6" w:rsidRPr="00B014EE">
        <w:rPr>
          <w:b/>
          <w:sz w:val="22"/>
          <w:szCs w:val="22"/>
          <w:lang w:val="en-GB" w:eastAsia="en-GB"/>
        </w:rPr>
        <w:t xml:space="preserve"> </w:t>
      </w:r>
      <w:r w:rsidR="00FC7D1D" w:rsidRPr="00B014EE">
        <w:rPr>
          <w:b/>
          <w:sz w:val="22"/>
          <w:szCs w:val="22"/>
          <w:lang w:val="en-GB" w:eastAsia="en-GB"/>
        </w:rPr>
        <w:t>full transp</w:t>
      </w:r>
      <w:r w:rsidR="00CB0336" w:rsidRPr="00B014EE">
        <w:rPr>
          <w:b/>
          <w:sz w:val="22"/>
          <w:szCs w:val="22"/>
          <w:lang w:val="en-GB" w:eastAsia="en-GB"/>
        </w:rPr>
        <w:t>arency and accountability if their use is to continue</w:t>
      </w:r>
      <w:r w:rsidR="00FC7D1D" w:rsidRPr="00B014EE">
        <w:rPr>
          <w:b/>
          <w:sz w:val="22"/>
          <w:szCs w:val="22"/>
          <w:lang w:val="en-GB" w:eastAsia="en-GB"/>
        </w:rPr>
        <w:t>.</w:t>
      </w:r>
    </w:p>
    <w:p w:rsidR="00CE2E47" w:rsidRDefault="00DE5B63" w:rsidP="00CE2E47">
      <w:pPr>
        <w:pStyle w:val="Heading2"/>
      </w:pPr>
      <w:bookmarkStart w:id="12" w:name="_Toc222903311"/>
      <w:bookmarkStart w:id="13" w:name="_Toc225333138"/>
      <w:r>
        <w:t>Prison</w:t>
      </w:r>
      <w:r w:rsidR="00CE2E47">
        <w:t>s</w:t>
      </w:r>
      <w:bookmarkEnd w:id="12"/>
      <w:bookmarkEnd w:id="13"/>
      <w:r w:rsidR="00CE2E47">
        <w:t xml:space="preserve"> </w:t>
      </w:r>
    </w:p>
    <w:p w:rsidR="00CE2E47" w:rsidRDefault="00CE2E47" w:rsidP="00CE2E47">
      <w:pPr>
        <w:pStyle w:val="Heading3"/>
      </w:pPr>
      <w:bookmarkStart w:id="14" w:name="_Toc225333139"/>
      <w:r>
        <w:t>New Zealand Action Plan for Human Rights</w:t>
      </w:r>
      <w:bookmarkEnd w:id="14"/>
    </w:p>
    <w:p w:rsidR="00CE2E47" w:rsidRDefault="001E1F88" w:rsidP="00D54A7C">
      <w:pPr>
        <w:numPr>
          <w:ilvl w:val="1"/>
          <w:numId w:val="3"/>
        </w:numPr>
        <w:tabs>
          <w:tab w:val="clear" w:pos="1080"/>
          <w:tab w:val="num" w:pos="540"/>
        </w:tabs>
        <w:ind w:left="540" w:hanging="540"/>
        <w:jc w:val="both"/>
        <w:rPr>
          <w:sz w:val="22"/>
          <w:szCs w:val="22"/>
        </w:rPr>
      </w:pPr>
      <w:r w:rsidRPr="001E1F88">
        <w:rPr>
          <w:sz w:val="22"/>
          <w:szCs w:val="22"/>
          <w:lang w:val="en-NZ"/>
        </w:rPr>
        <w:t xml:space="preserve">Research undertaken by the Commission in the development of the </w:t>
      </w:r>
      <w:r w:rsidRPr="00E95BA6">
        <w:rPr>
          <w:i/>
          <w:sz w:val="22"/>
          <w:szCs w:val="22"/>
          <w:lang w:val="en-NZ"/>
        </w:rPr>
        <w:t>New Zealand Action Plan for Human Rights</w:t>
      </w:r>
      <w:r w:rsidRPr="001E1F88">
        <w:rPr>
          <w:sz w:val="22"/>
          <w:szCs w:val="22"/>
          <w:lang w:val="en-NZ"/>
        </w:rPr>
        <w:t xml:space="preserve"> (the Action Plan) highlighted the vulnerability to abuse of people in detention as one of the most pressing human rights issues facing New Zealand.  </w:t>
      </w:r>
    </w:p>
    <w:p w:rsidR="00CE2E47" w:rsidRDefault="00CE2E47" w:rsidP="00CE2E47">
      <w:pPr>
        <w:jc w:val="both"/>
        <w:rPr>
          <w:sz w:val="22"/>
          <w:szCs w:val="22"/>
        </w:rPr>
      </w:pPr>
    </w:p>
    <w:p w:rsidR="001E1F88" w:rsidRPr="00CE2E47" w:rsidRDefault="001E1F88" w:rsidP="00D54A7C">
      <w:pPr>
        <w:numPr>
          <w:ilvl w:val="1"/>
          <w:numId w:val="3"/>
        </w:numPr>
        <w:tabs>
          <w:tab w:val="clear" w:pos="1080"/>
          <w:tab w:val="num" w:pos="540"/>
        </w:tabs>
        <w:ind w:left="540" w:hanging="540"/>
        <w:jc w:val="both"/>
        <w:rPr>
          <w:sz w:val="22"/>
          <w:szCs w:val="22"/>
        </w:rPr>
      </w:pPr>
      <w:r w:rsidRPr="001E1F88">
        <w:rPr>
          <w:sz w:val="22"/>
          <w:szCs w:val="22"/>
          <w:lang w:val="en-NZ"/>
        </w:rPr>
        <w:t xml:space="preserve">The Commission found that, while much of New Zealand’s law and policy regarding the corrections system </w:t>
      </w:r>
      <w:r w:rsidRPr="001E1F88">
        <w:rPr>
          <w:sz w:val="22"/>
          <w:szCs w:val="22"/>
        </w:rPr>
        <w:t xml:space="preserve">is well developed and generally consistent with international standards, their application in practice can be problematic.   </w:t>
      </w:r>
      <w:r w:rsidRPr="001E1F88">
        <w:rPr>
          <w:sz w:val="22"/>
          <w:szCs w:val="22"/>
          <w:lang w:val="en-NZ"/>
        </w:rPr>
        <w:t>The key areas of concern highlighted in relation to prisons, included:</w:t>
      </w:r>
    </w:p>
    <w:p w:rsidR="00CE2E47" w:rsidRPr="00CE2E47" w:rsidRDefault="00CE2E47" w:rsidP="00D54A7C">
      <w:pPr>
        <w:numPr>
          <w:ilvl w:val="0"/>
          <w:numId w:val="6"/>
        </w:numPr>
        <w:tabs>
          <w:tab w:val="clear" w:pos="1440"/>
          <w:tab w:val="num" w:pos="1080"/>
        </w:tabs>
        <w:ind w:left="1080" w:hanging="540"/>
        <w:jc w:val="both"/>
        <w:rPr>
          <w:sz w:val="22"/>
          <w:szCs w:val="22"/>
        </w:rPr>
      </w:pPr>
      <w:r w:rsidRPr="00CE2E47">
        <w:rPr>
          <w:sz w:val="22"/>
          <w:szCs w:val="22"/>
        </w:rPr>
        <w:t>Concerns about the use of non-voluntary segregation and excessive periods of lock-down;</w:t>
      </w:r>
    </w:p>
    <w:p w:rsidR="00CE2E47" w:rsidRPr="00CE2E47" w:rsidRDefault="00CE2E47" w:rsidP="00D54A7C">
      <w:pPr>
        <w:numPr>
          <w:ilvl w:val="0"/>
          <w:numId w:val="6"/>
        </w:numPr>
        <w:tabs>
          <w:tab w:val="clear" w:pos="1440"/>
          <w:tab w:val="num" w:pos="1080"/>
        </w:tabs>
        <w:ind w:left="1080" w:hanging="540"/>
        <w:jc w:val="both"/>
        <w:rPr>
          <w:sz w:val="22"/>
          <w:szCs w:val="22"/>
        </w:rPr>
      </w:pPr>
      <w:r w:rsidRPr="00CE2E47">
        <w:rPr>
          <w:sz w:val="22"/>
          <w:szCs w:val="22"/>
        </w:rPr>
        <w:t>The need for continuing efforts to ensure the safety of prisoners and staff;</w:t>
      </w:r>
    </w:p>
    <w:p w:rsidR="00CE2E47" w:rsidRPr="00CE2E47" w:rsidRDefault="00CE2E47" w:rsidP="00D54A7C">
      <w:pPr>
        <w:numPr>
          <w:ilvl w:val="0"/>
          <w:numId w:val="6"/>
        </w:numPr>
        <w:tabs>
          <w:tab w:val="clear" w:pos="1440"/>
          <w:tab w:val="num" w:pos="1080"/>
        </w:tabs>
        <w:ind w:left="1080" w:hanging="540"/>
        <w:jc w:val="both"/>
        <w:rPr>
          <w:sz w:val="22"/>
          <w:szCs w:val="22"/>
        </w:rPr>
      </w:pPr>
      <w:r w:rsidRPr="00CE2E47">
        <w:rPr>
          <w:sz w:val="22"/>
          <w:szCs w:val="22"/>
        </w:rPr>
        <w:t>The need for close and specific monitoring of provisions for refugees and asylum seekers, pregnant women, and prisoners who are physically or mentally unwell;</w:t>
      </w:r>
    </w:p>
    <w:p w:rsidR="00CE2E47" w:rsidRPr="00CE2E47" w:rsidRDefault="00CE2E47" w:rsidP="00D54A7C">
      <w:pPr>
        <w:numPr>
          <w:ilvl w:val="0"/>
          <w:numId w:val="6"/>
        </w:numPr>
        <w:tabs>
          <w:tab w:val="clear" w:pos="1440"/>
          <w:tab w:val="num" w:pos="1080"/>
        </w:tabs>
        <w:ind w:left="1080" w:hanging="540"/>
        <w:jc w:val="both"/>
        <w:rPr>
          <w:sz w:val="22"/>
          <w:szCs w:val="22"/>
        </w:rPr>
      </w:pPr>
      <w:r w:rsidRPr="00CE2E47">
        <w:rPr>
          <w:sz w:val="22"/>
          <w:szCs w:val="22"/>
        </w:rPr>
        <w:t xml:space="preserve">The lack of reliable data on the numbers of prisoners who have a disability; </w:t>
      </w:r>
    </w:p>
    <w:p w:rsidR="00CE2E47" w:rsidRPr="00CE2E47" w:rsidRDefault="00CE2E47" w:rsidP="00D54A7C">
      <w:pPr>
        <w:numPr>
          <w:ilvl w:val="0"/>
          <w:numId w:val="6"/>
        </w:numPr>
        <w:tabs>
          <w:tab w:val="clear" w:pos="1440"/>
          <w:tab w:val="num" w:pos="1080"/>
        </w:tabs>
        <w:ind w:left="1080" w:hanging="540"/>
        <w:jc w:val="both"/>
        <w:rPr>
          <w:i/>
          <w:sz w:val="22"/>
          <w:szCs w:val="22"/>
        </w:rPr>
      </w:pPr>
      <w:r w:rsidRPr="00CE2E47">
        <w:rPr>
          <w:sz w:val="22"/>
          <w:szCs w:val="22"/>
        </w:rPr>
        <w:t>The fact that a small number of prisoners requiring urgent treatment for mental illnesses remained in prison while waiting for an available bed in a forensic mental health facility;</w:t>
      </w:r>
    </w:p>
    <w:p w:rsidR="00CE2E47" w:rsidRPr="00CE2E47" w:rsidRDefault="00CE2E47" w:rsidP="00D54A7C">
      <w:pPr>
        <w:numPr>
          <w:ilvl w:val="0"/>
          <w:numId w:val="6"/>
        </w:numPr>
        <w:tabs>
          <w:tab w:val="clear" w:pos="1440"/>
          <w:tab w:val="num" w:pos="1080"/>
        </w:tabs>
        <w:ind w:left="1080" w:hanging="540"/>
        <w:jc w:val="both"/>
        <w:rPr>
          <w:sz w:val="22"/>
          <w:szCs w:val="22"/>
        </w:rPr>
      </w:pPr>
      <w:r w:rsidRPr="00CE2E47">
        <w:rPr>
          <w:sz w:val="22"/>
          <w:szCs w:val="22"/>
        </w:rPr>
        <w:t>Workforce development issues, including staff-to-prisoner ratios and the need for human rights training to be m</w:t>
      </w:r>
      <w:r w:rsidR="00E95BA6">
        <w:rPr>
          <w:sz w:val="22"/>
          <w:szCs w:val="22"/>
        </w:rPr>
        <w:t>ainstreamed into staff training; and</w:t>
      </w:r>
    </w:p>
    <w:p w:rsidR="00CE2E47" w:rsidRPr="00CE2E47" w:rsidRDefault="00CE2E47" w:rsidP="00D54A7C">
      <w:pPr>
        <w:numPr>
          <w:ilvl w:val="0"/>
          <w:numId w:val="6"/>
        </w:numPr>
        <w:tabs>
          <w:tab w:val="clear" w:pos="1440"/>
          <w:tab w:val="num" w:pos="1080"/>
        </w:tabs>
        <w:ind w:left="1080" w:hanging="540"/>
        <w:jc w:val="both"/>
        <w:rPr>
          <w:sz w:val="22"/>
          <w:szCs w:val="22"/>
        </w:rPr>
      </w:pPr>
      <w:r w:rsidRPr="00CE2E47">
        <w:rPr>
          <w:sz w:val="22"/>
          <w:szCs w:val="22"/>
        </w:rPr>
        <w:t>Age mixing of youth and adult offenders and Ne</w:t>
      </w:r>
      <w:r w:rsidR="00E95BA6">
        <w:rPr>
          <w:sz w:val="22"/>
          <w:szCs w:val="22"/>
        </w:rPr>
        <w:t>w Zealand’s reservation to the</w:t>
      </w:r>
      <w:r w:rsidRPr="00CE2E47">
        <w:rPr>
          <w:sz w:val="22"/>
          <w:szCs w:val="22"/>
        </w:rPr>
        <w:t xml:space="preserve"> Convention on the Rights of the Child on this point.</w:t>
      </w:r>
    </w:p>
    <w:p w:rsidR="00CE2E47" w:rsidRDefault="00CE2E47" w:rsidP="00CE2E47">
      <w:pPr>
        <w:jc w:val="both"/>
        <w:rPr>
          <w:sz w:val="22"/>
          <w:szCs w:val="22"/>
        </w:rPr>
      </w:pPr>
    </w:p>
    <w:p w:rsidR="001E1F88" w:rsidRDefault="001E1F88" w:rsidP="00D54A7C">
      <w:pPr>
        <w:numPr>
          <w:ilvl w:val="1"/>
          <w:numId w:val="3"/>
        </w:numPr>
        <w:tabs>
          <w:tab w:val="clear" w:pos="1080"/>
          <w:tab w:val="num" w:pos="540"/>
        </w:tabs>
        <w:ind w:left="540" w:hanging="540"/>
        <w:jc w:val="both"/>
        <w:rPr>
          <w:sz w:val="22"/>
          <w:szCs w:val="22"/>
        </w:rPr>
      </w:pPr>
      <w:r w:rsidRPr="001E1F88">
        <w:rPr>
          <w:sz w:val="22"/>
          <w:szCs w:val="22"/>
        </w:rPr>
        <w:t>The Commission’s monitoring of progress on the Action Plan has found that</w:t>
      </w:r>
      <w:r w:rsidR="00C045A2">
        <w:rPr>
          <w:sz w:val="22"/>
          <w:szCs w:val="22"/>
        </w:rPr>
        <w:t>,</w:t>
      </w:r>
      <w:r w:rsidRPr="001E1F88">
        <w:rPr>
          <w:sz w:val="22"/>
          <w:szCs w:val="22"/>
        </w:rPr>
        <w:t xml:space="preserve"> while there have been a number of positive developments (including improvements through the enactment of t</w:t>
      </w:r>
      <w:r w:rsidR="00C045A2">
        <w:rPr>
          <w:sz w:val="22"/>
          <w:szCs w:val="22"/>
        </w:rPr>
        <w:t xml:space="preserve">he Corrections Act 2004 and other </w:t>
      </w:r>
      <w:r w:rsidR="00C045A2">
        <w:rPr>
          <w:sz w:val="22"/>
          <w:szCs w:val="22"/>
        </w:rPr>
        <w:lastRenderedPageBreak/>
        <w:t xml:space="preserve">justice sector </w:t>
      </w:r>
      <w:r>
        <w:rPr>
          <w:sz w:val="22"/>
          <w:szCs w:val="22"/>
        </w:rPr>
        <w:t>initiatives</w:t>
      </w:r>
      <w:r w:rsidRPr="001E1F88">
        <w:rPr>
          <w:sz w:val="22"/>
          <w:szCs w:val="22"/>
        </w:rPr>
        <w:t>), there are indications that many of the issues identified in 2004 remain of continuing concern.</w:t>
      </w:r>
    </w:p>
    <w:p w:rsidR="00B014EE" w:rsidRDefault="00B014EE" w:rsidP="00B014EE">
      <w:pPr>
        <w:tabs>
          <w:tab w:val="num" w:pos="540"/>
        </w:tabs>
        <w:jc w:val="both"/>
        <w:rPr>
          <w:sz w:val="22"/>
          <w:szCs w:val="22"/>
        </w:rPr>
      </w:pPr>
    </w:p>
    <w:p w:rsidR="00B014EE" w:rsidRDefault="00B014EE" w:rsidP="00D54A7C">
      <w:pPr>
        <w:numPr>
          <w:ilvl w:val="1"/>
          <w:numId w:val="3"/>
        </w:numPr>
        <w:tabs>
          <w:tab w:val="clear" w:pos="1080"/>
          <w:tab w:val="num" w:pos="540"/>
        </w:tabs>
        <w:ind w:left="540" w:hanging="540"/>
        <w:jc w:val="both"/>
        <w:rPr>
          <w:sz w:val="22"/>
          <w:szCs w:val="22"/>
        </w:rPr>
      </w:pPr>
      <w:r>
        <w:rPr>
          <w:sz w:val="22"/>
          <w:szCs w:val="22"/>
        </w:rPr>
        <w:t>The Commission has also commissioned further research into the human rights of people in prisons to be undertaken in 2009, to update its earlier research and provide baseline information to inform both OPCAT monitoring activities and the development of a new Action Plan in 2010.</w:t>
      </w:r>
    </w:p>
    <w:p w:rsidR="00CE2E47" w:rsidRDefault="00CE2E47" w:rsidP="00CE2E47">
      <w:pPr>
        <w:pStyle w:val="Heading3"/>
      </w:pPr>
      <w:bookmarkStart w:id="15" w:name="_Toc222903312"/>
      <w:bookmarkStart w:id="16" w:name="_Toc225333140"/>
      <w:r>
        <w:t>Corrections Act</w:t>
      </w:r>
      <w:bookmarkEnd w:id="15"/>
      <w:r>
        <w:t xml:space="preserve"> 2004</w:t>
      </w:r>
      <w:bookmarkEnd w:id="16"/>
    </w:p>
    <w:p w:rsidR="00CE2E47" w:rsidRDefault="00C9139F" w:rsidP="00D54A7C">
      <w:pPr>
        <w:numPr>
          <w:ilvl w:val="1"/>
          <w:numId w:val="3"/>
        </w:numPr>
        <w:tabs>
          <w:tab w:val="clear" w:pos="1080"/>
          <w:tab w:val="num" w:pos="540"/>
        </w:tabs>
        <w:ind w:left="540" w:hanging="540"/>
        <w:jc w:val="both"/>
        <w:rPr>
          <w:sz w:val="22"/>
          <w:szCs w:val="22"/>
        </w:rPr>
      </w:pPr>
      <w:r w:rsidRPr="00A43674">
        <w:rPr>
          <w:sz w:val="22"/>
          <w:szCs w:val="22"/>
          <w:lang w:val="en-GB"/>
        </w:rPr>
        <w:t xml:space="preserve">The </w:t>
      </w:r>
      <w:r w:rsidR="00966317" w:rsidRPr="00A43674">
        <w:rPr>
          <w:sz w:val="22"/>
          <w:szCs w:val="22"/>
          <w:lang w:val="en-NZ"/>
        </w:rPr>
        <w:t xml:space="preserve">Corrections Act 2004 </w:t>
      </w:r>
      <w:r w:rsidR="008069F6">
        <w:rPr>
          <w:sz w:val="22"/>
          <w:szCs w:val="22"/>
          <w:lang w:val="en-NZ"/>
        </w:rPr>
        <w:t>(</w:t>
      </w:r>
      <w:r w:rsidR="00966317" w:rsidRPr="00A43674">
        <w:rPr>
          <w:sz w:val="22"/>
          <w:szCs w:val="22"/>
          <w:lang w:val="en-NZ"/>
        </w:rPr>
        <w:t>and Corrections Regulations 2005</w:t>
      </w:r>
      <w:r w:rsidR="008069F6">
        <w:rPr>
          <w:sz w:val="22"/>
          <w:szCs w:val="22"/>
          <w:lang w:val="en-NZ"/>
        </w:rPr>
        <w:t>) were enacted during the reporting period and</w:t>
      </w:r>
      <w:r w:rsidR="00966317" w:rsidRPr="00A43674">
        <w:rPr>
          <w:sz w:val="22"/>
          <w:szCs w:val="22"/>
          <w:lang w:val="en-NZ"/>
        </w:rPr>
        <w:t xml:space="preserve"> govern the administration of prisons</w:t>
      </w:r>
      <w:r w:rsidRPr="00A43674">
        <w:rPr>
          <w:sz w:val="22"/>
          <w:szCs w:val="22"/>
          <w:lang w:val="en-NZ"/>
        </w:rPr>
        <w:t xml:space="preserve">.  </w:t>
      </w:r>
    </w:p>
    <w:p w:rsidR="00CE2E47" w:rsidRDefault="00CE2E47" w:rsidP="00CE2E47">
      <w:pPr>
        <w:jc w:val="both"/>
        <w:rPr>
          <w:sz w:val="22"/>
          <w:szCs w:val="22"/>
        </w:rPr>
      </w:pPr>
    </w:p>
    <w:p w:rsidR="00CE2E47" w:rsidRPr="00B014EE" w:rsidRDefault="00486265" w:rsidP="00D54A7C">
      <w:pPr>
        <w:numPr>
          <w:ilvl w:val="1"/>
          <w:numId w:val="3"/>
        </w:numPr>
        <w:tabs>
          <w:tab w:val="clear" w:pos="1080"/>
          <w:tab w:val="num" w:pos="540"/>
        </w:tabs>
        <w:ind w:left="540" w:hanging="540"/>
        <w:jc w:val="both"/>
        <w:rPr>
          <w:b/>
          <w:sz w:val="22"/>
          <w:szCs w:val="22"/>
        </w:rPr>
      </w:pPr>
      <w:r w:rsidRPr="00B014EE">
        <w:rPr>
          <w:b/>
          <w:sz w:val="22"/>
          <w:szCs w:val="22"/>
          <w:lang w:val="en-NZ"/>
        </w:rPr>
        <w:t>P</w:t>
      </w:r>
      <w:r w:rsidR="00D83D9C" w:rsidRPr="00B014EE">
        <w:rPr>
          <w:b/>
          <w:sz w:val="22"/>
          <w:szCs w:val="22"/>
          <w:lang w:val="en-NZ"/>
        </w:rPr>
        <w:t>ositive f</w:t>
      </w:r>
      <w:r w:rsidR="00966317" w:rsidRPr="00B014EE">
        <w:rPr>
          <w:b/>
          <w:sz w:val="22"/>
          <w:szCs w:val="22"/>
          <w:lang w:val="en-NZ"/>
        </w:rPr>
        <w:t>eatures of the new legislation include</w:t>
      </w:r>
      <w:r w:rsidRPr="00B014EE">
        <w:rPr>
          <w:b/>
          <w:sz w:val="22"/>
          <w:szCs w:val="22"/>
          <w:lang w:val="en-NZ"/>
        </w:rPr>
        <w:t xml:space="preserve"> the explicit reference in the Act’s purpose statement to </w:t>
      </w:r>
      <w:r w:rsidR="00C4004C" w:rsidRPr="00B014EE">
        <w:rPr>
          <w:b/>
          <w:sz w:val="22"/>
          <w:szCs w:val="22"/>
          <w:lang w:val="en-NZ"/>
        </w:rPr>
        <w:t xml:space="preserve">compliance with the </w:t>
      </w:r>
      <w:r w:rsidR="00C4004C" w:rsidRPr="00B014EE">
        <w:rPr>
          <w:b/>
          <w:i/>
          <w:sz w:val="22"/>
          <w:szCs w:val="22"/>
          <w:lang w:val="en-NZ"/>
        </w:rPr>
        <w:t>U</w:t>
      </w:r>
      <w:r w:rsidRPr="00B014EE">
        <w:rPr>
          <w:b/>
          <w:i/>
          <w:sz w:val="22"/>
          <w:szCs w:val="22"/>
          <w:lang w:val="en-NZ"/>
        </w:rPr>
        <w:t xml:space="preserve">nited </w:t>
      </w:r>
      <w:r w:rsidR="00C4004C" w:rsidRPr="00B014EE">
        <w:rPr>
          <w:b/>
          <w:i/>
          <w:sz w:val="22"/>
          <w:szCs w:val="22"/>
          <w:lang w:val="en-NZ"/>
        </w:rPr>
        <w:t>N</w:t>
      </w:r>
      <w:r w:rsidRPr="00B014EE">
        <w:rPr>
          <w:b/>
          <w:i/>
          <w:sz w:val="22"/>
          <w:szCs w:val="22"/>
          <w:lang w:val="en-NZ"/>
        </w:rPr>
        <w:t>ations</w:t>
      </w:r>
      <w:r w:rsidR="00C4004C" w:rsidRPr="00B014EE">
        <w:rPr>
          <w:b/>
          <w:i/>
          <w:sz w:val="22"/>
          <w:szCs w:val="22"/>
          <w:lang w:val="en-NZ"/>
        </w:rPr>
        <w:t xml:space="preserve"> Standard Minimum Rules for the Treatment of Prisoners</w:t>
      </w:r>
      <w:r w:rsidR="00C4004C" w:rsidRPr="00B014EE">
        <w:rPr>
          <w:b/>
          <w:sz w:val="22"/>
          <w:szCs w:val="22"/>
          <w:lang w:val="en-NZ"/>
        </w:rPr>
        <w:t xml:space="preserve"> and to the </w:t>
      </w:r>
      <w:r w:rsidRPr="00B014EE">
        <w:rPr>
          <w:b/>
          <w:sz w:val="22"/>
          <w:szCs w:val="22"/>
          <w:lang w:val="en-NZ"/>
        </w:rPr>
        <w:t xml:space="preserve">role of the corrections system in providing rehabilitation and reintegration.  The </w:t>
      </w:r>
      <w:r w:rsidR="00966317" w:rsidRPr="00B014EE">
        <w:rPr>
          <w:b/>
          <w:sz w:val="22"/>
          <w:szCs w:val="22"/>
          <w:lang w:val="en-NZ"/>
        </w:rPr>
        <w:t>inclusion of prisoners’ minimum entitlem</w:t>
      </w:r>
      <w:r w:rsidRPr="00B014EE">
        <w:rPr>
          <w:b/>
          <w:sz w:val="22"/>
          <w:szCs w:val="22"/>
          <w:lang w:val="en-NZ"/>
        </w:rPr>
        <w:t xml:space="preserve">ents in the legislation; </w:t>
      </w:r>
      <w:r w:rsidR="00D83D9C" w:rsidRPr="00B014EE">
        <w:rPr>
          <w:b/>
          <w:sz w:val="22"/>
          <w:szCs w:val="22"/>
          <w:lang w:val="en-NZ"/>
        </w:rPr>
        <w:t xml:space="preserve">expansion of </w:t>
      </w:r>
      <w:r w:rsidR="00AA273A" w:rsidRPr="00B014EE">
        <w:rPr>
          <w:b/>
          <w:sz w:val="22"/>
          <w:szCs w:val="22"/>
          <w:lang w:val="en-NZ"/>
        </w:rPr>
        <w:t xml:space="preserve">complaints provisions </w:t>
      </w:r>
      <w:r w:rsidR="00D83D9C" w:rsidRPr="00B014EE">
        <w:rPr>
          <w:b/>
          <w:sz w:val="22"/>
          <w:szCs w:val="22"/>
          <w:lang w:val="en-NZ"/>
        </w:rPr>
        <w:t xml:space="preserve">and their elevation </w:t>
      </w:r>
      <w:r w:rsidR="00163371" w:rsidRPr="00B014EE">
        <w:rPr>
          <w:b/>
          <w:sz w:val="22"/>
          <w:szCs w:val="22"/>
          <w:lang w:val="en-NZ"/>
        </w:rPr>
        <w:t xml:space="preserve">to </w:t>
      </w:r>
      <w:r w:rsidR="001164D1" w:rsidRPr="00B014EE">
        <w:rPr>
          <w:b/>
          <w:sz w:val="22"/>
          <w:szCs w:val="22"/>
          <w:lang w:val="en-NZ"/>
        </w:rPr>
        <w:t xml:space="preserve">primary </w:t>
      </w:r>
      <w:r w:rsidR="00AA273A" w:rsidRPr="00B014EE">
        <w:rPr>
          <w:b/>
          <w:sz w:val="22"/>
          <w:szCs w:val="22"/>
          <w:lang w:val="en-NZ"/>
        </w:rPr>
        <w:t>legislation;</w:t>
      </w:r>
      <w:r w:rsidR="00C4004C" w:rsidRPr="00B014EE">
        <w:rPr>
          <w:b/>
          <w:sz w:val="22"/>
          <w:szCs w:val="22"/>
          <w:lang w:val="en-NZ"/>
        </w:rPr>
        <w:t xml:space="preserve"> and </w:t>
      </w:r>
      <w:r w:rsidRPr="00B014EE">
        <w:rPr>
          <w:b/>
          <w:sz w:val="22"/>
          <w:szCs w:val="22"/>
          <w:lang w:val="en-NZ"/>
        </w:rPr>
        <w:t>improvement</w:t>
      </w:r>
      <w:r w:rsidR="00C4004C" w:rsidRPr="00B014EE">
        <w:rPr>
          <w:b/>
          <w:sz w:val="22"/>
          <w:szCs w:val="22"/>
          <w:lang w:val="en-NZ"/>
        </w:rPr>
        <w:t>s to the disciplinary offence regime</w:t>
      </w:r>
      <w:r w:rsidRPr="00B014EE">
        <w:rPr>
          <w:b/>
          <w:sz w:val="22"/>
          <w:szCs w:val="22"/>
          <w:lang w:val="en-NZ"/>
        </w:rPr>
        <w:t xml:space="preserve"> are </w:t>
      </w:r>
      <w:r w:rsidR="00163371" w:rsidRPr="00B014EE">
        <w:rPr>
          <w:b/>
          <w:sz w:val="22"/>
          <w:szCs w:val="22"/>
          <w:lang w:val="en-NZ"/>
        </w:rPr>
        <w:t>also notable</w:t>
      </w:r>
      <w:r w:rsidRPr="00B014EE">
        <w:rPr>
          <w:b/>
          <w:sz w:val="22"/>
          <w:szCs w:val="22"/>
          <w:lang w:val="en-NZ"/>
        </w:rPr>
        <w:t xml:space="preserve"> developments.</w:t>
      </w:r>
    </w:p>
    <w:p w:rsidR="00CE2E47" w:rsidRDefault="00CE2E47" w:rsidP="00CE2E47">
      <w:pPr>
        <w:jc w:val="both"/>
        <w:rPr>
          <w:sz w:val="22"/>
          <w:szCs w:val="22"/>
          <w:lang w:val="en-NZ"/>
        </w:rPr>
      </w:pPr>
    </w:p>
    <w:p w:rsidR="00CE2E47" w:rsidRDefault="003B53EA" w:rsidP="00D54A7C">
      <w:pPr>
        <w:numPr>
          <w:ilvl w:val="1"/>
          <w:numId w:val="3"/>
        </w:numPr>
        <w:tabs>
          <w:tab w:val="clear" w:pos="1080"/>
          <w:tab w:val="num" w:pos="540"/>
        </w:tabs>
        <w:ind w:left="540" w:hanging="540"/>
        <w:jc w:val="both"/>
        <w:rPr>
          <w:sz w:val="22"/>
          <w:szCs w:val="22"/>
        </w:rPr>
      </w:pPr>
      <w:r w:rsidRPr="00A43674">
        <w:rPr>
          <w:sz w:val="22"/>
          <w:szCs w:val="22"/>
          <w:lang w:val="en-NZ"/>
        </w:rPr>
        <w:t>The</w:t>
      </w:r>
      <w:r w:rsidR="00486265" w:rsidRPr="00A43674">
        <w:rPr>
          <w:sz w:val="22"/>
          <w:szCs w:val="22"/>
          <w:lang w:val="en-NZ"/>
        </w:rPr>
        <w:t xml:space="preserve"> </w:t>
      </w:r>
      <w:r w:rsidRPr="00A43674">
        <w:rPr>
          <w:sz w:val="22"/>
          <w:szCs w:val="22"/>
          <w:lang w:val="en-NZ"/>
        </w:rPr>
        <w:t>Corrections</w:t>
      </w:r>
      <w:r w:rsidR="00486265" w:rsidRPr="00A43674">
        <w:rPr>
          <w:sz w:val="22"/>
          <w:szCs w:val="22"/>
          <w:lang w:val="en-NZ"/>
        </w:rPr>
        <w:t xml:space="preserve"> Act </w:t>
      </w:r>
      <w:r w:rsidRPr="00A43674">
        <w:rPr>
          <w:sz w:val="22"/>
          <w:szCs w:val="22"/>
          <w:lang w:val="en-NZ"/>
        </w:rPr>
        <w:t>also ended</w:t>
      </w:r>
      <w:r w:rsidR="00486265" w:rsidRPr="00A43674">
        <w:rPr>
          <w:sz w:val="22"/>
          <w:szCs w:val="22"/>
          <w:lang w:val="en-GB" w:eastAsia="en-GB"/>
        </w:rPr>
        <w:t xml:space="preserve"> </w:t>
      </w:r>
      <w:r w:rsidR="00844AD1" w:rsidRPr="00A43674">
        <w:rPr>
          <w:sz w:val="22"/>
          <w:szCs w:val="22"/>
          <w:lang w:val="en-GB" w:eastAsia="en-GB"/>
        </w:rPr>
        <w:t>contractual arrangements that allow</w:t>
      </w:r>
      <w:r w:rsidR="00486265" w:rsidRPr="00A43674">
        <w:rPr>
          <w:sz w:val="22"/>
          <w:szCs w:val="22"/>
          <w:lang w:val="en-GB" w:eastAsia="en-GB"/>
        </w:rPr>
        <w:t>ed</w:t>
      </w:r>
      <w:r w:rsidR="00844AD1" w:rsidRPr="00A43674">
        <w:rPr>
          <w:sz w:val="22"/>
          <w:szCs w:val="22"/>
          <w:lang w:val="en-GB" w:eastAsia="en-GB"/>
        </w:rPr>
        <w:t xml:space="preserve"> for the private management of prisons</w:t>
      </w:r>
      <w:r w:rsidRPr="00A43674">
        <w:rPr>
          <w:sz w:val="22"/>
          <w:szCs w:val="22"/>
          <w:lang w:val="en-GB" w:eastAsia="en-GB"/>
        </w:rPr>
        <w:t>, an issue that had been</w:t>
      </w:r>
      <w:r w:rsidR="00D83D9C" w:rsidRPr="00A43674">
        <w:rPr>
          <w:sz w:val="22"/>
          <w:szCs w:val="22"/>
          <w:lang w:val="en-NZ"/>
        </w:rPr>
        <w:t xml:space="preserve"> raised by the Human Rights Committee when it last reviewed New Zealand’s compliance with the ICCPR.</w:t>
      </w:r>
      <w:r w:rsidR="00D83D9C" w:rsidRPr="00A43674">
        <w:rPr>
          <w:rStyle w:val="FootnoteReference"/>
          <w:rFonts w:cs="Arial"/>
          <w:sz w:val="22"/>
          <w:szCs w:val="22"/>
          <w:lang w:val="en-NZ"/>
        </w:rPr>
        <w:footnoteReference w:id="10"/>
      </w:r>
      <w:r w:rsidR="008069F6">
        <w:rPr>
          <w:sz w:val="22"/>
          <w:szCs w:val="22"/>
          <w:lang w:val="en-NZ"/>
        </w:rPr>
        <w:t xml:space="preserve">  This issue is now being revisited and is discussed further below.</w:t>
      </w:r>
      <w:r w:rsidR="00E93A73">
        <w:rPr>
          <w:rStyle w:val="FootnoteReference"/>
          <w:sz w:val="22"/>
          <w:szCs w:val="22"/>
          <w:lang w:val="en-NZ"/>
        </w:rPr>
        <w:footnoteReference w:id="11"/>
      </w:r>
    </w:p>
    <w:p w:rsidR="00CE2E47" w:rsidRDefault="00CE2E47" w:rsidP="00CE2E47">
      <w:pPr>
        <w:jc w:val="both"/>
        <w:rPr>
          <w:rFonts w:cs="Arial"/>
          <w:sz w:val="22"/>
          <w:szCs w:val="22"/>
          <w:lang w:val="en-NZ"/>
        </w:rPr>
      </w:pPr>
    </w:p>
    <w:p w:rsidR="000A4A3D" w:rsidRPr="00B014EE" w:rsidRDefault="000A4A3D" w:rsidP="00D54A7C">
      <w:pPr>
        <w:numPr>
          <w:ilvl w:val="1"/>
          <w:numId w:val="3"/>
        </w:numPr>
        <w:tabs>
          <w:tab w:val="clear" w:pos="1080"/>
          <w:tab w:val="num" w:pos="540"/>
        </w:tabs>
        <w:ind w:left="540" w:hanging="540"/>
        <w:jc w:val="both"/>
        <w:rPr>
          <w:b/>
          <w:sz w:val="22"/>
          <w:szCs w:val="22"/>
        </w:rPr>
      </w:pPr>
      <w:r w:rsidRPr="00B014EE">
        <w:rPr>
          <w:rFonts w:cs="Arial"/>
          <w:b/>
          <w:sz w:val="22"/>
          <w:szCs w:val="22"/>
          <w:lang w:val="en-NZ"/>
        </w:rPr>
        <w:t>A</w:t>
      </w:r>
      <w:r w:rsidR="008069F6" w:rsidRPr="00B014EE">
        <w:rPr>
          <w:rFonts w:cs="Arial"/>
          <w:b/>
          <w:sz w:val="22"/>
          <w:szCs w:val="22"/>
          <w:lang w:val="en-NZ"/>
        </w:rPr>
        <w:t xml:space="preserve"> further</w:t>
      </w:r>
      <w:r w:rsidRPr="00B014EE">
        <w:rPr>
          <w:rFonts w:cs="Arial"/>
          <w:b/>
          <w:sz w:val="22"/>
          <w:szCs w:val="22"/>
          <w:lang w:val="en-NZ"/>
        </w:rPr>
        <w:t xml:space="preserve"> amendment to the Corrections Act in 2007 </w:t>
      </w:r>
      <w:r w:rsidR="000255B4" w:rsidRPr="00B014EE">
        <w:rPr>
          <w:b/>
          <w:sz w:val="22"/>
          <w:szCs w:val="22"/>
        </w:rPr>
        <w:t xml:space="preserve">extended the period that children of female prisoners </w:t>
      </w:r>
      <w:r w:rsidR="00EB193D" w:rsidRPr="00B014EE">
        <w:rPr>
          <w:b/>
          <w:sz w:val="22"/>
          <w:szCs w:val="22"/>
        </w:rPr>
        <w:t>may</w:t>
      </w:r>
      <w:r w:rsidR="000255B4" w:rsidRPr="00B014EE">
        <w:rPr>
          <w:b/>
          <w:sz w:val="22"/>
          <w:szCs w:val="22"/>
        </w:rPr>
        <w:t xml:space="preserve"> be accommodated with their mothers for the purposes of breastfeeding and bonding.  Extension of the upper age limit from six to 24 months; explicit inclusion of the child’s best interests as a mandatory consideration; and </w:t>
      </w:r>
      <w:r w:rsidR="000255B4" w:rsidRPr="00B014EE">
        <w:rPr>
          <w:b/>
          <w:sz w:val="22"/>
          <w:szCs w:val="22"/>
          <w:lang w:val="en-NZ"/>
        </w:rPr>
        <w:t>stipulation</w:t>
      </w:r>
      <w:r w:rsidR="000255B4" w:rsidRPr="00B014EE">
        <w:rPr>
          <w:b/>
          <w:sz w:val="22"/>
          <w:szCs w:val="22"/>
        </w:rPr>
        <w:t>s concerning the</w:t>
      </w:r>
      <w:r w:rsidR="000255B4" w:rsidRPr="00B014EE">
        <w:rPr>
          <w:b/>
          <w:sz w:val="22"/>
          <w:szCs w:val="22"/>
          <w:lang w:val="en-NZ"/>
        </w:rPr>
        <w:t xml:space="preserve"> provision of appropriate facilities</w:t>
      </w:r>
      <w:r w:rsidR="000255B4" w:rsidRPr="00B014EE">
        <w:rPr>
          <w:b/>
          <w:sz w:val="22"/>
          <w:szCs w:val="22"/>
        </w:rPr>
        <w:t xml:space="preserve"> (to the extent practicable within available resources)</w:t>
      </w:r>
      <w:r w:rsidR="000255B4" w:rsidRPr="00B014EE">
        <w:rPr>
          <w:b/>
          <w:sz w:val="22"/>
          <w:szCs w:val="22"/>
          <w:lang w:val="en-NZ"/>
        </w:rPr>
        <w:t xml:space="preserve">; </w:t>
      </w:r>
      <w:r w:rsidR="000255B4" w:rsidRPr="00B014EE">
        <w:rPr>
          <w:b/>
          <w:sz w:val="22"/>
          <w:szCs w:val="22"/>
        </w:rPr>
        <w:t xml:space="preserve">are </w:t>
      </w:r>
      <w:r w:rsidR="000255B4" w:rsidRPr="00B014EE">
        <w:rPr>
          <w:b/>
          <w:sz w:val="22"/>
          <w:szCs w:val="22"/>
          <w:lang w:val="en-NZ"/>
        </w:rPr>
        <w:t>positive developments in terms of the rights of imprisoned mothers and their children.</w:t>
      </w:r>
    </w:p>
    <w:p w:rsidR="00CE2E47" w:rsidRPr="00CE2E47" w:rsidRDefault="00CE2E47" w:rsidP="00CE2E47">
      <w:pPr>
        <w:pStyle w:val="Heading3"/>
      </w:pPr>
      <w:bookmarkStart w:id="17" w:name="_Toc222903313"/>
      <w:bookmarkStart w:id="18" w:name="_Toc225333141"/>
      <w:r w:rsidRPr="00CE2E47">
        <w:t>Ombudsmen’s new responsibilities</w:t>
      </w:r>
      <w:bookmarkEnd w:id="17"/>
      <w:bookmarkEnd w:id="18"/>
    </w:p>
    <w:p w:rsidR="00CE2E47" w:rsidRPr="00B014EE" w:rsidRDefault="0029375B" w:rsidP="00D54A7C">
      <w:pPr>
        <w:numPr>
          <w:ilvl w:val="1"/>
          <w:numId w:val="3"/>
        </w:numPr>
        <w:tabs>
          <w:tab w:val="clear" w:pos="1080"/>
          <w:tab w:val="num" w:pos="540"/>
        </w:tabs>
        <w:ind w:left="540" w:hanging="540"/>
        <w:jc w:val="both"/>
        <w:rPr>
          <w:b/>
          <w:sz w:val="22"/>
          <w:szCs w:val="22"/>
        </w:rPr>
      </w:pPr>
      <w:r w:rsidRPr="00B014EE">
        <w:rPr>
          <w:b/>
          <w:sz w:val="22"/>
          <w:szCs w:val="22"/>
        </w:rPr>
        <w:t>Independent oversight of prisons has been enhanced through expansion of the role of the Ombudsmen</w:t>
      </w:r>
      <w:r w:rsidR="00DA5C05" w:rsidRPr="00B014EE">
        <w:rPr>
          <w:b/>
          <w:sz w:val="22"/>
          <w:szCs w:val="22"/>
        </w:rPr>
        <w:t xml:space="preserve"> in relation to prisons</w:t>
      </w:r>
      <w:r w:rsidRPr="00B014EE">
        <w:rPr>
          <w:b/>
          <w:sz w:val="22"/>
          <w:szCs w:val="22"/>
        </w:rPr>
        <w:t xml:space="preserve"> to include new responsibilities for: </w:t>
      </w:r>
      <w:r w:rsidR="003650B2" w:rsidRPr="00B014EE">
        <w:rPr>
          <w:b/>
          <w:sz w:val="22"/>
          <w:szCs w:val="22"/>
        </w:rPr>
        <w:t>investigating</w:t>
      </w:r>
      <w:r w:rsidRPr="00B014EE">
        <w:rPr>
          <w:b/>
          <w:sz w:val="22"/>
          <w:szCs w:val="22"/>
        </w:rPr>
        <w:t xml:space="preserve"> all deaths in custody and designated serious incidents; and undertaking more reviews of systemic issues.</w:t>
      </w:r>
      <w:r w:rsidR="003650B2" w:rsidRPr="00B014EE">
        <w:rPr>
          <w:b/>
          <w:sz w:val="22"/>
          <w:szCs w:val="22"/>
        </w:rPr>
        <w:t xml:space="preserve">  In addition, the Ombudsmen have assumed their NPM monitoring role under OPCAT.</w:t>
      </w:r>
    </w:p>
    <w:p w:rsidR="00CE2E47" w:rsidRPr="00CE2E47" w:rsidRDefault="00CE2E47" w:rsidP="00CE2E47">
      <w:pPr>
        <w:jc w:val="both"/>
        <w:rPr>
          <w:sz w:val="22"/>
          <w:szCs w:val="22"/>
        </w:rPr>
      </w:pPr>
    </w:p>
    <w:p w:rsidR="008E3F11" w:rsidRDefault="008E3F11" w:rsidP="00D54A7C">
      <w:pPr>
        <w:numPr>
          <w:ilvl w:val="1"/>
          <w:numId w:val="3"/>
        </w:numPr>
        <w:tabs>
          <w:tab w:val="clear" w:pos="1080"/>
          <w:tab w:val="num" w:pos="540"/>
        </w:tabs>
        <w:ind w:left="540" w:hanging="540"/>
        <w:jc w:val="both"/>
        <w:rPr>
          <w:sz w:val="22"/>
          <w:szCs w:val="22"/>
        </w:rPr>
      </w:pPr>
      <w:r w:rsidRPr="00CE2E47">
        <w:rPr>
          <w:sz w:val="22"/>
          <w:szCs w:val="22"/>
        </w:rPr>
        <w:t>During the reporting period, the Ombudsmen have also conducted major thematic investigations into issues concerning the corrections system, which are discussed further below.</w:t>
      </w:r>
    </w:p>
    <w:p w:rsidR="00CE2E47" w:rsidRDefault="00CE2E47" w:rsidP="00CE2E47">
      <w:pPr>
        <w:pStyle w:val="Heading3"/>
      </w:pPr>
      <w:bookmarkStart w:id="19" w:name="_Toc225333142"/>
      <w:r>
        <w:lastRenderedPageBreak/>
        <w:t>Ombudsmen’s Investigations</w:t>
      </w:r>
      <w:bookmarkEnd w:id="19"/>
    </w:p>
    <w:p w:rsidR="00CE2E47" w:rsidRPr="00CE2E47" w:rsidRDefault="00E25CB7" w:rsidP="00D54A7C">
      <w:pPr>
        <w:numPr>
          <w:ilvl w:val="1"/>
          <w:numId w:val="3"/>
        </w:numPr>
        <w:tabs>
          <w:tab w:val="clear" w:pos="1080"/>
          <w:tab w:val="num" w:pos="540"/>
        </w:tabs>
        <w:ind w:left="540" w:hanging="540"/>
        <w:jc w:val="both"/>
        <w:rPr>
          <w:sz w:val="22"/>
          <w:szCs w:val="22"/>
        </w:rPr>
      </w:pPr>
      <w:r w:rsidRPr="001E1F88">
        <w:rPr>
          <w:color w:val="000000"/>
          <w:sz w:val="22"/>
          <w:szCs w:val="22"/>
        </w:rPr>
        <w:t xml:space="preserve">In 2005, the Ombudsmen reported on </w:t>
      </w:r>
      <w:r w:rsidR="008069E7" w:rsidRPr="001E1F88">
        <w:rPr>
          <w:color w:val="000000"/>
          <w:sz w:val="22"/>
          <w:szCs w:val="22"/>
        </w:rPr>
        <w:t>their</w:t>
      </w:r>
      <w:r w:rsidR="00CA3677">
        <w:rPr>
          <w:color w:val="000000"/>
          <w:sz w:val="22"/>
          <w:szCs w:val="22"/>
        </w:rPr>
        <w:t xml:space="preserve"> </w:t>
      </w:r>
      <w:r w:rsidR="00CA3677" w:rsidRPr="00CA3677">
        <w:rPr>
          <w:i/>
          <w:color w:val="000000"/>
          <w:sz w:val="22"/>
          <w:szCs w:val="22"/>
        </w:rPr>
        <w:t>I</w:t>
      </w:r>
      <w:r w:rsidRPr="00CA3677">
        <w:rPr>
          <w:i/>
          <w:color w:val="000000"/>
          <w:sz w:val="22"/>
          <w:szCs w:val="22"/>
        </w:rPr>
        <w:t xml:space="preserve">nvestigation </w:t>
      </w:r>
      <w:r w:rsidR="006437BB">
        <w:rPr>
          <w:i/>
          <w:color w:val="000000"/>
          <w:sz w:val="22"/>
          <w:szCs w:val="22"/>
        </w:rPr>
        <w:t>of</w:t>
      </w:r>
      <w:r w:rsidRPr="00CA3677">
        <w:rPr>
          <w:i/>
          <w:color w:val="000000"/>
          <w:sz w:val="22"/>
          <w:szCs w:val="22"/>
        </w:rPr>
        <w:t xml:space="preserve"> the </w:t>
      </w:r>
      <w:r w:rsidR="00CA3677" w:rsidRPr="00CA3677">
        <w:rPr>
          <w:i/>
          <w:color w:val="000000"/>
          <w:sz w:val="22"/>
          <w:szCs w:val="22"/>
        </w:rPr>
        <w:t>Department of Corrections in relation to the</w:t>
      </w:r>
      <w:r w:rsidR="003650B2" w:rsidRPr="00CA3677">
        <w:rPr>
          <w:i/>
          <w:color w:val="000000"/>
          <w:sz w:val="22"/>
          <w:szCs w:val="22"/>
        </w:rPr>
        <w:t xml:space="preserve"> </w:t>
      </w:r>
      <w:r w:rsidRPr="00CA3677">
        <w:rPr>
          <w:i/>
          <w:color w:val="000000"/>
          <w:sz w:val="22"/>
          <w:szCs w:val="22"/>
        </w:rPr>
        <w:t>detention and treatment of prisoners</w:t>
      </w:r>
      <w:r w:rsidRPr="001E1F88">
        <w:rPr>
          <w:color w:val="000000"/>
          <w:sz w:val="22"/>
          <w:szCs w:val="22"/>
        </w:rPr>
        <w:t>.</w:t>
      </w:r>
      <w:r w:rsidR="00513F71" w:rsidRPr="001E1F88">
        <w:rPr>
          <w:rStyle w:val="FootnoteReference"/>
          <w:color w:val="000000"/>
          <w:sz w:val="22"/>
          <w:szCs w:val="22"/>
        </w:rPr>
        <w:footnoteReference w:id="12"/>
      </w:r>
      <w:r w:rsidRPr="001E1F88">
        <w:rPr>
          <w:color w:val="000000"/>
          <w:sz w:val="22"/>
          <w:szCs w:val="22"/>
        </w:rPr>
        <w:t xml:space="preserve">  </w:t>
      </w:r>
      <w:r w:rsidR="00555B77" w:rsidRPr="001E1F88">
        <w:rPr>
          <w:color w:val="000000"/>
          <w:sz w:val="22"/>
          <w:szCs w:val="22"/>
        </w:rPr>
        <w:t xml:space="preserve">While finding </w:t>
      </w:r>
      <w:r w:rsidR="00F67E1B" w:rsidRPr="001E1F88">
        <w:rPr>
          <w:color w:val="000000"/>
          <w:sz w:val="22"/>
          <w:szCs w:val="22"/>
        </w:rPr>
        <w:t>no</w:t>
      </w:r>
      <w:r w:rsidR="00555B77" w:rsidRPr="001E1F88">
        <w:rPr>
          <w:color w:val="000000"/>
          <w:sz w:val="22"/>
          <w:szCs w:val="22"/>
        </w:rPr>
        <w:t xml:space="preserve"> </w:t>
      </w:r>
      <w:r w:rsidR="003E78CA" w:rsidRPr="001E1F88">
        <w:rPr>
          <w:color w:val="000000"/>
          <w:sz w:val="22"/>
          <w:szCs w:val="22"/>
        </w:rPr>
        <w:t xml:space="preserve">systemic ill-treatment </w:t>
      </w:r>
      <w:r w:rsidR="00F67E1B" w:rsidRPr="001E1F88">
        <w:rPr>
          <w:color w:val="000000"/>
          <w:sz w:val="22"/>
          <w:szCs w:val="22"/>
        </w:rPr>
        <w:t xml:space="preserve">or abuse, the Ombudsmen raised a number of issues of concern requiring attention.  </w:t>
      </w:r>
    </w:p>
    <w:p w:rsidR="00CE2E47" w:rsidRDefault="00CE2E47" w:rsidP="00CE2E47">
      <w:pPr>
        <w:jc w:val="both"/>
        <w:rPr>
          <w:sz w:val="22"/>
          <w:szCs w:val="22"/>
        </w:rPr>
      </w:pPr>
    </w:p>
    <w:p w:rsidR="00CE2E47" w:rsidRPr="00CE2E47" w:rsidRDefault="00F67E1B" w:rsidP="00D54A7C">
      <w:pPr>
        <w:numPr>
          <w:ilvl w:val="1"/>
          <w:numId w:val="3"/>
        </w:numPr>
        <w:tabs>
          <w:tab w:val="clear" w:pos="1080"/>
          <w:tab w:val="num" w:pos="540"/>
        </w:tabs>
        <w:ind w:left="540" w:hanging="540"/>
        <w:jc w:val="both"/>
        <w:rPr>
          <w:sz w:val="22"/>
          <w:szCs w:val="22"/>
        </w:rPr>
      </w:pPr>
      <w:r w:rsidRPr="001E1F88">
        <w:rPr>
          <w:color w:val="000000"/>
          <w:sz w:val="22"/>
          <w:szCs w:val="22"/>
        </w:rPr>
        <w:t>These included:</w:t>
      </w:r>
      <w:r w:rsidR="00037522" w:rsidRPr="001E1F88">
        <w:rPr>
          <w:color w:val="000000"/>
          <w:sz w:val="22"/>
          <w:szCs w:val="22"/>
        </w:rPr>
        <w:t xml:space="preserve">  </w:t>
      </w:r>
      <w:r w:rsidR="00555B77" w:rsidRPr="001E1F88">
        <w:rPr>
          <w:color w:val="000000"/>
          <w:sz w:val="22"/>
          <w:szCs w:val="22"/>
        </w:rPr>
        <w:t>lack of work, programmes and other me</w:t>
      </w:r>
      <w:r w:rsidRPr="001E1F88">
        <w:rPr>
          <w:color w:val="000000"/>
          <w:sz w:val="22"/>
          <w:szCs w:val="22"/>
        </w:rPr>
        <w:t>aningful activity; lack of recreation;</w:t>
      </w:r>
      <w:r w:rsidR="000F53B3" w:rsidRPr="001E1F88">
        <w:rPr>
          <w:color w:val="000000"/>
          <w:sz w:val="22"/>
          <w:szCs w:val="22"/>
        </w:rPr>
        <w:t xml:space="preserve"> </w:t>
      </w:r>
      <w:r w:rsidR="00916E8F" w:rsidRPr="001E1F88">
        <w:rPr>
          <w:color w:val="000000"/>
          <w:sz w:val="22"/>
          <w:szCs w:val="22"/>
        </w:rPr>
        <w:t>a policy (the ‘66% rule’) involving postponement of completion of programmes for high risk prisoners until the later stage of a sentence, with implications on the possibility of parole</w:t>
      </w:r>
      <w:r w:rsidR="0051472F" w:rsidRPr="001E1F88">
        <w:rPr>
          <w:color w:val="000000"/>
          <w:sz w:val="22"/>
          <w:szCs w:val="22"/>
        </w:rPr>
        <w:t xml:space="preserve">; </w:t>
      </w:r>
      <w:r w:rsidR="000F53B3" w:rsidRPr="001E1F88">
        <w:rPr>
          <w:color w:val="000000"/>
          <w:sz w:val="22"/>
          <w:szCs w:val="22"/>
        </w:rPr>
        <w:t xml:space="preserve">adequacy of nursing cover and dental services; staff training issues and </w:t>
      </w:r>
      <w:r w:rsidR="0051472F" w:rsidRPr="001E1F88">
        <w:rPr>
          <w:color w:val="000000"/>
          <w:sz w:val="22"/>
          <w:szCs w:val="22"/>
        </w:rPr>
        <w:t xml:space="preserve">need for closer liaison between </w:t>
      </w:r>
      <w:r w:rsidR="00264BC0" w:rsidRPr="001E1F88">
        <w:rPr>
          <w:color w:val="000000"/>
          <w:sz w:val="22"/>
          <w:szCs w:val="22"/>
        </w:rPr>
        <w:t>the</w:t>
      </w:r>
      <w:r w:rsidR="000F53B3" w:rsidRPr="001E1F88">
        <w:rPr>
          <w:color w:val="000000"/>
          <w:sz w:val="22"/>
          <w:szCs w:val="22"/>
        </w:rPr>
        <w:t xml:space="preserve"> National Office and staff in prisons.</w:t>
      </w:r>
    </w:p>
    <w:p w:rsidR="00CE2E47" w:rsidRDefault="00CE2E47" w:rsidP="00CE2E47">
      <w:pPr>
        <w:jc w:val="both"/>
        <w:rPr>
          <w:sz w:val="22"/>
          <w:szCs w:val="22"/>
        </w:rPr>
      </w:pPr>
    </w:p>
    <w:p w:rsidR="00CE2E47" w:rsidRPr="00CE2E47" w:rsidRDefault="0016607B" w:rsidP="00D54A7C">
      <w:pPr>
        <w:numPr>
          <w:ilvl w:val="1"/>
          <w:numId w:val="3"/>
        </w:numPr>
        <w:tabs>
          <w:tab w:val="clear" w:pos="1080"/>
          <w:tab w:val="num" w:pos="540"/>
        </w:tabs>
        <w:ind w:left="540" w:hanging="540"/>
        <w:jc w:val="both"/>
        <w:rPr>
          <w:sz w:val="22"/>
          <w:szCs w:val="22"/>
        </w:rPr>
      </w:pPr>
      <w:r w:rsidRPr="001E1F88">
        <w:rPr>
          <w:color w:val="000000"/>
          <w:sz w:val="22"/>
          <w:szCs w:val="22"/>
        </w:rPr>
        <w:t xml:space="preserve">The Commission notes </w:t>
      </w:r>
      <w:r w:rsidR="001E1F88" w:rsidRPr="001E1F88">
        <w:rPr>
          <w:color w:val="000000"/>
          <w:sz w:val="22"/>
          <w:szCs w:val="22"/>
        </w:rPr>
        <w:t xml:space="preserve">that </w:t>
      </w:r>
      <w:r w:rsidRPr="001E1F88">
        <w:rPr>
          <w:color w:val="000000"/>
          <w:sz w:val="22"/>
          <w:szCs w:val="22"/>
        </w:rPr>
        <w:t xml:space="preserve">progress </w:t>
      </w:r>
      <w:r w:rsidR="001E1F88" w:rsidRPr="001E1F88">
        <w:rPr>
          <w:color w:val="000000"/>
          <w:sz w:val="22"/>
          <w:szCs w:val="22"/>
        </w:rPr>
        <w:t xml:space="preserve">has occurred </w:t>
      </w:r>
      <w:r w:rsidRPr="001E1F88">
        <w:rPr>
          <w:color w:val="000000"/>
          <w:sz w:val="22"/>
          <w:szCs w:val="22"/>
        </w:rPr>
        <w:t>in a number of areas</w:t>
      </w:r>
      <w:r w:rsidR="00B7260D" w:rsidRPr="001E1F88">
        <w:rPr>
          <w:color w:val="000000"/>
          <w:sz w:val="22"/>
          <w:szCs w:val="22"/>
        </w:rPr>
        <w:t xml:space="preserve">, including: </w:t>
      </w:r>
      <w:r w:rsidR="00296DBD" w:rsidRPr="001E1F88">
        <w:rPr>
          <w:rFonts w:cs="Arial"/>
          <w:sz w:val="22"/>
          <w:szCs w:val="22"/>
        </w:rPr>
        <w:t xml:space="preserve">expansion of the Inmate </w:t>
      </w:r>
      <w:r w:rsidR="00296DBD" w:rsidRPr="00CE2E47">
        <w:rPr>
          <w:rFonts w:cs="Arial"/>
          <w:sz w:val="22"/>
          <w:szCs w:val="22"/>
        </w:rPr>
        <w:t>Employment Strategy, release to work scheme and prisoner reintegration</w:t>
      </w:r>
      <w:r w:rsidR="003650B2" w:rsidRPr="00CE2E47">
        <w:rPr>
          <w:rFonts w:cs="Arial"/>
          <w:sz w:val="22"/>
          <w:szCs w:val="22"/>
        </w:rPr>
        <w:t xml:space="preserve"> programmes</w:t>
      </w:r>
      <w:r w:rsidR="00296DBD" w:rsidRPr="00CE2E47">
        <w:rPr>
          <w:rFonts w:cs="Arial"/>
          <w:sz w:val="22"/>
          <w:szCs w:val="22"/>
        </w:rPr>
        <w:t>.</w:t>
      </w:r>
      <w:r w:rsidR="00296DBD" w:rsidRPr="00CE2E47">
        <w:rPr>
          <w:rStyle w:val="FootnoteReference"/>
          <w:rFonts w:cs="Arial"/>
          <w:sz w:val="22"/>
          <w:szCs w:val="22"/>
        </w:rPr>
        <w:footnoteReference w:id="13"/>
      </w:r>
      <w:r w:rsidR="00296DBD" w:rsidRPr="00CE2E47">
        <w:rPr>
          <w:rFonts w:cs="Arial"/>
          <w:sz w:val="22"/>
          <w:szCs w:val="22"/>
        </w:rPr>
        <w:t xml:space="preserve">  Some outstanding issues are discussed further below.</w:t>
      </w:r>
    </w:p>
    <w:p w:rsidR="00CE2E47" w:rsidRDefault="00CE2E47" w:rsidP="00CE2E47">
      <w:pPr>
        <w:jc w:val="both"/>
        <w:rPr>
          <w:sz w:val="22"/>
          <w:szCs w:val="22"/>
          <w:lang w:val="en-NZ"/>
        </w:rPr>
      </w:pPr>
    </w:p>
    <w:p w:rsidR="00CE2E47" w:rsidRDefault="00A807CA" w:rsidP="00D54A7C">
      <w:pPr>
        <w:numPr>
          <w:ilvl w:val="1"/>
          <w:numId w:val="3"/>
        </w:numPr>
        <w:tabs>
          <w:tab w:val="clear" w:pos="1080"/>
          <w:tab w:val="num" w:pos="540"/>
        </w:tabs>
        <w:ind w:left="540" w:hanging="540"/>
        <w:jc w:val="both"/>
        <w:rPr>
          <w:sz w:val="22"/>
          <w:szCs w:val="22"/>
        </w:rPr>
      </w:pPr>
      <w:r w:rsidRPr="001E1F88">
        <w:rPr>
          <w:sz w:val="22"/>
          <w:szCs w:val="22"/>
          <w:lang w:val="en-NZ"/>
        </w:rPr>
        <w:t xml:space="preserve">The 2007 report of the Ombudsmen’s </w:t>
      </w:r>
      <w:r w:rsidR="003650B2" w:rsidRPr="00D154C3">
        <w:rPr>
          <w:i/>
          <w:sz w:val="22"/>
          <w:szCs w:val="22"/>
          <w:lang w:val="en-NZ"/>
        </w:rPr>
        <w:t>I</w:t>
      </w:r>
      <w:r w:rsidRPr="00D154C3">
        <w:rPr>
          <w:i/>
          <w:sz w:val="22"/>
          <w:szCs w:val="22"/>
          <w:lang w:val="en-NZ"/>
        </w:rPr>
        <w:t>nvestigation into</w:t>
      </w:r>
      <w:r w:rsidR="00D154C3">
        <w:rPr>
          <w:i/>
          <w:sz w:val="22"/>
          <w:szCs w:val="22"/>
          <w:lang w:val="en-NZ"/>
        </w:rPr>
        <w:t xml:space="preserve"> the</w:t>
      </w:r>
      <w:r w:rsidRPr="00D154C3">
        <w:rPr>
          <w:i/>
          <w:sz w:val="22"/>
          <w:szCs w:val="22"/>
          <w:lang w:val="en-NZ"/>
        </w:rPr>
        <w:t xml:space="preserve"> </w:t>
      </w:r>
      <w:r w:rsidR="003650B2" w:rsidRPr="00D154C3">
        <w:rPr>
          <w:i/>
          <w:sz w:val="22"/>
          <w:szCs w:val="22"/>
          <w:lang w:val="en-NZ"/>
        </w:rPr>
        <w:t>T</w:t>
      </w:r>
      <w:r w:rsidRPr="00D154C3">
        <w:rPr>
          <w:i/>
          <w:sz w:val="22"/>
          <w:szCs w:val="22"/>
          <w:lang w:val="en-NZ"/>
        </w:rPr>
        <w:t>ransport</w:t>
      </w:r>
      <w:r w:rsidR="00D154C3">
        <w:rPr>
          <w:i/>
          <w:sz w:val="22"/>
          <w:szCs w:val="22"/>
          <w:lang w:val="en-NZ"/>
        </w:rPr>
        <w:t xml:space="preserve"> of</w:t>
      </w:r>
      <w:r w:rsidR="00D154C3" w:rsidRPr="00D154C3">
        <w:rPr>
          <w:i/>
          <w:sz w:val="22"/>
          <w:szCs w:val="22"/>
          <w:lang w:val="en-NZ"/>
        </w:rPr>
        <w:t xml:space="preserve"> Prisoner</w:t>
      </w:r>
      <w:r w:rsidR="00D154C3">
        <w:rPr>
          <w:i/>
          <w:sz w:val="22"/>
          <w:szCs w:val="22"/>
          <w:lang w:val="en-NZ"/>
        </w:rPr>
        <w:t>s</w:t>
      </w:r>
      <w:r w:rsidR="00D154C3" w:rsidRPr="00D154C3">
        <w:rPr>
          <w:i/>
          <w:sz w:val="22"/>
          <w:szCs w:val="22"/>
          <w:lang w:val="en-NZ"/>
        </w:rPr>
        <w:t xml:space="preserve"> </w:t>
      </w:r>
      <w:r w:rsidR="00513F71" w:rsidRPr="001E1F88">
        <w:rPr>
          <w:rStyle w:val="FootnoteReference"/>
          <w:sz w:val="22"/>
          <w:szCs w:val="22"/>
          <w:lang w:val="en-NZ"/>
        </w:rPr>
        <w:footnoteReference w:id="14"/>
      </w:r>
      <w:r w:rsidRPr="001E1F88">
        <w:rPr>
          <w:sz w:val="22"/>
          <w:szCs w:val="22"/>
          <w:lang w:val="en-NZ"/>
        </w:rPr>
        <w:t xml:space="preserve"> concluded that many aspects of prisoner transport fell short of the standard necessary for safe and humane transport. </w:t>
      </w:r>
      <w:r w:rsidR="0059068C" w:rsidRPr="001E1F88">
        <w:rPr>
          <w:sz w:val="22"/>
          <w:szCs w:val="22"/>
          <w:lang w:val="en-NZ"/>
        </w:rPr>
        <w:t xml:space="preserve"> The Ombudsmen’s recommendations highlighted, among other things</w:t>
      </w:r>
      <w:r w:rsidR="00E62AA2" w:rsidRPr="001E1F88">
        <w:rPr>
          <w:sz w:val="22"/>
          <w:szCs w:val="22"/>
          <w:lang w:val="en-NZ"/>
        </w:rPr>
        <w:t>,</w:t>
      </w:r>
      <w:r w:rsidR="0059068C" w:rsidRPr="001E1F88">
        <w:rPr>
          <w:sz w:val="22"/>
          <w:szCs w:val="22"/>
          <w:lang w:val="en-NZ"/>
        </w:rPr>
        <w:t xml:space="preserve"> the need for</w:t>
      </w:r>
      <w:r w:rsidR="00E62AA2" w:rsidRPr="001E1F88">
        <w:rPr>
          <w:sz w:val="22"/>
          <w:szCs w:val="22"/>
          <w:lang w:val="en-NZ"/>
        </w:rPr>
        <w:t>:</w:t>
      </w:r>
      <w:r w:rsidR="0059068C" w:rsidRPr="001E1F88">
        <w:rPr>
          <w:sz w:val="22"/>
          <w:szCs w:val="22"/>
          <w:lang w:val="en-NZ"/>
        </w:rPr>
        <w:t xml:space="preserve"> improved surveillance and communication during transport;</w:t>
      </w:r>
      <w:r w:rsidR="00B65E0C" w:rsidRPr="001E1F88">
        <w:rPr>
          <w:sz w:val="22"/>
          <w:szCs w:val="22"/>
          <w:lang w:val="en-NZ"/>
        </w:rPr>
        <w:t xml:space="preserve"> </w:t>
      </w:r>
      <w:r w:rsidR="00E62AA2" w:rsidRPr="001E1F88">
        <w:rPr>
          <w:sz w:val="22"/>
          <w:szCs w:val="22"/>
          <w:lang w:val="en-NZ"/>
        </w:rPr>
        <w:t>alignment of</w:t>
      </w:r>
      <w:r w:rsidR="00B65E0C" w:rsidRPr="001E1F88">
        <w:rPr>
          <w:sz w:val="22"/>
          <w:szCs w:val="22"/>
          <w:lang w:val="en-NZ"/>
        </w:rPr>
        <w:t xml:space="preserve"> Police and Corrections’ definitions of young</w:t>
      </w:r>
      <w:r w:rsidR="00E62AA2" w:rsidRPr="001E1F88">
        <w:rPr>
          <w:sz w:val="22"/>
          <w:szCs w:val="22"/>
          <w:lang w:val="en-NZ"/>
        </w:rPr>
        <w:t xml:space="preserve"> </w:t>
      </w:r>
      <w:r w:rsidR="00B65E0C" w:rsidRPr="001E1F88">
        <w:rPr>
          <w:sz w:val="22"/>
          <w:szCs w:val="22"/>
          <w:lang w:val="en-NZ"/>
        </w:rPr>
        <w:t xml:space="preserve">prisoners; </w:t>
      </w:r>
      <w:r w:rsidR="00E62AA2" w:rsidRPr="001E1F88">
        <w:rPr>
          <w:sz w:val="22"/>
          <w:szCs w:val="22"/>
          <w:lang w:val="en-NZ"/>
        </w:rPr>
        <w:t xml:space="preserve">review of the Department’s vehicle fleet; </w:t>
      </w:r>
      <w:r w:rsidR="00B65E0C" w:rsidRPr="001E1F88">
        <w:rPr>
          <w:sz w:val="22"/>
          <w:szCs w:val="22"/>
          <w:lang w:val="en-NZ"/>
        </w:rPr>
        <w:t>and national standards in a number of areas.</w:t>
      </w:r>
    </w:p>
    <w:p w:rsidR="00CE2E47" w:rsidRDefault="00CE2E47" w:rsidP="00CE2E47">
      <w:pPr>
        <w:jc w:val="both"/>
        <w:rPr>
          <w:sz w:val="22"/>
          <w:szCs w:val="22"/>
          <w:lang w:val="en-NZ"/>
        </w:rPr>
      </w:pPr>
    </w:p>
    <w:p w:rsidR="00CE2E47" w:rsidRDefault="008853AE" w:rsidP="00D54A7C">
      <w:pPr>
        <w:numPr>
          <w:ilvl w:val="1"/>
          <w:numId w:val="3"/>
        </w:numPr>
        <w:tabs>
          <w:tab w:val="clear" w:pos="1080"/>
          <w:tab w:val="num" w:pos="540"/>
        </w:tabs>
        <w:ind w:left="540" w:hanging="540"/>
        <w:jc w:val="both"/>
        <w:rPr>
          <w:sz w:val="22"/>
          <w:szCs w:val="22"/>
        </w:rPr>
      </w:pPr>
      <w:r w:rsidRPr="001E1F88">
        <w:rPr>
          <w:sz w:val="22"/>
          <w:szCs w:val="22"/>
          <w:lang w:val="en-NZ"/>
        </w:rPr>
        <w:t>The Commission notes actions taken</w:t>
      </w:r>
      <w:r w:rsidR="00B802F0" w:rsidRPr="001E1F88">
        <w:rPr>
          <w:sz w:val="22"/>
          <w:szCs w:val="22"/>
          <w:lang w:val="en-NZ"/>
        </w:rPr>
        <w:t xml:space="preserve"> by the Department of Corrections</w:t>
      </w:r>
      <w:r w:rsidRPr="001E1F88">
        <w:rPr>
          <w:sz w:val="22"/>
          <w:szCs w:val="22"/>
          <w:lang w:val="en-NZ"/>
        </w:rPr>
        <w:t xml:space="preserve"> to progress the Ombudsmen’s recommendations</w:t>
      </w:r>
      <w:r w:rsidR="00B802F0" w:rsidRPr="001E1F88">
        <w:rPr>
          <w:sz w:val="22"/>
          <w:szCs w:val="22"/>
          <w:lang w:val="en-NZ"/>
        </w:rPr>
        <w:t>.  These</w:t>
      </w:r>
      <w:r w:rsidRPr="001E1F88">
        <w:rPr>
          <w:sz w:val="22"/>
          <w:szCs w:val="22"/>
          <w:lang w:val="en-NZ"/>
        </w:rPr>
        <w:t xml:space="preserve"> have included: </w:t>
      </w:r>
      <w:r w:rsidR="00E62AA2" w:rsidRPr="001E1F88">
        <w:rPr>
          <w:sz w:val="22"/>
          <w:szCs w:val="22"/>
          <w:lang w:val="en-NZ"/>
        </w:rPr>
        <w:t xml:space="preserve">the establishment of a project to review prisoner transport; </w:t>
      </w:r>
      <w:r w:rsidRPr="001E1F88">
        <w:rPr>
          <w:sz w:val="22"/>
          <w:szCs w:val="22"/>
          <w:lang w:val="en-NZ"/>
        </w:rPr>
        <w:t xml:space="preserve">steps to better ensure the separation </w:t>
      </w:r>
      <w:r w:rsidR="00F65ADD" w:rsidRPr="001E1F88">
        <w:rPr>
          <w:sz w:val="22"/>
          <w:szCs w:val="22"/>
          <w:lang w:val="en-NZ"/>
        </w:rPr>
        <w:t>of young prisoners from adults; improve</w:t>
      </w:r>
      <w:r w:rsidR="00B802F0" w:rsidRPr="001E1F88">
        <w:rPr>
          <w:sz w:val="22"/>
          <w:szCs w:val="22"/>
          <w:lang w:val="en-NZ"/>
        </w:rPr>
        <w:t>ments to</w:t>
      </w:r>
      <w:r w:rsidR="00F65ADD" w:rsidRPr="001E1F88">
        <w:rPr>
          <w:sz w:val="22"/>
          <w:szCs w:val="22"/>
          <w:lang w:val="en-NZ"/>
        </w:rPr>
        <w:t xml:space="preserve"> the provision of food and water; and introduction of mandatory rest breaks on longer journeys.</w:t>
      </w:r>
      <w:r w:rsidR="0070789F" w:rsidRPr="001E1F88">
        <w:rPr>
          <w:rStyle w:val="FootnoteReference"/>
          <w:sz w:val="22"/>
          <w:szCs w:val="22"/>
          <w:lang w:val="en-NZ"/>
        </w:rPr>
        <w:footnoteReference w:id="15"/>
      </w:r>
      <w:r w:rsidR="00F65ADD" w:rsidRPr="001E1F88">
        <w:rPr>
          <w:sz w:val="22"/>
          <w:szCs w:val="22"/>
          <w:lang w:val="en-NZ"/>
        </w:rPr>
        <w:t xml:space="preserve">  </w:t>
      </w:r>
    </w:p>
    <w:p w:rsidR="00CE2E47" w:rsidRPr="00C5625B" w:rsidRDefault="00CE2E47" w:rsidP="00CE2E47">
      <w:pPr>
        <w:jc w:val="both"/>
        <w:rPr>
          <w:sz w:val="22"/>
          <w:szCs w:val="22"/>
        </w:rPr>
      </w:pPr>
    </w:p>
    <w:p w:rsidR="00CE2E47" w:rsidRPr="00C15E7B" w:rsidRDefault="00E35DF4" w:rsidP="00D54A7C">
      <w:pPr>
        <w:numPr>
          <w:ilvl w:val="1"/>
          <w:numId w:val="3"/>
        </w:numPr>
        <w:tabs>
          <w:tab w:val="clear" w:pos="1080"/>
          <w:tab w:val="num" w:pos="540"/>
        </w:tabs>
        <w:ind w:left="540" w:hanging="540"/>
        <w:jc w:val="both"/>
        <w:rPr>
          <w:b/>
          <w:sz w:val="22"/>
          <w:szCs w:val="22"/>
        </w:rPr>
      </w:pPr>
      <w:r w:rsidRPr="00C15E7B">
        <w:rPr>
          <w:b/>
          <w:sz w:val="22"/>
          <w:szCs w:val="22"/>
          <w:lang w:val="en-NZ"/>
        </w:rPr>
        <w:t>As a means of preventing prisoner assaults t</w:t>
      </w:r>
      <w:r w:rsidR="009D5D79" w:rsidRPr="00C15E7B">
        <w:rPr>
          <w:b/>
          <w:sz w:val="22"/>
          <w:szCs w:val="22"/>
          <w:lang w:val="en-NZ"/>
        </w:rPr>
        <w:t xml:space="preserve">he Department has introduced the use of waist restraints </w:t>
      </w:r>
      <w:r w:rsidR="00BE7BDF" w:rsidRPr="00C15E7B">
        <w:rPr>
          <w:b/>
          <w:sz w:val="22"/>
          <w:szCs w:val="22"/>
          <w:lang w:val="en-NZ"/>
        </w:rPr>
        <w:t xml:space="preserve">as a general practice </w:t>
      </w:r>
      <w:r w:rsidR="009D5D79" w:rsidRPr="00C15E7B">
        <w:rPr>
          <w:b/>
          <w:sz w:val="22"/>
          <w:szCs w:val="22"/>
          <w:lang w:val="en-NZ"/>
        </w:rPr>
        <w:t>during</w:t>
      </w:r>
      <w:r w:rsidR="0034710C" w:rsidRPr="00C15E7B">
        <w:rPr>
          <w:b/>
          <w:sz w:val="22"/>
          <w:szCs w:val="22"/>
          <w:lang w:val="en-NZ"/>
        </w:rPr>
        <w:t xml:space="preserve"> prisoner</w:t>
      </w:r>
      <w:r w:rsidR="009D5D79" w:rsidRPr="00C15E7B">
        <w:rPr>
          <w:b/>
          <w:sz w:val="22"/>
          <w:szCs w:val="22"/>
          <w:lang w:val="en-NZ"/>
        </w:rPr>
        <w:t xml:space="preserve"> transport</w:t>
      </w:r>
      <w:r w:rsidRPr="00C15E7B">
        <w:rPr>
          <w:b/>
          <w:sz w:val="22"/>
          <w:szCs w:val="22"/>
          <w:lang w:val="en-NZ"/>
        </w:rPr>
        <w:t xml:space="preserve">.  </w:t>
      </w:r>
      <w:r w:rsidR="009D5D79" w:rsidRPr="00C15E7B">
        <w:rPr>
          <w:b/>
          <w:sz w:val="22"/>
          <w:szCs w:val="22"/>
          <w:lang w:val="en-NZ"/>
        </w:rPr>
        <w:t xml:space="preserve">The Commission </w:t>
      </w:r>
      <w:r w:rsidR="00BE7BDF" w:rsidRPr="00C15E7B">
        <w:rPr>
          <w:b/>
          <w:sz w:val="22"/>
          <w:szCs w:val="22"/>
          <w:lang w:val="en-NZ"/>
        </w:rPr>
        <w:t>shares the Ombudsmen</w:t>
      </w:r>
      <w:r w:rsidR="001E1F88" w:rsidRPr="00C15E7B">
        <w:rPr>
          <w:b/>
          <w:sz w:val="22"/>
          <w:szCs w:val="22"/>
          <w:lang w:val="en-NZ"/>
        </w:rPr>
        <w:t>’s concerns about this practice</w:t>
      </w:r>
      <w:r w:rsidR="00BE7BDF" w:rsidRPr="00C15E7B">
        <w:rPr>
          <w:b/>
          <w:sz w:val="22"/>
          <w:szCs w:val="22"/>
          <w:lang w:val="en-NZ"/>
        </w:rPr>
        <w:t xml:space="preserve"> and </w:t>
      </w:r>
      <w:r w:rsidR="0016607B" w:rsidRPr="00C15E7B">
        <w:rPr>
          <w:b/>
          <w:sz w:val="22"/>
          <w:szCs w:val="22"/>
          <w:lang w:val="en-NZ"/>
        </w:rPr>
        <w:t xml:space="preserve">supports </w:t>
      </w:r>
      <w:r w:rsidR="00BE7BDF" w:rsidRPr="00C15E7B">
        <w:rPr>
          <w:b/>
          <w:sz w:val="22"/>
          <w:szCs w:val="22"/>
          <w:lang w:val="en-NZ"/>
        </w:rPr>
        <w:t xml:space="preserve">their </w:t>
      </w:r>
      <w:r w:rsidR="00474CCA" w:rsidRPr="00C15E7B">
        <w:rPr>
          <w:b/>
          <w:sz w:val="22"/>
          <w:szCs w:val="22"/>
          <w:lang w:val="en-NZ"/>
        </w:rPr>
        <w:t>recommendation</w:t>
      </w:r>
      <w:r w:rsidR="00BE7BDF" w:rsidRPr="00C15E7B">
        <w:rPr>
          <w:b/>
          <w:sz w:val="22"/>
          <w:szCs w:val="22"/>
          <w:lang w:val="en-NZ"/>
        </w:rPr>
        <w:t xml:space="preserve"> that a more suitable solution</w:t>
      </w:r>
      <w:r w:rsidR="0034710C" w:rsidRPr="00C15E7B">
        <w:rPr>
          <w:b/>
          <w:sz w:val="22"/>
          <w:szCs w:val="22"/>
          <w:lang w:val="en-NZ"/>
        </w:rPr>
        <w:t xml:space="preserve"> </w:t>
      </w:r>
      <w:r w:rsidR="00CB297B" w:rsidRPr="00C15E7B">
        <w:rPr>
          <w:b/>
          <w:sz w:val="22"/>
          <w:szCs w:val="22"/>
          <w:lang w:val="en-NZ"/>
        </w:rPr>
        <w:t>should be</w:t>
      </w:r>
      <w:r w:rsidR="00BE7BDF" w:rsidRPr="00C15E7B">
        <w:rPr>
          <w:b/>
          <w:sz w:val="22"/>
          <w:szCs w:val="22"/>
          <w:lang w:val="en-NZ"/>
        </w:rPr>
        <w:t xml:space="preserve"> devised through the Department’s prisoner transport project.</w:t>
      </w:r>
      <w:r w:rsidR="001E1F88" w:rsidRPr="00C15E7B">
        <w:rPr>
          <w:rStyle w:val="FootnoteReference"/>
          <w:b/>
          <w:sz w:val="22"/>
          <w:szCs w:val="22"/>
          <w:lang w:val="en-NZ"/>
        </w:rPr>
        <w:t xml:space="preserve"> </w:t>
      </w:r>
      <w:r w:rsidR="001E1F88" w:rsidRPr="00C15E7B">
        <w:rPr>
          <w:rStyle w:val="FootnoteReference"/>
          <w:b/>
          <w:sz w:val="22"/>
          <w:szCs w:val="22"/>
          <w:lang w:val="en-NZ"/>
        </w:rPr>
        <w:footnoteReference w:id="16"/>
      </w:r>
      <w:r w:rsidR="00BE7BDF" w:rsidRPr="00C15E7B">
        <w:rPr>
          <w:b/>
          <w:sz w:val="22"/>
          <w:szCs w:val="22"/>
          <w:lang w:val="en-NZ"/>
        </w:rPr>
        <w:t xml:space="preserve">  </w:t>
      </w:r>
    </w:p>
    <w:p w:rsidR="00CE2E47" w:rsidRDefault="00CE2E47" w:rsidP="00CE2E47">
      <w:pPr>
        <w:jc w:val="both"/>
        <w:rPr>
          <w:sz w:val="22"/>
          <w:szCs w:val="22"/>
        </w:rPr>
      </w:pPr>
    </w:p>
    <w:p w:rsidR="00AE1AD8" w:rsidRPr="00CE2E47" w:rsidRDefault="001531EE" w:rsidP="00D54A7C">
      <w:pPr>
        <w:numPr>
          <w:ilvl w:val="1"/>
          <w:numId w:val="3"/>
        </w:numPr>
        <w:tabs>
          <w:tab w:val="clear" w:pos="1080"/>
          <w:tab w:val="num" w:pos="540"/>
        </w:tabs>
        <w:ind w:left="540" w:hanging="540"/>
        <w:jc w:val="both"/>
        <w:rPr>
          <w:sz w:val="22"/>
          <w:szCs w:val="22"/>
        </w:rPr>
      </w:pPr>
      <w:r w:rsidRPr="001E1F88">
        <w:rPr>
          <w:sz w:val="22"/>
          <w:szCs w:val="22"/>
        </w:rPr>
        <w:t>The Ombudsman’s 2007</w:t>
      </w:r>
      <w:r w:rsidR="00AE1AD8" w:rsidRPr="001E1F88">
        <w:rPr>
          <w:sz w:val="22"/>
          <w:szCs w:val="22"/>
        </w:rPr>
        <w:t xml:space="preserve"> </w:t>
      </w:r>
      <w:r w:rsidR="00AE1AD8" w:rsidRPr="001E1F88">
        <w:rPr>
          <w:i/>
          <w:sz w:val="22"/>
          <w:szCs w:val="22"/>
        </w:rPr>
        <w:t>Investigation into Issues Involving the Criminal Justice Sector</w:t>
      </w:r>
      <w:r w:rsidR="00AE1AD8" w:rsidRPr="001E1F88">
        <w:rPr>
          <w:sz w:val="22"/>
          <w:szCs w:val="22"/>
        </w:rPr>
        <w:t xml:space="preserve"> </w:t>
      </w:r>
      <w:r w:rsidR="00513F71" w:rsidRPr="001E1F88">
        <w:rPr>
          <w:sz w:val="22"/>
          <w:szCs w:val="22"/>
        </w:rPr>
        <w:t>also raised issues concernin</w:t>
      </w:r>
      <w:r w:rsidRPr="001E1F88">
        <w:rPr>
          <w:sz w:val="22"/>
          <w:szCs w:val="22"/>
        </w:rPr>
        <w:t>g the Department of Co</w:t>
      </w:r>
      <w:r w:rsidR="001E1F88" w:rsidRPr="001E1F88">
        <w:rPr>
          <w:sz w:val="22"/>
          <w:szCs w:val="22"/>
        </w:rPr>
        <w:t>rrections, noting that a number of problems</w:t>
      </w:r>
      <w:r w:rsidR="00513F71" w:rsidRPr="001E1F88">
        <w:rPr>
          <w:sz w:val="22"/>
          <w:szCs w:val="22"/>
        </w:rPr>
        <w:t xml:space="preserve"> </w:t>
      </w:r>
      <w:r w:rsidRPr="001E1F88">
        <w:rPr>
          <w:sz w:val="22"/>
          <w:szCs w:val="22"/>
        </w:rPr>
        <w:t xml:space="preserve">have been exacerbated by the pressures arising from </w:t>
      </w:r>
      <w:r w:rsidR="001E1F88" w:rsidRPr="001E1F88">
        <w:rPr>
          <w:sz w:val="22"/>
          <w:szCs w:val="22"/>
        </w:rPr>
        <w:t>growth in the prison population</w:t>
      </w:r>
      <w:r w:rsidRPr="001E1F88">
        <w:rPr>
          <w:sz w:val="22"/>
          <w:szCs w:val="22"/>
        </w:rPr>
        <w:t xml:space="preserve"> and other issues such as recruitment and training</w:t>
      </w:r>
      <w:r w:rsidR="00AE1AD8" w:rsidRPr="001E1F88">
        <w:rPr>
          <w:sz w:val="22"/>
          <w:szCs w:val="22"/>
          <w:lang w:val="en-NZ"/>
        </w:rPr>
        <w:t>.</w:t>
      </w:r>
      <w:r w:rsidR="00AE1AD8" w:rsidRPr="001E1F88">
        <w:rPr>
          <w:rStyle w:val="FootnoteReference"/>
          <w:sz w:val="22"/>
          <w:szCs w:val="22"/>
          <w:lang w:val="en-NZ"/>
        </w:rPr>
        <w:footnoteReference w:id="17"/>
      </w:r>
    </w:p>
    <w:p w:rsidR="00CE2E47" w:rsidRPr="001245E3" w:rsidRDefault="00CE2E47" w:rsidP="00CE2E47">
      <w:pPr>
        <w:pStyle w:val="Heading3"/>
      </w:pPr>
      <w:bookmarkStart w:id="20" w:name="_Toc222903315"/>
      <w:bookmarkStart w:id="21" w:name="_Toc225333143"/>
      <w:r w:rsidRPr="001245E3">
        <w:t>Mental health</w:t>
      </w:r>
      <w:bookmarkEnd w:id="20"/>
      <w:r>
        <w:t xml:space="preserve"> issues</w:t>
      </w:r>
      <w:bookmarkEnd w:id="21"/>
    </w:p>
    <w:p w:rsidR="00CE2E47" w:rsidRPr="00CE2E47" w:rsidRDefault="00CE2E47" w:rsidP="00D54A7C">
      <w:pPr>
        <w:numPr>
          <w:ilvl w:val="1"/>
          <w:numId w:val="3"/>
        </w:numPr>
        <w:tabs>
          <w:tab w:val="clear" w:pos="1080"/>
          <w:tab w:val="num" w:pos="540"/>
        </w:tabs>
        <w:ind w:left="540" w:hanging="540"/>
        <w:jc w:val="both"/>
        <w:rPr>
          <w:sz w:val="22"/>
          <w:szCs w:val="22"/>
        </w:rPr>
      </w:pPr>
      <w:r w:rsidRPr="003C4E6C">
        <w:rPr>
          <w:rFonts w:cs="Arial"/>
          <w:color w:val="000000"/>
          <w:sz w:val="22"/>
          <w:szCs w:val="22"/>
        </w:rPr>
        <w:t>Serious mental illnesses (psychotic illness, bipolar mood disorder and major depression) are over represented in prison, with an estimated 15</w:t>
      </w:r>
      <w:r>
        <w:rPr>
          <w:rFonts w:cs="Arial"/>
          <w:color w:val="000000"/>
          <w:sz w:val="22"/>
          <w:szCs w:val="22"/>
        </w:rPr>
        <w:t>-25</w:t>
      </w:r>
      <w:r w:rsidRPr="003C4E6C">
        <w:rPr>
          <w:rFonts w:cs="Arial"/>
          <w:color w:val="000000"/>
          <w:sz w:val="22"/>
          <w:szCs w:val="22"/>
        </w:rPr>
        <w:t xml:space="preserve">% of </w:t>
      </w:r>
      <w:r w:rsidRPr="00CE2E47">
        <w:rPr>
          <w:rFonts w:cs="Arial"/>
          <w:color w:val="000000"/>
          <w:sz w:val="22"/>
          <w:szCs w:val="22"/>
        </w:rPr>
        <w:t>prisoners in need of specialist mental health care, and 80% affected by substance misuse problems.</w:t>
      </w:r>
      <w:r w:rsidRPr="00CE2E47">
        <w:rPr>
          <w:rStyle w:val="FootnoteReference"/>
          <w:rFonts w:cs="Arial"/>
          <w:color w:val="000000"/>
          <w:sz w:val="22"/>
          <w:szCs w:val="22"/>
        </w:rPr>
        <w:footnoteReference w:id="18"/>
      </w:r>
      <w:r w:rsidRPr="00CE2E47">
        <w:rPr>
          <w:rFonts w:cs="Arial"/>
          <w:color w:val="000000"/>
          <w:sz w:val="22"/>
          <w:szCs w:val="22"/>
        </w:rPr>
        <w:t xml:space="preserve">  </w:t>
      </w:r>
    </w:p>
    <w:p w:rsidR="00CE2E47" w:rsidRPr="00CE2E47" w:rsidRDefault="00CE2E47" w:rsidP="00CE2E47">
      <w:pPr>
        <w:jc w:val="both"/>
        <w:rPr>
          <w:sz w:val="22"/>
          <w:szCs w:val="22"/>
        </w:rPr>
      </w:pPr>
    </w:p>
    <w:p w:rsidR="00CE2E47" w:rsidRDefault="00EF7A2A" w:rsidP="00D54A7C">
      <w:pPr>
        <w:numPr>
          <w:ilvl w:val="1"/>
          <w:numId w:val="3"/>
        </w:numPr>
        <w:tabs>
          <w:tab w:val="clear" w:pos="1080"/>
          <w:tab w:val="num" w:pos="540"/>
        </w:tabs>
        <w:ind w:left="540" w:hanging="540"/>
        <w:jc w:val="both"/>
        <w:rPr>
          <w:sz w:val="22"/>
          <w:szCs w:val="22"/>
        </w:rPr>
      </w:pPr>
      <w:r w:rsidRPr="00CE2E47">
        <w:rPr>
          <w:sz w:val="22"/>
          <w:szCs w:val="22"/>
        </w:rPr>
        <w:t xml:space="preserve">The Commission’s 2004 research identified issues regarding the conditions for people in prisons who have disabilities or mental illnesses. The availability and accessibility of appropriate facilities and services, and the lack of data on disabled people in prison were among the concerns raised. </w:t>
      </w:r>
      <w:r w:rsidR="00234E6E" w:rsidRPr="00CE2E47">
        <w:rPr>
          <w:sz w:val="22"/>
          <w:szCs w:val="22"/>
        </w:rPr>
        <w:t xml:space="preserve"> These remain ongoing issues of concern.</w:t>
      </w:r>
    </w:p>
    <w:p w:rsidR="00CE2E47" w:rsidRDefault="00CE2E47" w:rsidP="00CE2E47">
      <w:pPr>
        <w:jc w:val="both"/>
        <w:rPr>
          <w:color w:val="000000"/>
          <w:sz w:val="22"/>
          <w:szCs w:val="22"/>
          <w:lang w:val="en-NZ"/>
        </w:rPr>
      </w:pPr>
    </w:p>
    <w:p w:rsidR="00CE2E47" w:rsidRDefault="00234E6E" w:rsidP="00D54A7C">
      <w:pPr>
        <w:numPr>
          <w:ilvl w:val="1"/>
          <w:numId w:val="3"/>
        </w:numPr>
        <w:tabs>
          <w:tab w:val="clear" w:pos="1080"/>
          <w:tab w:val="num" w:pos="540"/>
        </w:tabs>
        <w:ind w:left="540" w:hanging="540"/>
        <w:jc w:val="both"/>
        <w:rPr>
          <w:sz w:val="22"/>
          <w:szCs w:val="22"/>
        </w:rPr>
      </w:pPr>
      <w:r w:rsidRPr="00CE2E47">
        <w:rPr>
          <w:color w:val="000000"/>
          <w:sz w:val="22"/>
          <w:szCs w:val="22"/>
          <w:lang w:val="en-NZ"/>
        </w:rPr>
        <w:t>T</w:t>
      </w:r>
      <w:r w:rsidR="00EF7A2A" w:rsidRPr="00CE2E47">
        <w:rPr>
          <w:color w:val="000000"/>
          <w:sz w:val="22"/>
          <w:szCs w:val="22"/>
          <w:lang w:val="en-NZ"/>
        </w:rPr>
        <w:t xml:space="preserve">he </w:t>
      </w:r>
      <w:r w:rsidRPr="00CE2E47">
        <w:rPr>
          <w:color w:val="000000"/>
          <w:sz w:val="22"/>
          <w:szCs w:val="22"/>
          <w:lang w:val="en-NZ"/>
        </w:rPr>
        <w:t xml:space="preserve">continued </w:t>
      </w:r>
      <w:r w:rsidR="00EF7A2A" w:rsidRPr="00CE2E47">
        <w:rPr>
          <w:color w:val="000000"/>
          <w:sz w:val="22"/>
          <w:szCs w:val="22"/>
          <w:lang w:val="en-NZ"/>
        </w:rPr>
        <w:t>need for quality data</w:t>
      </w:r>
      <w:r w:rsidR="00EF7A2A" w:rsidRPr="00CE2E47">
        <w:rPr>
          <w:color w:val="000000"/>
          <w:sz w:val="22"/>
          <w:szCs w:val="22"/>
        </w:rPr>
        <w:t xml:space="preserve"> on prisoners’ mental health needs could be advanced through the full implementation of</w:t>
      </w:r>
      <w:r w:rsidR="00EF7A2A" w:rsidRPr="002D3EC7">
        <w:rPr>
          <w:color w:val="000000"/>
          <w:sz w:val="22"/>
          <w:szCs w:val="22"/>
        </w:rPr>
        <w:t xml:space="preserve"> a mental health screening tool that has been developed and trialled, and through additional periodic screening.</w:t>
      </w:r>
    </w:p>
    <w:p w:rsidR="00CE2E47" w:rsidRDefault="00CE2E47" w:rsidP="00CE2E47">
      <w:pPr>
        <w:jc w:val="both"/>
        <w:rPr>
          <w:color w:val="000000"/>
          <w:sz w:val="22"/>
          <w:szCs w:val="22"/>
        </w:rPr>
      </w:pPr>
    </w:p>
    <w:p w:rsidR="00CE2E47" w:rsidRDefault="00EF7A2A" w:rsidP="00D54A7C">
      <w:pPr>
        <w:numPr>
          <w:ilvl w:val="1"/>
          <w:numId w:val="3"/>
        </w:numPr>
        <w:tabs>
          <w:tab w:val="clear" w:pos="1080"/>
          <w:tab w:val="num" w:pos="540"/>
        </w:tabs>
        <w:ind w:left="540" w:hanging="540"/>
        <w:jc w:val="both"/>
        <w:rPr>
          <w:sz w:val="22"/>
          <w:szCs w:val="22"/>
        </w:rPr>
      </w:pPr>
      <w:r w:rsidRPr="002D3EC7">
        <w:rPr>
          <w:color w:val="000000"/>
          <w:sz w:val="22"/>
          <w:szCs w:val="22"/>
        </w:rPr>
        <w:t xml:space="preserve">Adequate training is also required to ensure that prison staff are able to deal appropriately with mentally unwell prisoners and recognise when </w:t>
      </w:r>
      <w:r w:rsidR="00EC0DC7">
        <w:rPr>
          <w:color w:val="000000"/>
          <w:sz w:val="22"/>
          <w:szCs w:val="22"/>
        </w:rPr>
        <w:t>health intervention</w:t>
      </w:r>
      <w:r w:rsidRPr="002D3EC7">
        <w:rPr>
          <w:color w:val="000000"/>
          <w:sz w:val="22"/>
          <w:szCs w:val="22"/>
        </w:rPr>
        <w:t xml:space="preserve"> is called for.</w:t>
      </w:r>
      <w:r w:rsidR="00EC0DC7">
        <w:rPr>
          <w:rStyle w:val="FootnoteReference"/>
          <w:color w:val="000000"/>
          <w:sz w:val="22"/>
          <w:szCs w:val="22"/>
        </w:rPr>
        <w:footnoteReference w:id="19"/>
      </w:r>
      <w:r w:rsidRPr="002D3EC7">
        <w:rPr>
          <w:color w:val="000000"/>
          <w:sz w:val="22"/>
          <w:szCs w:val="22"/>
        </w:rPr>
        <w:t xml:space="preserve">  </w:t>
      </w:r>
    </w:p>
    <w:p w:rsidR="00CE2E47" w:rsidRDefault="00CE2E47" w:rsidP="00CE2E47">
      <w:pPr>
        <w:jc w:val="both"/>
        <w:rPr>
          <w:color w:val="000000"/>
          <w:sz w:val="22"/>
          <w:szCs w:val="22"/>
        </w:rPr>
      </w:pPr>
    </w:p>
    <w:p w:rsidR="00CE2E47" w:rsidRDefault="00EF7A2A" w:rsidP="00D54A7C">
      <w:pPr>
        <w:numPr>
          <w:ilvl w:val="1"/>
          <w:numId w:val="3"/>
        </w:numPr>
        <w:tabs>
          <w:tab w:val="clear" w:pos="1080"/>
          <w:tab w:val="num" w:pos="540"/>
        </w:tabs>
        <w:ind w:left="540" w:hanging="540"/>
        <w:jc w:val="both"/>
        <w:rPr>
          <w:sz w:val="22"/>
          <w:szCs w:val="22"/>
        </w:rPr>
      </w:pPr>
      <w:r w:rsidRPr="002D3EC7">
        <w:rPr>
          <w:color w:val="000000"/>
          <w:sz w:val="22"/>
          <w:szCs w:val="22"/>
        </w:rPr>
        <w:t>T</w:t>
      </w:r>
      <w:r w:rsidR="0031268B" w:rsidRPr="002D3EC7">
        <w:rPr>
          <w:color w:val="000000"/>
          <w:sz w:val="22"/>
          <w:szCs w:val="22"/>
        </w:rPr>
        <w:t>imely access to services remains an issue – particularly for those with mild to moderate mental illness, women, those with personality disorders and Māori.</w:t>
      </w:r>
      <w:r w:rsidR="0031268B" w:rsidRPr="002D3EC7">
        <w:rPr>
          <w:rStyle w:val="FootnoteReference"/>
          <w:color w:val="000000"/>
          <w:sz w:val="22"/>
          <w:szCs w:val="22"/>
        </w:rPr>
        <w:footnoteReference w:id="20"/>
      </w:r>
      <w:r w:rsidR="0031268B" w:rsidRPr="002D3EC7">
        <w:rPr>
          <w:color w:val="000000"/>
          <w:sz w:val="22"/>
          <w:szCs w:val="22"/>
        </w:rPr>
        <w:t xml:space="preserve">  </w:t>
      </w:r>
    </w:p>
    <w:p w:rsidR="00CE2E47" w:rsidRDefault="00CE2E47" w:rsidP="00CE2E47">
      <w:pPr>
        <w:jc w:val="both"/>
        <w:rPr>
          <w:color w:val="000000"/>
          <w:sz w:val="22"/>
          <w:szCs w:val="22"/>
        </w:rPr>
      </w:pPr>
    </w:p>
    <w:p w:rsidR="002D3EC7" w:rsidRPr="00CE2E47" w:rsidRDefault="002D3EC7" w:rsidP="00D54A7C">
      <w:pPr>
        <w:numPr>
          <w:ilvl w:val="1"/>
          <w:numId w:val="3"/>
        </w:numPr>
        <w:tabs>
          <w:tab w:val="clear" w:pos="1080"/>
          <w:tab w:val="num" w:pos="540"/>
        </w:tabs>
        <w:ind w:left="540" w:hanging="540"/>
        <w:jc w:val="both"/>
        <w:rPr>
          <w:sz w:val="22"/>
          <w:szCs w:val="22"/>
        </w:rPr>
      </w:pPr>
      <w:r w:rsidRPr="002D3EC7">
        <w:rPr>
          <w:color w:val="000000"/>
          <w:sz w:val="22"/>
          <w:szCs w:val="22"/>
        </w:rPr>
        <w:t xml:space="preserve">We note the comments of one mental health expert, </w:t>
      </w:r>
      <w:r w:rsidR="00430D67">
        <w:rPr>
          <w:color w:val="000000"/>
          <w:sz w:val="22"/>
          <w:szCs w:val="22"/>
          <w:lang w:val="en-GB"/>
        </w:rPr>
        <w:t>which</w:t>
      </w:r>
      <w:r w:rsidRPr="002D3EC7">
        <w:rPr>
          <w:color w:val="000000"/>
          <w:sz w:val="22"/>
          <w:szCs w:val="22"/>
          <w:lang w:val="en-NZ"/>
        </w:rPr>
        <w:t xml:space="preserve"> highlight the </w:t>
      </w:r>
      <w:r w:rsidR="00EC0DC7">
        <w:rPr>
          <w:color w:val="000000"/>
          <w:sz w:val="22"/>
          <w:szCs w:val="22"/>
          <w:lang w:val="en-NZ"/>
        </w:rPr>
        <w:t>continued</w:t>
      </w:r>
      <w:r w:rsidRPr="002D3EC7">
        <w:rPr>
          <w:color w:val="000000"/>
          <w:sz w:val="22"/>
          <w:szCs w:val="22"/>
          <w:lang w:val="en-NZ"/>
        </w:rPr>
        <w:t xml:space="preserve"> need for increased availability of </w:t>
      </w:r>
      <w:r w:rsidR="00EC0DC7">
        <w:rPr>
          <w:color w:val="000000"/>
          <w:sz w:val="22"/>
          <w:szCs w:val="22"/>
          <w:lang w:val="en-NZ"/>
        </w:rPr>
        <w:t xml:space="preserve">appropriate </w:t>
      </w:r>
      <w:r w:rsidRPr="002D3EC7">
        <w:rPr>
          <w:color w:val="000000"/>
          <w:sz w:val="22"/>
          <w:szCs w:val="22"/>
          <w:lang w:val="en-NZ"/>
        </w:rPr>
        <w:t xml:space="preserve">forensic </w:t>
      </w:r>
      <w:r w:rsidR="00EC0DC7">
        <w:rPr>
          <w:color w:val="000000"/>
          <w:sz w:val="22"/>
          <w:szCs w:val="22"/>
          <w:lang w:val="en-NZ"/>
        </w:rPr>
        <w:t xml:space="preserve">facilities and </w:t>
      </w:r>
      <w:r w:rsidRPr="002D3EC7">
        <w:rPr>
          <w:color w:val="000000"/>
          <w:sz w:val="22"/>
          <w:szCs w:val="22"/>
          <w:lang w:val="en-NZ"/>
        </w:rPr>
        <w:t>services</w:t>
      </w:r>
      <w:r w:rsidRPr="002D3EC7">
        <w:rPr>
          <w:color w:val="000000"/>
          <w:sz w:val="22"/>
          <w:szCs w:val="22"/>
        </w:rPr>
        <w:t>:</w:t>
      </w:r>
      <w:r w:rsidR="00EC0DC7">
        <w:rPr>
          <w:rStyle w:val="FootnoteReference"/>
          <w:color w:val="000000"/>
          <w:sz w:val="22"/>
          <w:szCs w:val="22"/>
        </w:rPr>
        <w:footnoteReference w:id="21"/>
      </w:r>
    </w:p>
    <w:p w:rsidR="00CE2E47" w:rsidRPr="006D4D68" w:rsidRDefault="00472B4C" w:rsidP="00472B4C">
      <w:pPr>
        <w:pStyle w:val="Quotes"/>
        <w:spacing w:line="240" w:lineRule="auto"/>
        <w:ind w:left="1077"/>
        <w:jc w:val="both"/>
        <w:rPr>
          <w:rFonts w:ascii="Arial" w:hAnsi="Arial"/>
          <w:i w:val="0"/>
          <w:color w:val="000000"/>
        </w:rPr>
      </w:pPr>
      <w:r>
        <w:rPr>
          <w:rFonts w:ascii="Arial" w:hAnsi="Arial"/>
          <w:i w:val="0"/>
          <w:color w:val="000000"/>
        </w:rPr>
        <w:t>[D]</w:t>
      </w:r>
      <w:r w:rsidR="00CE2E47" w:rsidRPr="006D4D68">
        <w:rPr>
          <w:rFonts w:ascii="Arial" w:hAnsi="Arial"/>
          <w:i w:val="0"/>
          <w:color w:val="000000"/>
        </w:rPr>
        <w:t>ifficulties have emerged at the interface of forensic and general mental health (over the definitions of target populations) and between FMHS (Forensic Mental Health Services) and prisons (increasing musters/criminalisation of mentally ill persons). Inpatient facilities average over 100% occupancy. Waiting lists for admission to a hospital bed have developed in recent years as prison muster rises have put pressure on forensic inpatient services</w:t>
      </w:r>
      <w:r>
        <w:rPr>
          <w:rFonts w:ascii="Arial" w:hAnsi="Arial"/>
          <w:i w:val="0"/>
          <w:color w:val="000000"/>
        </w:rPr>
        <w:t>.</w:t>
      </w:r>
    </w:p>
    <w:p w:rsidR="00CE2E47" w:rsidRDefault="00CE2E47" w:rsidP="00CE2E47">
      <w:pPr>
        <w:jc w:val="both"/>
        <w:rPr>
          <w:sz w:val="22"/>
          <w:szCs w:val="22"/>
        </w:rPr>
      </w:pPr>
    </w:p>
    <w:p w:rsidR="002D3EC7" w:rsidRPr="00C15E7B" w:rsidRDefault="00EF7A2A" w:rsidP="00D54A7C">
      <w:pPr>
        <w:numPr>
          <w:ilvl w:val="1"/>
          <w:numId w:val="3"/>
        </w:numPr>
        <w:tabs>
          <w:tab w:val="clear" w:pos="1080"/>
          <w:tab w:val="num" w:pos="540"/>
        </w:tabs>
        <w:ind w:left="540" w:hanging="540"/>
        <w:jc w:val="both"/>
        <w:rPr>
          <w:sz w:val="22"/>
          <w:szCs w:val="22"/>
        </w:rPr>
      </w:pPr>
      <w:r w:rsidRPr="002D3EC7">
        <w:rPr>
          <w:color w:val="000000"/>
          <w:sz w:val="22"/>
          <w:szCs w:val="22"/>
          <w:lang w:val="en-NZ"/>
        </w:rPr>
        <w:lastRenderedPageBreak/>
        <w:t xml:space="preserve">The Department of Corrections and Ministry of Health are working to address a gap in services for prisoners with personality disorders, and the Ombudsmen have recently stressed the urgency of dealing with this issue.  </w:t>
      </w:r>
    </w:p>
    <w:p w:rsidR="00C15E7B" w:rsidRPr="00C15E7B" w:rsidRDefault="00C15E7B" w:rsidP="00C15E7B">
      <w:pPr>
        <w:tabs>
          <w:tab w:val="num" w:pos="540"/>
        </w:tabs>
        <w:jc w:val="both"/>
        <w:rPr>
          <w:sz w:val="22"/>
          <w:szCs w:val="22"/>
        </w:rPr>
      </w:pPr>
    </w:p>
    <w:p w:rsidR="00C15E7B" w:rsidRPr="00CE2E47" w:rsidRDefault="00C15E7B" w:rsidP="00D54A7C">
      <w:pPr>
        <w:numPr>
          <w:ilvl w:val="1"/>
          <w:numId w:val="3"/>
        </w:numPr>
        <w:tabs>
          <w:tab w:val="clear" w:pos="1080"/>
          <w:tab w:val="num" w:pos="540"/>
        </w:tabs>
        <w:ind w:left="540" w:hanging="540"/>
        <w:jc w:val="both"/>
        <w:rPr>
          <w:sz w:val="22"/>
          <w:szCs w:val="22"/>
        </w:rPr>
      </w:pPr>
      <w:r w:rsidRPr="002D3EC7">
        <w:rPr>
          <w:color w:val="000000"/>
          <w:sz w:val="22"/>
          <w:szCs w:val="22"/>
          <w:lang w:val="en-NZ"/>
        </w:rPr>
        <w:t>We further note the Ombudsmen’s comments that:</w:t>
      </w:r>
      <w:r>
        <w:rPr>
          <w:rStyle w:val="FootnoteReference"/>
          <w:color w:val="000000"/>
          <w:sz w:val="22"/>
          <w:szCs w:val="22"/>
          <w:lang w:val="en-NZ"/>
        </w:rPr>
        <w:footnoteReference w:id="22"/>
      </w:r>
    </w:p>
    <w:p w:rsidR="00C15E7B" w:rsidRPr="00472B4C" w:rsidRDefault="00C15E7B" w:rsidP="00C15E7B">
      <w:pPr>
        <w:pStyle w:val="BodyCopy"/>
      </w:pPr>
      <w:r w:rsidRPr="00472B4C">
        <w:t>The present unsatisfactory situation places other prisoners and staff at risk; it undoubtedly plays a part in the incidence of self-harm and suicides in prison; and it makes management of the prison more stressful than it need be as lay staff struggle with assessing and managing this element of the prison population.</w:t>
      </w:r>
    </w:p>
    <w:p w:rsidR="00C15E7B" w:rsidRPr="00C15E7B" w:rsidRDefault="00C15E7B" w:rsidP="00C15E7B">
      <w:pPr>
        <w:tabs>
          <w:tab w:val="num" w:pos="540"/>
        </w:tabs>
        <w:jc w:val="both"/>
        <w:rPr>
          <w:sz w:val="22"/>
          <w:szCs w:val="22"/>
        </w:rPr>
      </w:pPr>
    </w:p>
    <w:p w:rsidR="00CE2E47" w:rsidRPr="00C15E7B" w:rsidRDefault="008C142F" w:rsidP="00D54A7C">
      <w:pPr>
        <w:numPr>
          <w:ilvl w:val="1"/>
          <w:numId w:val="3"/>
        </w:numPr>
        <w:tabs>
          <w:tab w:val="clear" w:pos="1080"/>
          <w:tab w:val="num" w:pos="540"/>
        </w:tabs>
        <w:ind w:left="540" w:hanging="540"/>
        <w:jc w:val="both"/>
        <w:rPr>
          <w:b/>
          <w:sz w:val="22"/>
          <w:szCs w:val="22"/>
        </w:rPr>
      </w:pPr>
      <w:r>
        <w:rPr>
          <w:b/>
          <w:sz w:val="22"/>
          <w:szCs w:val="22"/>
        </w:rPr>
        <w:t>Complex i</w:t>
      </w:r>
      <w:r w:rsidR="00C15E7B" w:rsidRPr="00C15E7B">
        <w:rPr>
          <w:b/>
          <w:sz w:val="22"/>
          <w:szCs w:val="22"/>
        </w:rPr>
        <w:t xml:space="preserve">ssues </w:t>
      </w:r>
      <w:r>
        <w:rPr>
          <w:b/>
          <w:sz w:val="22"/>
          <w:szCs w:val="22"/>
        </w:rPr>
        <w:t>around people in prison who require mental health care pose significant challenges and need urgent attention.</w:t>
      </w:r>
    </w:p>
    <w:p w:rsidR="00CE2E47" w:rsidRDefault="00CE2E47" w:rsidP="00CE2E47">
      <w:pPr>
        <w:pStyle w:val="Heading3"/>
        <w:rPr>
          <w:sz w:val="22"/>
          <w:szCs w:val="22"/>
        </w:rPr>
      </w:pPr>
      <w:bookmarkStart w:id="22" w:name="_Toc225333144"/>
      <w:r>
        <w:t>Transgender people</w:t>
      </w:r>
      <w:bookmarkEnd w:id="22"/>
    </w:p>
    <w:p w:rsidR="00CE2E47" w:rsidRDefault="00375D94" w:rsidP="00D54A7C">
      <w:pPr>
        <w:numPr>
          <w:ilvl w:val="1"/>
          <w:numId w:val="3"/>
        </w:numPr>
        <w:tabs>
          <w:tab w:val="clear" w:pos="1080"/>
          <w:tab w:val="num" w:pos="540"/>
        </w:tabs>
        <w:ind w:left="540" w:hanging="540"/>
        <w:jc w:val="both"/>
        <w:rPr>
          <w:sz w:val="22"/>
          <w:szCs w:val="22"/>
        </w:rPr>
      </w:pPr>
      <w:r w:rsidRPr="00CE2E47">
        <w:rPr>
          <w:sz w:val="22"/>
          <w:szCs w:val="22"/>
        </w:rPr>
        <w:t xml:space="preserve">The Commission’s </w:t>
      </w:r>
      <w:r w:rsidRPr="00CE2E47">
        <w:rPr>
          <w:i/>
          <w:sz w:val="22"/>
          <w:szCs w:val="22"/>
        </w:rPr>
        <w:t>Inquiry into Discrimination Experienced by Transgender People</w:t>
      </w:r>
      <w:r w:rsidRPr="00CE2E47">
        <w:rPr>
          <w:sz w:val="22"/>
          <w:szCs w:val="22"/>
        </w:rPr>
        <w:t>,</w:t>
      </w:r>
      <w:r w:rsidRPr="00CE2E47">
        <w:rPr>
          <w:rStyle w:val="FootnoteReference"/>
          <w:sz w:val="22"/>
          <w:szCs w:val="22"/>
        </w:rPr>
        <w:footnoteReference w:id="23"/>
      </w:r>
      <w:r w:rsidRPr="00CE2E47">
        <w:rPr>
          <w:sz w:val="22"/>
          <w:szCs w:val="22"/>
        </w:rPr>
        <w:t xml:space="preserve"> completed in January 2008, highlighted particular issues for trans people in prison, including: i</w:t>
      </w:r>
      <w:r w:rsidR="00F1291A">
        <w:rPr>
          <w:sz w:val="22"/>
          <w:szCs w:val="22"/>
        </w:rPr>
        <w:t>ssues regarding their placement; search procedures;</w:t>
      </w:r>
      <w:r w:rsidRPr="00CE2E47">
        <w:rPr>
          <w:sz w:val="22"/>
          <w:szCs w:val="22"/>
        </w:rPr>
        <w:t xml:space="preserve"> vulnerability to </w:t>
      </w:r>
      <w:r w:rsidR="00F1291A">
        <w:rPr>
          <w:sz w:val="22"/>
          <w:szCs w:val="22"/>
        </w:rPr>
        <w:t>discrimination, harassment or abuse;</w:t>
      </w:r>
      <w:r w:rsidRPr="00CE2E47">
        <w:rPr>
          <w:sz w:val="22"/>
          <w:szCs w:val="22"/>
        </w:rPr>
        <w:t xml:space="preserve"> and access to health services such as hormone treatments while in prison.  </w:t>
      </w:r>
    </w:p>
    <w:p w:rsidR="00CE2E47" w:rsidRDefault="00CE2E47" w:rsidP="00CE2E47">
      <w:pPr>
        <w:jc w:val="both"/>
        <w:rPr>
          <w:sz w:val="22"/>
          <w:szCs w:val="22"/>
        </w:rPr>
      </w:pPr>
    </w:p>
    <w:p w:rsidR="00B47C0A" w:rsidRDefault="00E52EAE" w:rsidP="00D54A7C">
      <w:pPr>
        <w:numPr>
          <w:ilvl w:val="1"/>
          <w:numId w:val="3"/>
        </w:numPr>
        <w:tabs>
          <w:tab w:val="clear" w:pos="1080"/>
          <w:tab w:val="num" w:pos="540"/>
        </w:tabs>
        <w:ind w:left="540" w:hanging="540"/>
        <w:jc w:val="both"/>
        <w:rPr>
          <w:sz w:val="22"/>
          <w:szCs w:val="22"/>
        </w:rPr>
      </w:pPr>
      <w:r>
        <w:rPr>
          <w:sz w:val="22"/>
          <w:szCs w:val="22"/>
        </w:rPr>
        <w:t>One of t</w:t>
      </w:r>
      <w:r w:rsidR="00375D94" w:rsidRPr="00491FC5">
        <w:rPr>
          <w:sz w:val="22"/>
          <w:szCs w:val="22"/>
        </w:rPr>
        <w:t>he Inquiry</w:t>
      </w:r>
      <w:r>
        <w:rPr>
          <w:sz w:val="22"/>
          <w:szCs w:val="22"/>
        </w:rPr>
        <w:t>’s recommendations was to</w:t>
      </w:r>
      <w:r w:rsidR="00375D94" w:rsidRPr="00491FC5">
        <w:rPr>
          <w:sz w:val="22"/>
          <w:szCs w:val="22"/>
        </w:rPr>
        <w:t xml:space="preserve"> bring together government agencies to share best practice for search, dete</w:t>
      </w:r>
      <w:r w:rsidR="00375D94">
        <w:rPr>
          <w:sz w:val="22"/>
          <w:szCs w:val="22"/>
        </w:rPr>
        <w:t xml:space="preserve">ntion and imprisonment of trans </w:t>
      </w:r>
      <w:r w:rsidR="00375D94" w:rsidRPr="00491FC5">
        <w:rPr>
          <w:sz w:val="22"/>
          <w:szCs w:val="22"/>
        </w:rPr>
        <w:t xml:space="preserve">people, which the Commission has facilitated through </w:t>
      </w:r>
      <w:r>
        <w:rPr>
          <w:sz w:val="22"/>
          <w:szCs w:val="22"/>
        </w:rPr>
        <w:t xml:space="preserve">two </w:t>
      </w:r>
      <w:r w:rsidR="00375D94" w:rsidRPr="00491FC5">
        <w:rPr>
          <w:sz w:val="22"/>
          <w:szCs w:val="22"/>
        </w:rPr>
        <w:t xml:space="preserve">dialogue sessions.  As a result of these sessions, government agencies are looking at whether changes are needed in their current policies and practices, and are expected to report back to the Ministry of Justice </w:t>
      </w:r>
      <w:r w:rsidR="00D914CC">
        <w:rPr>
          <w:sz w:val="22"/>
          <w:szCs w:val="22"/>
        </w:rPr>
        <w:t>by April</w:t>
      </w:r>
      <w:r w:rsidR="00375D94" w:rsidRPr="00491FC5">
        <w:rPr>
          <w:sz w:val="22"/>
          <w:szCs w:val="22"/>
        </w:rPr>
        <w:t xml:space="preserve"> 2009. </w:t>
      </w:r>
    </w:p>
    <w:p w:rsidR="00CE2E47" w:rsidRDefault="00CE2E47" w:rsidP="00CE2E47">
      <w:pPr>
        <w:pStyle w:val="Heading3"/>
      </w:pPr>
      <w:bookmarkStart w:id="23" w:name="_Toc225333145"/>
      <w:r>
        <w:t>Over-r</w:t>
      </w:r>
      <w:r w:rsidRPr="005E6A4B">
        <w:t xml:space="preserve">epresentation of </w:t>
      </w:r>
      <w:r>
        <w:t>Māori</w:t>
      </w:r>
      <w:bookmarkEnd w:id="23"/>
      <w:r w:rsidRPr="005E6A4B">
        <w:t xml:space="preserve"> </w:t>
      </w:r>
    </w:p>
    <w:p w:rsidR="00032A45" w:rsidRPr="00CE2E47" w:rsidRDefault="001531EE" w:rsidP="00D54A7C">
      <w:pPr>
        <w:numPr>
          <w:ilvl w:val="1"/>
          <w:numId w:val="3"/>
        </w:numPr>
        <w:tabs>
          <w:tab w:val="clear" w:pos="1080"/>
          <w:tab w:val="num" w:pos="540"/>
        </w:tabs>
        <w:ind w:left="540" w:hanging="540"/>
        <w:jc w:val="both"/>
        <w:rPr>
          <w:sz w:val="22"/>
          <w:szCs w:val="22"/>
        </w:rPr>
      </w:pPr>
      <w:r w:rsidRPr="00032A45">
        <w:rPr>
          <w:sz w:val="22"/>
          <w:szCs w:val="22"/>
          <w:lang w:val="en-NZ"/>
        </w:rPr>
        <w:t>Though forming just 12.5% of the population aged 15 and over, 42% of all criminal apprehensions involve a person identifying as Māori, as do 50% of all persons in prison</w:t>
      </w:r>
      <w:r w:rsidR="00375D94" w:rsidRPr="00032A45">
        <w:rPr>
          <w:sz w:val="22"/>
          <w:szCs w:val="22"/>
          <w:lang w:val="en-NZ"/>
        </w:rPr>
        <w:t>.</w:t>
      </w:r>
      <w:r w:rsidRPr="00032A45">
        <w:rPr>
          <w:rStyle w:val="FootnoteReference"/>
          <w:sz w:val="22"/>
          <w:szCs w:val="22"/>
        </w:rPr>
        <w:footnoteReference w:id="24"/>
      </w:r>
    </w:p>
    <w:p w:rsidR="00CE2E47" w:rsidRPr="00CE2E47" w:rsidRDefault="00CE2E47" w:rsidP="00CE2E47">
      <w:pPr>
        <w:jc w:val="both"/>
        <w:rPr>
          <w:sz w:val="22"/>
          <w:szCs w:val="22"/>
        </w:rPr>
      </w:pPr>
    </w:p>
    <w:p w:rsidR="001531EE" w:rsidRDefault="001531EE" w:rsidP="00D54A7C">
      <w:pPr>
        <w:numPr>
          <w:ilvl w:val="1"/>
          <w:numId w:val="3"/>
        </w:numPr>
        <w:tabs>
          <w:tab w:val="clear" w:pos="1080"/>
          <w:tab w:val="num" w:pos="540"/>
        </w:tabs>
        <w:ind w:left="540" w:hanging="540"/>
        <w:jc w:val="both"/>
        <w:rPr>
          <w:sz w:val="22"/>
          <w:szCs w:val="22"/>
        </w:rPr>
      </w:pPr>
      <w:r w:rsidRPr="00032A45">
        <w:rPr>
          <w:sz w:val="22"/>
          <w:szCs w:val="22"/>
        </w:rPr>
        <w:t>To a large extent this can be attributed to the lower social and economic circumstances of Māori overall, but there is an element of bias in the justice system which leads to Māori being more likely to be apprehended and more severely punished than non-Māori</w:t>
      </w:r>
      <w:r w:rsidR="00375D94" w:rsidRPr="00032A45">
        <w:rPr>
          <w:sz w:val="22"/>
          <w:szCs w:val="22"/>
        </w:rPr>
        <w:t>.</w:t>
      </w:r>
      <w:r w:rsidRPr="00032A45">
        <w:rPr>
          <w:rStyle w:val="FootnoteReference"/>
          <w:sz w:val="22"/>
          <w:szCs w:val="22"/>
        </w:rPr>
        <w:footnoteReference w:id="25"/>
      </w:r>
    </w:p>
    <w:p w:rsidR="00CE2E47" w:rsidRDefault="00CE2E47" w:rsidP="00CE2E47">
      <w:pPr>
        <w:jc w:val="both"/>
        <w:rPr>
          <w:sz w:val="22"/>
          <w:szCs w:val="22"/>
        </w:rPr>
      </w:pPr>
    </w:p>
    <w:p w:rsidR="005A5E4F" w:rsidRDefault="00032A45" w:rsidP="00D54A7C">
      <w:pPr>
        <w:numPr>
          <w:ilvl w:val="1"/>
          <w:numId w:val="3"/>
        </w:numPr>
        <w:tabs>
          <w:tab w:val="clear" w:pos="1080"/>
          <w:tab w:val="num" w:pos="540"/>
        </w:tabs>
        <w:ind w:left="540" w:hanging="540"/>
        <w:jc w:val="both"/>
        <w:rPr>
          <w:sz w:val="22"/>
          <w:szCs w:val="22"/>
        </w:rPr>
      </w:pPr>
      <w:r>
        <w:rPr>
          <w:sz w:val="22"/>
          <w:szCs w:val="22"/>
        </w:rPr>
        <w:t>The importance of accessibility and effectiveness of</w:t>
      </w:r>
      <w:r w:rsidR="005A5E4F" w:rsidRPr="00032A45">
        <w:rPr>
          <w:sz w:val="22"/>
          <w:szCs w:val="22"/>
        </w:rPr>
        <w:t xml:space="preserve"> key services of health, education and social support for Māori has been </w:t>
      </w:r>
      <w:r w:rsidR="00F81293">
        <w:rPr>
          <w:sz w:val="22"/>
          <w:szCs w:val="22"/>
        </w:rPr>
        <w:t>highlight</w:t>
      </w:r>
      <w:r w:rsidR="005A5E4F" w:rsidRPr="00032A45">
        <w:rPr>
          <w:sz w:val="22"/>
          <w:szCs w:val="22"/>
        </w:rPr>
        <w:t>ed,</w:t>
      </w:r>
      <w:r w:rsidR="005A5E4F" w:rsidRPr="00032A45">
        <w:rPr>
          <w:rStyle w:val="FootnoteReference"/>
          <w:sz w:val="22"/>
          <w:szCs w:val="22"/>
        </w:rPr>
        <w:footnoteReference w:id="26"/>
      </w:r>
      <w:r w:rsidR="0058075F">
        <w:rPr>
          <w:sz w:val="22"/>
          <w:szCs w:val="22"/>
        </w:rPr>
        <w:t xml:space="preserve"> as has the importance</w:t>
      </w:r>
      <w:r w:rsidR="005A5E4F" w:rsidRPr="00032A45">
        <w:rPr>
          <w:sz w:val="22"/>
          <w:szCs w:val="22"/>
        </w:rPr>
        <w:t xml:space="preserve"> of </w:t>
      </w:r>
      <w:r w:rsidR="0058075F">
        <w:rPr>
          <w:sz w:val="22"/>
          <w:szCs w:val="22"/>
        </w:rPr>
        <w:t xml:space="preserve">promoting </w:t>
      </w:r>
      <w:r w:rsidR="005A5E4F" w:rsidRPr="00032A45">
        <w:rPr>
          <w:sz w:val="22"/>
          <w:szCs w:val="22"/>
        </w:rPr>
        <w:t>Māori participation as providers of support, rehabilitation, reintegration, restorative justice and other programmes.</w:t>
      </w:r>
      <w:r w:rsidR="005A5E4F" w:rsidRPr="00032A45">
        <w:rPr>
          <w:rStyle w:val="FootnoteReference"/>
          <w:sz w:val="22"/>
          <w:szCs w:val="22"/>
        </w:rPr>
        <w:footnoteReference w:id="27"/>
      </w:r>
    </w:p>
    <w:p w:rsidR="00CE2E47" w:rsidRDefault="00CE2E47" w:rsidP="00CE2E47">
      <w:pPr>
        <w:jc w:val="both"/>
        <w:rPr>
          <w:sz w:val="22"/>
          <w:szCs w:val="22"/>
        </w:rPr>
      </w:pPr>
    </w:p>
    <w:p w:rsidR="007F04EE" w:rsidRPr="00C15E7B" w:rsidRDefault="001531EE" w:rsidP="00D54A7C">
      <w:pPr>
        <w:numPr>
          <w:ilvl w:val="1"/>
          <w:numId w:val="3"/>
        </w:numPr>
        <w:tabs>
          <w:tab w:val="clear" w:pos="1080"/>
          <w:tab w:val="num" w:pos="540"/>
        </w:tabs>
        <w:ind w:left="540" w:hanging="540"/>
        <w:jc w:val="both"/>
        <w:rPr>
          <w:b/>
          <w:sz w:val="22"/>
          <w:szCs w:val="22"/>
        </w:rPr>
      </w:pPr>
      <w:r w:rsidRPr="00C15E7B">
        <w:rPr>
          <w:b/>
          <w:sz w:val="22"/>
          <w:szCs w:val="22"/>
        </w:rPr>
        <w:t xml:space="preserve">The Commission </w:t>
      </w:r>
      <w:r w:rsidR="00DF329E" w:rsidRPr="00C15E7B">
        <w:rPr>
          <w:b/>
          <w:sz w:val="22"/>
          <w:szCs w:val="22"/>
        </w:rPr>
        <w:t xml:space="preserve">has </w:t>
      </w:r>
      <w:r w:rsidR="00B53EDE">
        <w:rPr>
          <w:b/>
          <w:sz w:val="22"/>
          <w:szCs w:val="22"/>
        </w:rPr>
        <w:t>recommend</w:t>
      </w:r>
      <w:r w:rsidR="00DF329E" w:rsidRPr="00C15E7B">
        <w:rPr>
          <w:b/>
          <w:sz w:val="22"/>
          <w:szCs w:val="22"/>
        </w:rPr>
        <w:t>ed</w:t>
      </w:r>
      <w:r w:rsidRPr="00C15E7B">
        <w:rPr>
          <w:b/>
          <w:sz w:val="22"/>
          <w:szCs w:val="22"/>
        </w:rPr>
        <w:t xml:space="preserve"> </w:t>
      </w:r>
      <w:r w:rsidR="00B53EDE">
        <w:rPr>
          <w:b/>
          <w:sz w:val="22"/>
          <w:szCs w:val="22"/>
        </w:rPr>
        <w:t xml:space="preserve">that </w:t>
      </w:r>
      <w:r w:rsidRPr="00C15E7B">
        <w:rPr>
          <w:b/>
          <w:sz w:val="22"/>
          <w:szCs w:val="22"/>
        </w:rPr>
        <w:t xml:space="preserve">the government </w:t>
      </w:r>
      <w:r w:rsidR="00DF329E" w:rsidRPr="00C15E7B">
        <w:rPr>
          <w:b/>
          <w:sz w:val="22"/>
          <w:szCs w:val="22"/>
        </w:rPr>
        <w:t>commit</w:t>
      </w:r>
      <w:r w:rsidRPr="00C15E7B">
        <w:rPr>
          <w:b/>
          <w:sz w:val="22"/>
          <w:szCs w:val="22"/>
        </w:rPr>
        <w:t xml:space="preserve"> to specific targets and timelines for reducing </w:t>
      </w:r>
      <w:r w:rsidR="00B53EDE">
        <w:rPr>
          <w:b/>
          <w:sz w:val="22"/>
          <w:szCs w:val="22"/>
        </w:rPr>
        <w:t xml:space="preserve">the </w:t>
      </w:r>
      <w:r w:rsidRPr="00C15E7B">
        <w:rPr>
          <w:b/>
          <w:sz w:val="22"/>
          <w:szCs w:val="22"/>
        </w:rPr>
        <w:t>disproportionate number of Māori in prison.</w:t>
      </w:r>
    </w:p>
    <w:p w:rsidR="00CE2E47" w:rsidRDefault="00CE2E47" w:rsidP="00CE2E47">
      <w:pPr>
        <w:pStyle w:val="Heading3"/>
      </w:pPr>
      <w:bookmarkStart w:id="24" w:name="_Toc225333146"/>
      <w:r w:rsidRPr="00DF329E">
        <w:lastRenderedPageBreak/>
        <w:t>Capacity issues</w:t>
      </w:r>
      <w:bookmarkEnd w:id="24"/>
    </w:p>
    <w:p w:rsidR="00CE2E47" w:rsidRDefault="00014CB9" w:rsidP="00D54A7C">
      <w:pPr>
        <w:numPr>
          <w:ilvl w:val="1"/>
          <w:numId w:val="3"/>
        </w:numPr>
        <w:tabs>
          <w:tab w:val="clear" w:pos="1080"/>
          <w:tab w:val="num" w:pos="540"/>
        </w:tabs>
        <w:ind w:left="540" w:hanging="540"/>
        <w:jc w:val="both"/>
        <w:rPr>
          <w:sz w:val="22"/>
          <w:szCs w:val="22"/>
        </w:rPr>
      </w:pPr>
      <w:r w:rsidRPr="00112B95">
        <w:rPr>
          <w:sz w:val="22"/>
          <w:szCs w:val="22"/>
        </w:rPr>
        <w:t xml:space="preserve">The Commission’s </w:t>
      </w:r>
      <w:r w:rsidR="00112B95">
        <w:rPr>
          <w:sz w:val="22"/>
          <w:szCs w:val="22"/>
        </w:rPr>
        <w:t xml:space="preserve">2004 </w:t>
      </w:r>
      <w:r w:rsidRPr="00112B95">
        <w:rPr>
          <w:sz w:val="22"/>
          <w:szCs w:val="22"/>
        </w:rPr>
        <w:t xml:space="preserve">research, </w:t>
      </w:r>
      <w:r w:rsidRPr="00112B95">
        <w:rPr>
          <w:i/>
          <w:sz w:val="22"/>
          <w:szCs w:val="22"/>
        </w:rPr>
        <w:t>Human Rights in New Zealand Today</w:t>
      </w:r>
      <w:r w:rsidRPr="00112B95">
        <w:rPr>
          <w:sz w:val="22"/>
          <w:szCs w:val="22"/>
        </w:rPr>
        <w:t xml:space="preserve">, highlighted the need </w:t>
      </w:r>
      <w:r w:rsidR="00550AFB" w:rsidRPr="00112B95">
        <w:rPr>
          <w:sz w:val="22"/>
          <w:szCs w:val="22"/>
        </w:rPr>
        <w:t xml:space="preserve">to upgrade and increase the capacity of prisons and alternatives to prisons.  </w:t>
      </w:r>
    </w:p>
    <w:p w:rsidR="00CE2E47" w:rsidRPr="00CE2E47" w:rsidRDefault="00CE2E47" w:rsidP="00CE2E47">
      <w:pPr>
        <w:jc w:val="both"/>
        <w:rPr>
          <w:sz w:val="22"/>
          <w:szCs w:val="22"/>
        </w:rPr>
      </w:pPr>
    </w:p>
    <w:p w:rsidR="00CE2E47" w:rsidRPr="00CE2E47" w:rsidRDefault="00014CB9" w:rsidP="00D54A7C">
      <w:pPr>
        <w:numPr>
          <w:ilvl w:val="1"/>
          <w:numId w:val="3"/>
        </w:numPr>
        <w:tabs>
          <w:tab w:val="clear" w:pos="1080"/>
          <w:tab w:val="num" w:pos="540"/>
        </w:tabs>
        <w:ind w:left="540" w:hanging="540"/>
        <w:jc w:val="both"/>
        <w:rPr>
          <w:sz w:val="22"/>
          <w:szCs w:val="22"/>
        </w:rPr>
      </w:pPr>
      <w:r w:rsidRPr="00CE2E47">
        <w:rPr>
          <w:sz w:val="22"/>
          <w:szCs w:val="22"/>
        </w:rPr>
        <w:t>Since that research was undertaken, the prison population has risen by around a further 30%, despite</w:t>
      </w:r>
      <w:r w:rsidR="00DF329E" w:rsidRPr="00CE2E47">
        <w:rPr>
          <w:sz w:val="22"/>
          <w:szCs w:val="22"/>
        </w:rPr>
        <w:t xml:space="preserve"> some</w:t>
      </w:r>
      <w:r w:rsidRPr="00CE2E47">
        <w:rPr>
          <w:sz w:val="22"/>
          <w:szCs w:val="22"/>
        </w:rPr>
        <w:t xml:space="preserve"> initiatives</w:t>
      </w:r>
      <w:r w:rsidR="00966317" w:rsidRPr="00CE2E47">
        <w:rPr>
          <w:sz w:val="22"/>
          <w:szCs w:val="22"/>
        </w:rPr>
        <w:t xml:space="preserve"> </w:t>
      </w:r>
      <w:r w:rsidR="00A6462A" w:rsidRPr="00CE2E47">
        <w:rPr>
          <w:sz w:val="22"/>
          <w:szCs w:val="22"/>
        </w:rPr>
        <w:t>which</w:t>
      </w:r>
      <w:r w:rsidR="00966317" w:rsidRPr="00CE2E47">
        <w:rPr>
          <w:sz w:val="22"/>
          <w:szCs w:val="22"/>
        </w:rPr>
        <w:t xml:space="preserve"> have attempted to </w:t>
      </w:r>
      <w:r w:rsidR="00606833" w:rsidRPr="00CE2E47">
        <w:rPr>
          <w:sz w:val="22"/>
          <w:szCs w:val="22"/>
        </w:rPr>
        <w:t>curb</w:t>
      </w:r>
      <w:r w:rsidR="00112B95" w:rsidRPr="00CE2E47">
        <w:rPr>
          <w:sz w:val="22"/>
          <w:szCs w:val="22"/>
        </w:rPr>
        <w:t xml:space="preserve"> New Zealand’s high</w:t>
      </w:r>
      <w:r w:rsidR="00966317" w:rsidRPr="00CE2E47">
        <w:rPr>
          <w:sz w:val="22"/>
          <w:szCs w:val="22"/>
        </w:rPr>
        <w:t xml:space="preserve"> </w:t>
      </w:r>
      <w:r w:rsidR="00327653" w:rsidRPr="00CE2E47">
        <w:rPr>
          <w:sz w:val="22"/>
          <w:szCs w:val="22"/>
        </w:rPr>
        <w:t>imprisonment rate</w:t>
      </w:r>
      <w:r w:rsidR="00966317" w:rsidRPr="00CE2E47">
        <w:rPr>
          <w:sz w:val="22"/>
          <w:szCs w:val="22"/>
        </w:rPr>
        <w:t xml:space="preserve">.  </w:t>
      </w:r>
    </w:p>
    <w:p w:rsidR="00CE2E47" w:rsidRPr="00CE2E47" w:rsidRDefault="00CE2E47" w:rsidP="00CE2E47">
      <w:pPr>
        <w:jc w:val="both"/>
        <w:rPr>
          <w:sz w:val="22"/>
          <w:szCs w:val="22"/>
        </w:rPr>
      </w:pPr>
    </w:p>
    <w:p w:rsidR="00CE2E47" w:rsidRPr="00CE2E47" w:rsidRDefault="00A6462A" w:rsidP="00D54A7C">
      <w:pPr>
        <w:numPr>
          <w:ilvl w:val="1"/>
          <w:numId w:val="3"/>
        </w:numPr>
        <w:tabs>
          <w:tab w:val="clear" w:pos="1080"/>
          <w:tab w:val="num" w:pos="540"/>
        </w:tabs>
        <w:ind w:left="540" w:hanging="540"/>
        <w:jc w:val="both"/>
        <w:rPr>
          <w:sz w:val="22"/>
          <w:szCs w:val="22"/>
        </w:rPr>
      </w:pPr>
      <w:r w:rsidRPr="00CE2E47">
        <w:rPr>
          <w:sz w:val="22"/>
          <w:szCs w:val="22"/>
        </w:rPr>
        <w:t xml:space="preserve">The introduction of new community sentences </w:t>
      </w:r>
      <w:r w:rsidR="00606833" w:rsidRPr="00CE2E47">
        <w:rPr>
          <w:sz w:val="22"/>
          <w:szCs w:val="22"/>
        </w:rPr>
        <w:t>has had some effect in</w:t>
      </w:r>
      <w:r w:rsidRPr="00CE2E47">
        <w:rPr>
          <w:sz w:val="22"/>
          <w:szCs w:val="22"/>
        </w:rPr>
        <w:t xml:space="preserve"> slowing the </w:t>
      </w:r>
      <w:r w:rsidR="00014CB9" w:rsidRPr="00CE2E47">
        <w:rPr>
          <w:sz w:val="22"/>
          <w:szCs w:val="22"/>
        </w:rPr>
        <w:t>growth of the prison population</w:t>
      </w:r>
      <w:r w:rsidR="00606833" w:rsidRPr="00CE2E47">
        <w:rPr>
          <w:sz w:val="22"/>
          <w:szCs w:val="22"/>
        </w:rPr>
        <w:t>,</w:t>
      </w:r>
      <w:r w:rsidR="00014CB9" w:rsidRPr="00CE2E47">
        <w:rPr>
          <w:sz w:val="22"/>
          <w:szCs w:val="22"/>
        </w:rPr>
        <w:t xml:space="preserve"> </w:t>
      </w:r>
      <w:r w:rsidRPr="00CE2E47">
        <w:rPr>
          <w:sz w:val="22"/>
          <w:szCs w:val="22"/>
        </w:rPr>
        <w:t xml:space="preserve">but </w:t>
      </w:r>
      <w:r w:rsidRPr="00CE2E47">
        <w:rPr>
          <w:sz w:val="22"/>
          <w:szCs w:val="22"/>
          <w:lang w:val="en-NZ"/>
        </w:rPr>
        <w:t xml:space="preserve">rapid uptake of the community sentences </w:t>
      </w:r>
      <w:r w:rsidRPr="00CE2E47">
        <w:rPr>
          <w:sz w:val="22"/>
          <w:szCs w:val="22"/>
        </w:rPr>
        <w:t xml:space="preserve">has in turn created new pressures on the Community Probation Service.  </w:t>
      </w:r>
    </w:p>
    <w:p w:rsidR="00CE2E47" w:rsidRPr="00CE2E47" w:rsidRDefault="00CE2E47" w:rsidP="00CE2E47">
      <w:pPr>
        <w:jc w:val="both"/>
        <w:rPr>
          <w:sz w:val="22"/>
          <w:szCs w:val="22"/>
        </w:rPr>
      </w:pPr>
    </w:p>
    <w:p w:rsidR="00CE2E47" w:rsidRPr="00CE2E47" w:rsidRDefault="00014CB9" w:rsidP="00D54A7C">
      <w:pPr>
        <w:numPr>
          <w:ilvl w:val="1"/>
          <w:numId w:val="3"/>
        </w:numPr>
        <w:tabs>
          <w:tab w:val="clear" w:pos="1080"/>
          <w:tab w:val="num" w:pos="540"/>
        </w:tabs>
        <w:ind w:left="540" w:hanging="540"/>
        <w:jc w:val="both"/>
        <w:rPr>
          <w:rStyle w:val="FootnoteReference"/>
          <w:sz w:val="22"/>
          <w:szCs w:val="22"/>
          <w:vertAlign w:val="baseline"/>
        </w:rPr>
      </w:pPr>
      <w:r w:rsidRPr="00CE2E47">
        <w:rPr>
          <w:sz w:val="22"/>
          <w:szCs w:val="22"/>
        </w:rPr>
        <w:t xml:space="preserve">Four new prisons have been opened in the past five years to try and meet </w:t>
      </w:r>
      <w:r w:rsidR="00112B95" w:rsidRPr="00CE2E47">
        <w:rPr>
          <w:sz w:val="22"/>
          <w:szCs w:val="22"/>
        </w:rPr>
        <w:t>the growth in</w:t>
      </w:r>
      <w:r w:rsidRPr="00CE2E47">
        <w:rPr>
          <w:sz w:val="22"/>
          <w:szCs w:val="22"/>
        </w:rPr>
        <w:t xml:space="preserve"> prisoner numbers.  Along with expansion of existing facilities, this has increased prison capacity by 2,400 beds.  </w:t>
      </w:r>
      <w:r w:rsidR="00C213A5" w:rsidRPr="00CE2E47">
        <w:rPr>
          <w:sz w:val="22"/>
          <w:szCs w:val="22"/>
        </w:rPr>
        <w:t xml:space="preserve">However, </w:t>
      </w:r>
      <w:r w:rsidR="00237AB4" w:rsidRPr="00CE2E47">
        <w:rPr>
          <w:sz w:val="22"/>
          <w:szCs w:val="22"/>
        </w:rPr>
        <w:t>the</w:t>
      </w:r>
      <w:r w:rsidR="00C213A5" w:rsidRPr="00CE2E47">
        <w:rPr>
          <w:sz w:val="22"/>
          <w:szCs w:val="22"/>
        </w:rPr>
        <w:t xml:space="preserve"> </w:t>
      </w:r>
      <w:r w:rsidR="00237AB4" w:rsidRPr="00CE2E47">
        <w:rPr>
          <w:sz w:val="22"/>
          <w:szCs w:val="22"/>
        </w:rPr>
        <w:t>prison population has continued to rise and furthermore</w:t>
      </w:r>
      <w:r w:rsidR="00C213A5" w:rsidRPr="00CE2E47">
        <w:rPr>
          <w:sz w:val="22"/>
          <w:szCs w:val="22"/>
        </w:rPr>
        <w:t xml:space="preserve">, some existing facilities are no longer fit for purpose and </w:t>
      </w:r>
      <w:r w:rsidR="00A50D86">
        <w:rPr>
          <w:sz w:val="22"/>
          <w:szCs w:val="22"/>
        </w:rPr>
        <w:t xml:space="preserve">are </w:t>
      </w:r>
      <w:r w:rsidR="00327653" w:rsidRPr="00CE2E47">
        <w:rPr>
          <w:sz w:val="22"/>
          <w:szCs w:val="22"/>
        </w:rPr>
        <w:t>in need of</w:t>
      </w:r>
      <w:r w:rsidR="00C213A5" w:rsidRPr="00CE2E47">
        <w:rPr>
          <w:sz w:val="22"/>
          <w:szCs w:val="22"/>
        </w:rPr>
        <w:t xml:space="preserve"> replacement.</w:t>
      </w:r>
      <w:r w:rsidR="00193C3F" w:rsidRPr="00CE2E47">
        <w:rPr>
          <w:sz w:val="22"/>
          <w:szCs w:val="22"/>
        </w:rPr>
        <w:t xml:space="preserve">  As a result, t</w:t>
      </w:r>
      <w:r w:rsidRPr="00CE2E47">
        <w:rPr>
          <w:sz w:val="22"/>
          <w:szCs w:val="22"/>
        </w:rPr>
        <w:t>he prison system is facing a capacity crisis, with the prison population forecast to exceed existing capacity by mid-2010</w:t>
      </w:r>
      <w:r w:rsidR="00327653" w:rsidRPr="00CE2E47">
        <w:rPr>
          <w:sz w:val="22"/>
          <w:szCs w:val="22"/>
        </w:rPr>
        <w:t xml:space="preserve"> </w:t>
      </w:r>
      <w:r w:rsidR="00C213A5" w:rsidRPr="00CE2E47">
        <w:rPr>
          <w:sz w:val="22"/>
          <w:szCs w:val="22"/>
        </w:rPr>
        <w:t xml:space="preserve">and </w:t>
      </w:r>
      <w:r w:rsidR="00327653" w:rsidRPr="00CE2E47">
        <w:rPr>
          <w:sz w:val="22"/>
          <w:szCs w:val="22"/>
        </w:rPr>
        <w:t xml:space="preserve">at least </w:t>
      </w:r>
      <w:r w:rsidR="00C213A5" w:rsidRPr="00CE2E47">
        <w:rPr>
          <w:sz w:val="22"/>
          <w:szCs w:val="22"/>
        </w:rPr>
        <w:t xml:space="preserve">2,200 </w:t>
      </w:r>
      <w:r w:rsidR="00A50D86">
        <w:rPr>
          <w:sz w:val="22"/>
          <w:szCs w:val="22"/>
        </w:rPr>
        <w:t xml:space="preserve">more </w:t>
      </w:r>
      <w:r w:rsidR="00C213A5" w:rsidRPr="00CE2E47">
        <w:rPr>
          <w:sz w:val="22"/>
          <w:szCs w:val="22"/>
        </w:rPr>
        <w:t xml:space="preserve">beds </w:t>
      </w:r>
      <w:r w:rsidR="00327653" w:rsidRPr="00CE2E47">
        <w:rPr>
          <w:sz w:val="22"/>
          <w:szCs w:val="22"/>
        </w:rPr>
        <w:t>needed by 2016</w:t>
      </w:r>
      <w:r w:rsidR="00C213A5" w:rsidRPr="00CE2E47">
        <w:rPr>
          <w:sz w:val="22"/>
          <w:szCs w:val="22"/>
        </w:rPr>
        <w:t>.</w:t>
      </w:r>
      <w:r w:rsidR="00327653" w:rsidRPr="00CE2E47">
        <w:rPr>
          <w:rStyle w:val="FootnoteReference"/>
          <w:bCs/>
          <w:sz w:val="22"/>
          <w:szCs w:val="22"/>
          <w:lang w:val="en-NZ"/>
        </w:rPr>
        <w:t xml:space="preserve"> </w:t>
      </w:r>
      <w:r w:rsidR="00327653" w:rsidRPr="00CE2E47">
        <w:rPr>
          <w:rStyle w:val="FootnoteReference"/>
          <w:bCs/>
          <w:sz w:val="22"/>
          <w:szCs w:val="22"/>
          <w:lang w:val="en-NZ"/>
        </w:rPr>
        <w:footnoteReference w:id="28"/>
      </w:r>
    </w:p>
    <w:p w:rsidR="00CE2E47" w:rsidRPr="00CE2E47" w:rsidRDefault="00CE2E47" w:rsidP="00CE2E47">
      <w:pPr>
        <w:jc w:val="both"/>
        <w:rPr>
          <w:sz w:val="22"/>
          <w:szCs w:val="22"/>
        </w:rPr>
      </w:pPr>
    </w:p>
    <w:p w:rsidR="00CE2E47" w:rsidRPr="00CE2E47" w:rsidRDefault="00327653" w:rsidP="00D54A7C">
      <w:pPr>
        <w:numPr>
          <w:ilvl w:val="1"/>
          <w:numId w:val="3"/>
        </w:numPr>
        <w:tabs>
          <w:tab w:val="clear" w:pos="1080"/>
          <w:tab w:val="num" w:pos="540"/>
        </w:tabs>
        <w:ind w:left="540" w:hanging="540"/>
        <w:jc w:val="both"/>
        <w:rPr>
          <w:sz w:val="22"/>
          <w:szCs w:val="22"/>
        </w:rPr>
      </w:pPr>
      <w:r w:rsidRPr="00CE2E47">
        <w:rPr>
          <w:sz w:val="22"/>
          <w:szCs w:val="22"/>
        </w:rPr>
        <w:t xml:space="preserve">Factors </w:t>
      </w:r>
      <w:r w:rsidR="00966317" w:rsidRPr="00CE2E47">
        <w:rPr>
          <w:sz w:val="22"/>
          <w:szCs w:val="22"/>
          <w:lang w:val="en-NZ"/>
        </w:rPr>
        <w:t xml:space="preserve">impacting upon the continued growth in </w:t>
      </w:r>
      <w:r w:rsidRPr="00CE2E47">
        <w:rPr>
          <w:sz w:val="22"/>
          <w:szCs w:val="22"/>
          <w:lang w:val="en-NZ"/>
        </w:rPr>
        <w:t>the prison population include:</w:t>
      </w:r>
      <w:r w:rsidR="00966317" w:rsidRPr="00CE2E47">
        <w:rPr>
          <w:sz w:val="22"/>
          <w:szCs w:val="22"/>
          <w:lang w:val="en-NZ"/>
        </w:rPr>
        <w:t xml:space="preserve"> higher </w:t>
      </w:r>
      <w:r w:rsidR="00966317" w:rsidRPr="00CE2E47">
        <w:rPr>
          <w:sz w:val="22"/>
          <w:szCs w:val="22"/>
        </w:rPr>
        <w:t>Police numbers, higher rates of resolution of crime, greater use of custody remands, longer average imposed sentence lengths, and tightening of parole release decisions.</w:t>
      </w:r>
      <w:r w:rsidR="00966317" w:rsidRPr="00CE2E47">
        <w:rPr>
          <w:rStyle w:val="FootnoteReference"/>
          <w:rFonts w:cs="Arial"/>
          <w:sz w:val="22"/>
          <w:szCs w:val="22"/>
          <w:lang w:val="en-NZ"/>
        </w:rPr>
        <w:footnoteReference w:id="29"/>
      </w:r>
      <w:r w:rsidR="00237AB4" w:rsidRPr="00CE2E47">
        <w:rPr>
          <w:rFonts w:cs="Arial"/>
          <w:sz w:val="22"/>
          <w:szCs w:val="22"/>
          <w:lang w:val="en-NZ"/>
        </w:rPr>
        <w:t xml:space="preserve">  </w:t>
      </w:r>
      <w:r w:rsidR="0026403E" w:rsidRPr="00CE2E47">
        <w:rPr>
          <w:sz w:val="22"/>
          <w:szCs w:val="22"/>
        </w:rPr>
        <w:t>A number of r</w:t>
      </w:r>
      <w:r w:rsidRPr="00CE2E47">
        <w:rPr>
          <w:sz w:val="22"/>
          <w:szCs w:val="22"/>
        </w:rPr>
        <w:t xml:space="preserve">ecent and proposed legislative changes </w:t>
      </w:r>
      <w:r w:rsidR="0026403E" w:rsidRPr="00CE2E47">
        <w:rPr>
          <w:sz w:val="22"/>
          <w:szCs w:val="22"/>
        </w:rPr>
        <w:t>that</w:t>
      </w:r>
      <w:r w:rsidRPr="00CE2E47">
        <w:rPr>
          <w:sz w:val="22"/>
          <w:szCs w:val="22"/>
        </w:rPr>
        <w:t xml:space="preserve"> entail </w:t>
      </w:r>
      <w:r w:rsidR="0026403E" w:rsidRPr="00CE2E47">
        <w:rPr>
          <w:sz w:val="22"/>
          <w:szCs w:val="22"/>
        </w:rPr>
        <w:t xml:space="preserve">longer sentences and </w:t>
      </w:r>
      <w:r w:rsidRPr="00CE2E47">
        <w:rPr>
          <w:sz w:val="22"/>
          <w:szCs w:val="22"/>
        </w:rPr>
        <w:t xml:space="preserve">more restrictive approaches to bail or parole </w:t>
      </w:r>
      <w:r w:rsidR="00193C3F" w:rsidRPr="00CE2E47">
        <w:rPr>
          <w:sz w:val="22"/>
          <w:szCs w:val="22"/>
        </w:rPr>
        <w:t>are expected to result in further significant increases.</w:t>
      </w:r>
      <w:r w:rsidR="00DF329E" w:rsidRPr="00CE2E47">
        <w:rPr>
          <w:rStyle w:val="FootnoteReference"/>
          <w:sz w:val="22"/>
          <w:szCs w:val="22"/>
        </w:rPr>
        <w:footnoteReference w:id="30"/>
      </w:r>
    </w:p>
    <w:p w:rsidR="00CE2E47" w:rsidRPr="00CE2E47" w:rsidRDefault="00CE2E47" w:rsidP="00CE2E47">
      <w:pPr>
        <w:jc w:val="both"/>
        <w:rPr>
          <w:sz w:val="22"/>
          <w:szCs w:val="22"/>
        </w:rPr>
      </w:pPr>
    </w:p>
    <w:p w:rsidR="00CE2E47" w:rsidRPr="00CE2E47" w:rsidRDefault="00112B95" w:rsidP="00D54A7C">
      <w:pPr>
        <w:numPr>
          <w:ilvl w:val="1"/>
          <w:numId w:val="3"/>
        </w:numPr>
        <w:tabs>
          <w:tab w:val="clear" w:pos="1080"/>
          <w:tab w:val="num" w:pos="540"/>
        </w:tabs>
        <w:ind w:left="540" w:hanging="540"/>
        <w:jc w:val="both"/>
        <w:rPr>
          <w:sz w:val="22"/>
          <w:szCs w:val="22"/>
        </w:rPr>
      </w:pPr>
      <w:r w:rsidRPr="00CE2E47">
        <w:rPr>
          <w:sz w:val="22"/>
          <w:szCs w:val="22"/>
        </w:rPr>
        <w:t>Proposals in response to the impending capacity crisis include: contracting out the management of prisons, cost cutting in construction of new facilities, and accommodating two prisoners in a cell (“double bunking”)</w:t>
      </w:r>
      <w:r w:rsidR="0078645A" w:rsidRPr="00CE2E47">
        <w:rPr>
          <w:sz w:val="22"/>
          <w:szCs w:val="22"/>
        </w:rPr>
        <w:t>.</w:t>
      </w:r>
    </w:p>
    <w:p w:rsidR="00CE2E47" w:rsidRPr="00CE2E47" w:rsidRDefault="00CE2E47" w:rsidP="00CE2E47">
      <w:pPr>
        <w:jc w:val="both"/>
        <w:rPr>
          <w:sz w:val="22"/>
          <w:szCs w:val="22"/>
        </w:rPr>
      </w:pPr>
    </w:p>
    <w:p w:rsidR="00CE2E47" w:rsidRPr="00CE2E47" w:rsidRDefault="00193C3F" w:rsidP="00D54A7C">
      <w:pPr>
        <w:numPr>
          <w:ilvl w:val="1"/>
          <w:numId w:val="3"/>
        </w:numPr>
        <w:tabs>
          <w:tab w:val="clear" w:pos="1080"/>
          <w:tab w:val="num" w:pos="540"/>
        </w:tabs>
        <w:ind w:left="540" w:hanging="540"/>
        <w:jc w:val="both"/>
        <w:rPr>
          <w:sz w:val="22"/>
          <w:szCs w:val="22"/>
        </w:rPr>
      </w:pPr>
      <w:r w:rsidRPr="00CE2E47">
        <w:rPr>
          <w:sz w:val="22"/>
          <w:szCs w:val="22"/>
        </w:rPr>
        <w:t xml:space="preserve">The Commission notes with concern that capacity pressures </w:t>
      </w:r>
      <w:r w:rsidR="00C974CE" w:rsidRPr="00CE2E47">
        <w:rPr>
          <w:sz w:val="22"/>
          <w:szCs w:val="22"/>
        </w:rPr>
        <w:t>are likely to</w:t>
      </w:r>
      <w:r w:rsidRPr="00CE2E47">
        <w:rPr>
          <w:sz w:val="22"/>
          <w:szCs w:val="22"/>
        </w:rPr>
        <w:t xml:space="preserve"> result in the use of inadequate facilities (such as police cells and other measures described as “additional though substandard capacity available for emergency use</w:t>
      </w:r>
      <w:r w:rsidR="00C974CE" w:rsidRPr="00CE2E47">
        <w:rPr>
          <w:sz w:val="22"/>
          <w:szCs w:val="22"/>
        </w:rPr>
        <w:t>”</w:t>
      </w:r>
      <w:r w:rsidRPr="00CE2E47">
        <w:rPr>
          <w:sz w:val="22"/>
          <w:szCs w:val="22"/>
        </w:rPr>
        <w:t xml:space="preserve">).  </w:t>
      </w:r>
    </w:p>
    <w:p w:rsidR="00CE2E47" w:rsidRPr="00CE2E47" w:rsidRDefault="00CE2E47" w:rsidP="00CE2E47">
      <w:pPr>
        <w:jc w:val="both"/>
        <w:rPr>
          <w:sz w:val="22"/>
          <w:szCs w:val="22"/>
        </w:rPr>
      </w:pPr>
    </w:p>
    <w:p w:rsidR="00CE2E47" w:rsidRPr="00CE2E47" w:rsidRDefault="00C974CE" w:rsidP="00D54A7C">
      <w:pPr>
        <w:numPr>
          <w:ilvl w:val="1"/>
          <w:numId w:val="3"/>
        </w:numPr>
        <w:tabs>
          <w:tab w:val="clear" w:pos="1080"/>
          <w:tab w:val="num" w:pos="540"/>
        </w:tabs>
        <w:ind w:left="540" w:hanging="540"/>
        <w:jc w:val="both"/>
        <w:rPr>
          <w:sz w:val="22"/>
          <w:szCs w:val="22"/>
        </w:rPr>
      </w:pPr>
      <w:r w:rsidRPr="00CE2E47">
        <w:rPr>
          <w:sz w:val="22"/>
          <w:szCs w:val="22"/>
        </w:rPr>
        <w:t xml:space="preserve">The Commission </w:t>
      </w:r>
      <w:r w:rsidR="0078645A" w:rsidRPr="00CE2E47">
        <w:rPr>
          <w:sz w:val="22"/>
          <w:szCs w:val="22"/>
        </w:rPr>
        <w:t xml:space="preserve">also </w:t>
      </w:r>
      <w:r w:rsidR="0074764D" w:rsidRPr="00CE2E47">
        <w:rPr>
          <w:sz w:val="22"/>
          <w:szCs w:val="22"/>
        </w:rPr>
        <w:t>notes</w:t>
      </w:r>
      <w:r w:rsidRPr="00CE2E47">
        <w:rPr>
          <w:sz w:val="22"/>
          <w:szCs w:val="22"/>
        </w:rPr>
        <w:t xml:space="preserve"> </w:t>
      </w:r>
      <w:r w:rsidR="00193C3F" w:rsidRPr="00CE2E47">
        <w:rPr>
          <w:sz w:val="22"/>
          <w:szCs w:val="22"/>
        </w:rPr>
        <w:t xml:space="preserve">the undesirability of </w:t>
      </w:r>
      <w:r w:rsidRPr="00CE2E47">
        <w:rPr>
          <w:sz w:val="22"/>
          <w:szCs w:val="22"/>
        </w:rPr>
        <w:t xml:space="preserve">having two prisoners </w:t>
      </w:r>
      <w:r w:rsidR="0078645A" w:rsidRPr="00CE2E47">
        <w:rPr>
          <w:sz w:val="22"/>
          <w:szCs w:val="22"/>
        </w:rPr>
        <w:t>sharing</w:t>
      </w:r>
      <w:r w:rsidRPr="00CE2E47">
        <w:rPr>
          <w:sz w:val="22"/>
          <w:szCs w:val="22"/>
        </w:rPr>
        <w:t xml:space="preserve"> a cell (as noted in the </w:t>
      </w:r>
      <w:r w:rsidRPr="00CE2E47">
        <w:rPr>
          <w:i/>
          <w:sz w:val="22"/>
          <w:szCs w:val="22"/>
        </w:rPr>
        <w:t>Standard Minimum Rules</w:t>
      </w:r>
      <w:r w:rsidR="0074764D" w:rsidRPr="00CE2E47">
        <w:rPr>
          <w:i/>
          <w:sz w:val="22"/>
          <w:szCs w:val="22"/>
        </w:rPr>
        <w:t>,</w:t>
      </w:r>
      <w:r w:rsidR="0074764D" w:rsidRPr="00CE2E47">
        <w:rPr>
          <w:sz w:val="22"/>
          <w:szCs w:val="22"/>
        </w:rPr>
        <w:t xml:space="preserve"> rule 9(1)</w:t>
      </w:r>
      <w:r w:rsidR="0078645A" w:rsidRPr="00CE2E47">
        <w:rPr>
          <w:sz w:val="22"/>
          <w:szCs w:val="22"/>
        </w:rPr>
        <w:t>)</w:t>
      </w:r>
      <w:r w:rsidRPr="00CE2E47">
        <w:rPr>
          <w:sz w:val="22"/>
          <w:szCs w:val="22"/>
        </w:rPr>
        <w:t xml:space="preserve"> and </w:t>
      </w:r>
      <w:r w:rsidR="0078645A" w:rsidRPr="00CE2E47">
        <w:rPr>
          <w:sz w:val="22"/>
          <w:szCs w:val="22"/>
        </w:rPr>
        <w:t>is aware of</w:t>
      </w:r>
      <w:r w:rsidRPr="00CE2E47">
        <w:rPr>
          <w:sz w:val="22"/>
          <w:szCs w:val="22"/>
        </w:rPr>
        <w:t xml:space="preserve"> the strong concerns that have been expressed by prison staff that the measure is likely to lead to increased tensions and violence.</w:t>
      </w:r>
      <w:r w:rsidR="0074764D" w:rsidRPr="00CE2E47">
        <w:rPr>
          <w:rStyle w:val="FootnoteReference"/>
          <w:sz w:val="22"/>
          <w:szCs w:val="22"/>
        </w:rPr>
        <w:footnoteReference w:id="31"/>
      </w:r>
      <w:r w:rsidRPr="00CE2E47">
        <w:rPr>
          <w:sz w:val="22"/>
          <w:szCs w:val="22"/>
        </w:rPr>
        <w:t xml:space="preserve">  </w:t>
      </w:r>
    </w:p>
    <w:p w:rsidR="00CE2E47" w:rsidRPr="00CE2E47" w:rsidRDefault="00CE2E47" w:rsidP="00CE2E47">
      <w:pPr>
        <w:jc w:val="both"/>
        <w:rPr>
          <w:sz w:val="22"/>
          <w:szCs w:val="22"/>
        </w:rPr>
      </w:pPr>
    </w:p>
    <w:p w:rsidR="0078645A" w:rsidRDefault="00966317" w:rsidP="00D54A7C">
      <w:pPr>
        <w:numPr>
          <w:ilvl w:val="1"/>
          <w:numId w:val="3"/>
        </w:numPr>
        <w:tabs>
          <w:tab w:val="clear" w:pos="1080"/>
          <w:tab w:val="num" w:pos="540"/>
        </w:tabs>
        <w:ind w:left="540" w:hanging="540"/>
        <w:jc w:val="both"/>
        <w:rPr>
          <w:sz w:val="22"/>
          <w:szCs w:val="22"/>
        </w:rPr>
      </w:pPr>
      <w:r w:rsidRPr="00CE2E47">
        <w:rPr>
          <w:sz w:val="22"/>
          <w:szCs w:val="22"/>
        </w:rPr>
        <w:t xml:space="preserve">Lack of appropriate facilities contributes to a number of other </w:t>
      </w:r>
      <w:r w:rsidR="00C73A52" w:rsidRPr="00CE2E47">
        <w:rPr>
          <w:sz w:val="22"/>
          <w:szCs w:val="22"/>
        </w:rPr>
        <w:t xml:space="preserve">human rights </w:t>
      </w:r>
      <w:r w:rsidRPr="00CE2E47">
        <w:rPr>
          <w:sz w:val="22"/>
          <w:szCs w:val="22"/>
        </w:rPr>
        <w:t xml:space="preserve">issues, such as mixing of remand and </w:t>
      </w:r>
      <w:r w:rsidR="00972A05" w:rsidRPr="00CE2E47">
        <w:rPr>
          <w:sz w:val="22"/>
          <w:szCs w:val="22"/>
        </w:rPr>
        <w:t>sentenced prisoners, age mixi</w:t>
      </w:r>
      <w:r w:rsidR="0074764D" w:rsidRPr="00CE2E47">
        <w:rPr>
          <w:sz w:val="22"/>
          <w:szCs w:val="22"/>
        </w:rPr>
        <w:t>ng, and increased lock down periods</w:t>
      </w:r>
      <w:r w:rsidRPr="00CE2E47">
        <w:rPr>
          <w:sz w:val="22"/>
          <w:szCs w:val="22"/>
        </w:rPr>
        <w:t>.</w:t>
      </w:r>
      <w:r w:rsidR="0074764D" w:rsidRPr="00CE2E47">
        <w:rPr>
          <w:sz w:val="22"/>
          <w:szCs w:val="22"/>
        </w:rPr>
        <w:t xml:space="preserve">  Access to employment, education, health </w:t>
      </w:r>
      <w:r w:rsidR="0074764D" w:rsidRPr="00CE2E47">
        <w:rPr>
          <w:sz w:val="22"/>
          <w:szCs w:val="22"/>
        </w:rPr>
        <w:lastRenderedPageBreak/>
        <w:t>services, treatment programmes, recreation and visitors are all likely to be affected by capacity and staffing pressures.</w:t>
      </w:r>
    </w:p>
    <w:p w:rsidR="00C15E7B" w:rsidRDefault="00C15E7B" w:rsidP="00C15E7B">
      <w:pPr>
        <w:tabs>
          <w:tab w:val="num" w:pos="540"/>
        </w:tabs>
        <w:jc w:val="both"/>
        <w:rPr>
          <w:sz w:val="22"/>
          <w:szCs w:val="22"/>
        </w:rPr>
      </w:pPr>
    </w:p>
    <w:p w:rsidR="00C15E7B" w:rsidRPr="00C15E7B" w:rsidRDefault="00C15E7B" w:rsidP="00D54A7C">
      <w:pPr>
        <w:numPr>
          <w:ilvl w:val="1"/>
          <w:numId w:val="3"/>
        </w:numPr>
        <w:tabs>
          <w:tab w:val="clear" w:pos="1080"/>
          <w:tab w:val="num" w:pos="540"/>
        </w:tabs>
        <w:ind w:left="540" w:hanging="540"/>
        <w:jc w:val="both"/>
        <w:rPr>
          <w:b/>
          <w:sz w:val="22"/>
          <w:szCs w:val="22"/>
        </w:rPr>
      </w:pPr>
      <w:r w:rsidRPr="00C15E7B">
        <w:rPr>
          <w:b/>
          <w:sz w:val="22"/>
          <w:szCs w:val="22"/>
        </w:rPr>
        <w:t>As such, the Commission has urged the government to commit to specific targets and timelines for reducing the high levels of imprisonment.</w:t>
      </w:r>
    </w:p>
    <w:p w:rsidR="00CE2E47" w:rsidRPr="00C73A52" w:rsidRDefault="00CE2E47" w:rsidP="00CE2E47">
      <w:pPr>
        <w:pStyle w:val="Heading3"/>
      </w:pPr>
      <w:bookmarkStart w:id="25" w:name="_Toc225333147"/>
      <w:r>
        <w:t>Staffing issues</w:t>
      </w:r>
      <w:bookmarkEnd w:id="25"/>
    </w:p>
    <w:p w:rsidR="0078645A" w:rsidRDefault="0084239F" w:rsidP="00D54A7C">
      <w:pPr>
        <w:numPr>
          <w:ilvl w:val="1"/>
          <w:numId w:val="3"/>
        </w:numPr>
        <w:tabs>
          <w:tab w:val="clear" w:pos="1080"/>
          <w:tab w:val="num" w:pos="540"/>
        </w:tabs>
        <w:ind w:left="540" w:hanging="540"/>
        <w:jc w:val="both"/>
        <w:rPr>
          <w:sz w:val="22"/>
          <w:szCs w:val="22"/>
        </w:rPr>
      </w:pPr>
      <w:r w:rsidRPr="0078645A">
        <w:rPr>
          <w:sz w:val="22"/>
          <w:szCs w:val="22"/>
        </w:rPr>
        <w:t xml:space="preserve">The ongoing growth in the prison population </w:t>
      </w:r>
      <w:r w:rsidR="0078645A" w:rsidRPr="0078645A">
        <w:rPr>
          <w:sz w:val="22"/>
          <w:szCs w:val="22"/>
        </w:rPr>
        <w:t>is also likely to increase the pressures on</w:t>
      </w:r>
      <w:r w:rsidRPr="0078645A">
        <w:rPr>
          <w:sz w:val="22"/>
          <w:szCs w:val="22"/>
        </w:rPr>
        <w:t xml:space="preserve"> staff.  </w:t>
      </w:r>
      <w:r w:rsidR="0078645A">
        <w:rPr>
          <w:sz w:val="22"/>
          <w:szCs w:val="22"/>
        </w:rPr>
        <w:t xml:space="preserve">The Commission’s previous research found that New Zealand did not rate well against international comparisons for staff-to-prisoner ratios.  </w:t>
      </w:r>
    </w:p>
    <w:p w:rsidR="00CE2E47" w:rsidRDefault="00CE2E47" w:rsidP="00CE2E47">
      <w:pPr>
        <w:jc w:val="both"/>
        <w:rPr>
          <w:sz w:val="22"/>
          <w:szCs w:val="22"/>
        </w:rPr>
      </w:pPr>
    </w:p>
    <w:p w:rsidR="00CE2E47" w:rsidRDefault="006D4D68" w:rsidP="00D54A7C">
      <w:pPr>
        <w:numPr>
          <w:ilvl w:val="1"/>
          <w:numId w:val="3"/>
        </w:numPr>
        <w:tabs>
          <w:tab w:val="clear" w:pos="1080"/>
          <w:tab w:val="num" w:pos="540"/>
        </w:tabs>
        <w:ind w:left="540" w:hanging="540"/>
        <w:jc w:val="both"/>
        <w:rPr>
          <w:sz w:val="22"/>
          <w:szCs w:val="22"/>
        </w:rPr>
      </w:pPr>
      <w:r w:rsidRPr="0078645A">
        <w:rPr>
          <w:sz w:val="22"/>
          <w:szCs w:val="22"/>
        </w:rPr>
        <w:t xml:space="preserve">The need for substantial staff recruitment </w:t>
      </w:r>
      <w:r w:rsidR="0078645A">
        <w:rPr>
          <w:sz w:val="22"/>
          <w:szCs w:val="22"/>
        </w:rPr>
        <w:t xml:space="preserve">over recent years </w:t>
      </w:r>
      <w:r w:rsidRPr="0078645A">
        <w:rPr>
          <w:sz w:val="22"/>
          <w:szCs w:val="22"/>
        </w:rPr>
        <w:t>has resulted in a high proportion of Department of Corrections staff (40%) with less than two years’ experience</w:t>
      </w:r>
      <w:r w:rsidR="00F441B3" w:rsidRPr="0078645A">
        <w:rPr>
          <w:sz w:val="22"/>
          <w:szCs w:val="22"/>
        </w:rPr>
        <w:t>.</w:t>
      </w:r>
      <w:r w:rsidR="0084239F" w:rsidRPr="0078645A">
        <w:rPr>
          <w:rStyle w:val="FootnoteReference"/>
          <w:sz w:val="22"/>
          <w:szCs w:val="22"/>
        </w:rPr>
        <w:footnoteReference w:id="32"/>
      </w:r>
      <w:r w:rsidR="0078645A">
        <w:rPr>
          <w:sz w:val="22"/>
          <w:szCs w:val="22"/>
        </w:rPr>
        <w:t xml:space="preserve">  </w:t>
      </w:r>
      <w:r w:rsidR="0084239F" w:rsidRPr="0078645A">
        <w:rPr>
          <w:sz w:val="22"/>
          <w:szCs w:val="22"/>
        </w:rPr>
        <w:t xml:space="preserve">The Commission has concerns about the impact of further growth on staffing levels, </w:t>
      </w:r>
      <w:r w:rsidR="0078645A">
        <w:rPr>
          <w:sz w:val="22"/>
          <w:szCs w:val="22"/>
        </w:rPr>
        <w:t>noting</w:t>
      </w:r>
      <w:r w:rsidR="0084239F" w:rsidRPr="0078645A">
        <w:rPr>
          <w:sz w:val="22"/>
          <w:szCs w:val="22"/>
        </w:rPr>
        <w:t xml:space="preserve"> reports that current levels are already stretched.</w:t>
      </w:r>
    </w:p>
    <w:p w:rsidR="00CE2E47" w:rsidRDefault="00CE2E47" w:rsidP="00CE2E47">
      <w:pPr>
        <w:jc w:val="both"/>
        <w:rPr>
          <w:sz w:val="22"/>
          <w:szCs w:val="22"/>
        </w:rPr>
      </w:pPr>
    </w:p>
    <w:p w:rsidR="00966317" w:rsidRPr="00C15E7B" w:rsidRDefault="0084239F" w:rsidP="00D54A7C">
      <w:pPr>
        <w:numPr>
          <w:ilvl w:val="1"/>
          <w:numId w:val="3"/>
        </w:numPr>
        <w:tabs>
          <w:tab w:val="clear" w:pos="1080"/>
          <w:tab w:val="num" w:pos="540"/>
        </w:tabs>
        <w:ind w:left="540" w:hanging="540"/>
        <w:jc w:val="both"/>
        <w:rPr>
          <w:b/>
          <w:sz w:val="22"/>
          <w:szCs w:val="22"/>
        </w:rPr>
      </w:pPr>
      <w:r w:rsidRPr="00C15E7B">
        <w:rPr>
          <w:b/>
          <w:sz w:val="22"/>
          <w:szCs w:val="22"/>
        </w:rPr>
        <w:t>T</w:t>
      </w:r>
      <w:r w:rsidR="00966317" w:rsidRPr="00C15E7B">
        <w:rPr>
          <w:b/>
          <w:sz w:val="22"/>
          <w:szCs w:val="22"/>
          <w:lang w:val="en-NZ"/>
        </w:rPr>
        <w:t xml:space="preserve">he Commission’s research has </w:t>
      </w:r>
      <w:r w:rsidR="0078645A" w:rsidRPr="00C15E7B">
        <w:rPr>
          <w:b/>
          <w:sz w:val="22"/>
          <w:szCs w:val="22"/>
          <w:lang w:val="en-NZ"/>
        </w:rPr>
        <w:t xml:space="preserve">also </w:t>
      </w:r>
      <w:r w:rsidR="00966317" w:rsidRPr="00C15E7B">
        <w:rPr>
          <w:b/>
          <w:sz w:val="22"/>
          <w:szCs w:val="22"/>
          <w:lang w:val="en-NZ"/>
        </w:rPr>
        <w:t xml:space="preserve">found that </w:t>
      </w:r>
      <w:r w:rsidR="0078645A" w:rsidRPr="00C15E7B">
        <w:rPr>
          <w:b/>
          <w:sz w:val="22"/>
          <w:szCs w:val="22"/>
          <w:lang w:val="en-NZ"/>
        </w:rPr>
        <w:t xml:space="preserve">while </w:t>
      </w:r>
      <w:r w:rsidR="00966317" w:rsidRPr="00C15E7B">
        <w:rPr>
          <w:b/>
          <w:sz w:val="22"/>
          <w:szCs w:val="22"/>
          <w:lang w:val="en-NZ"/>
        </w:rPr>
        <w:t>in many respects, the legislative and policy framework for corrections is</w:t>
      </w:r>
      <w:r w:rsidR="00966317" w:rsidRPr="00C15E7B">
        <w:rPr>
          <w:b/>
          <w:sz w:val="22"/>
          <w:szCs w:val="22"/>
        </w:rPr>
        <w:t xml:space="preserve"> consistent with </w:t>
      </w:r>
      <w:r w:rsidR="00D40FB0" w:rsidRPr="00C15E7B">
        <w:rPr>
          <w:b/>
          <w:sz w:val="22"/>
          <w:szCs w:val="22"/>
        </w:rPr>
        <w:t xml:space="preserve">human rights </w:t>
      </w:r>
      <w:r w:rsidR="00966317" w:rsidRPr="00C15E7B">
        <w:rPr>
          <w:b/>
          <w:sz w:val="22"/>
          <w:szCs w:val="22"/>
        </w:rPr>
        <w:t>standards, it is at the operational level that problems often occur.  The Commission therefore stresses the importance of comprehensively integrating human rights into Corrections staff training and day to day practices.</w:t>
      </w:r>
    </w:p>
    <w:p w:rsidR="00CE2E47" w:rsidRPr="00CE2E47" w:rsidRDefault="00CE2E47" w:rsidP="00CE2E47">
      <w:pPr>
        <w:pStyle w:val="Heading3"/>
      </w:pPr>
      <w:bookmarkStart w:id="26" w:name="_Toc225333148"/>
      <w:r>
        <w:t>Private management of prisons</w:t>
      </w:r>
      <w:bookmarkEnd w:id="26"/>
    </w:p>
    <w:p w:rsidR="008E3F11" w:rsidRPr="00CE2E47" w:rsidRDefault="008E3F11" w:rsidP="00D54A7C">
      <w:pPr>
        <w:numPr>
          <w:ilvl w:val="1"/>
          <w:numId w:val="3"/>
        </w:numPr>
        <w:tabs>
          <w:tab w:val="clear" w:pos="1080"/>
          <w:tab w:val="num" w:pos="540"/>
        </w:tabs>
        <w:ind w:left="540" w:hanging="540"/>
        <w:jc w:val="both"/>
        <w:rPr>
          <w:sz w:val="22"/>
          <w:szCs w:val="22"/>
        </w:rPr>
      </w:pPr>
      <w:r w:rsidRPr="00997671">
        <w:rPr>
          <w:sz w:val="22"/>
          <w:szCs w:val="22"/>
          <w:lang w:val="en-NZ"/>
        </w:rPr>
        <w:t>In 2002 the Human Rights Committee expressed concern that the management of one prison and prison escort services had been contracted to private companies, and welcomed New Zealand’s intention to cease private management of prisons. This was subsequently implemented through the enactment of the Corrections Act 2004.  The Committee was “concerned about whether the practice of privatisation, in an area where the State is responsible for protecting the rights of persons whom it has deprived of their liberty, effectively meets the obligations of the State party under the Covenant and its own accountability for any violations”.</w:t>
      </w:r>
      <w:r w:rsidRPr="00997671">
        <w:rPr>
          <w:rStyle w:val="FootnoteReference"/>
          <w:rFonts w:cs="Arial"/>
          <w:sz w:val="22"/>
          <w:szCs w:val="22"/>
          <w:lang w:val="en-NZ"/>
        </w:rPr>
        <w:t xml:space="preserve"> </w:t>
      </w:r>
      <w:r w:rsidRPr="00997671">
        <w:rPr>
          <w:rStyle w:val="FootnoteReference"/>
          <w:rFonts w:cs="Arial"/>
          <w:sz w:val="22"/>
          <w:szCs w:val="22"/>
          <w:lang w:val="en-NZ"/>
        </w:rPr>
        <w:footnoteReference w:id="33"/>
      </w:r>
    </w:p>
    <w:p w:rsidR="00CE2E47" w:rsidRPr="00CE2E47" w:rsidRDefault="00CE2E47" w:rsidP="00CE2E47">
      <w:pPr>
        <w:jc w:val="both"/>
        <w:rPr>
          <w:sz w:val="22"/>
          <w:szCs w:val="22"/>
        </w:rPr>
      </w:pPr>
    </w:p>
    <w:p w:rsidR="00CE2E47" w:rsidRDefault="008E3F11" w:rsidP="00D54A7C">
      <w:pPr>
        <w:numPr>
          <w:ilvl w:val="1"/>
          <w:numId w:val="3"/>
        </w:numPr>
        <w:tabs>
          <w:tab w:val="clear" w:pos="1080"/>
          <w:tab w:val="num" w:pos="540"/>
        </w:tabs>
        <w:ind w:left="540" w:hanging="540"/>
        <w:jc w:val="both"/>
        <w:rPr>
          <w:sz w:val="22"/>
          <w:szCs w:val="22"/>
        </w:rPr>
      </w:pPr>
      <w:r w:rsidRPr="00997671">
        <w:rPr>
          <w:sz w:val="22"/>
          <w:szCs w:val="22"/>
          <w:lang w:val="en-NZ"/>
        </w:rPr>
        <w:t xml:space="preserve">The current government </w:t>
      </w:r>
      <w:r w:rsidR="00997671">
        <w:rPr>
          <w:sz w:val="22"/>
          <w:szCs w:val="22"/>
          <w:lang w:val="en-NZ"/>
        </w:rPr>
        <w:t>has introduced a bill</w:t>
      </w:r>
      <w:r w:rsidRPr="00997671">
        <w:rPr>
          <w:sz w:val="22"/>
          <w:szCs w:val="22"/>
          <w:lang w:val="en-NZ"/>
        </w:rPr>
        <w:t xml:space="preserve"> to</w:t>
      </w:r>
      <w:r w:rsidR="00997671">
        <w:rPr>
          <w:sz w:val="22"/>
          <w:szCs w:val="22"/>
          <w:lang w:val="en-NZ"/>
        </w:rPr>
        <w:t xml:space="preserve"> once again enable prison management to be contracted to private parties</w:t>
      </w:r>
      <w:r w:rsidRPr="00997671">
        <w:rPr>
          <w:sz w:val="22"/>
          <w:szCs w:val="22"/>
          <w:lang w:val="en-NZ"/>
        </w:rPr>
        <w:t>.  The Corrections (Contract Management of Prisons) Amendment Bill includes requirements that contractors comply with relevant international obligations and standards and report regularly to the Minister of Corrections on a range of matters including staff training, prison programmes, prisoner complaints, disciplinary actions, and incidents involving violence or self-inflicted injuries.</w:t>
      </w:r>
    </w:p>
    <w:p w:rsidR="00CE2E47" w:rsidRDefault="00CE2E47" w:rsidP="00CE2E47">
      <w:pPr>
        <w:jc w:val="both"/>
        <w:rPr>
          <w:sz w:val="22"/>
          <w:szCs w:val="22"/>
          <w:lang w:val="en-NZ"/>
        </w:rPr>
      </w:pPr>
    </w:p>
    <w:p w:rsidR="00CE2E47" w:rsidRDefault="00997671" w:rsidP="00D54A7C">
      <w:pPr>
        <w:numPr>
          <w:ilvl w:val="1"/>
          <w:numId w:val="3"/>
        </w:numPr>
        <w:tabs>
          <w:tab w:val="clear" w:pos="1080"/>
          <w:tab w:val="num" w:pos="540"/>
        </w:tabs>
        <w:ind w:left="540" w:hanging="540"/>
        <w:jc w:val="both"/>
        <w:rPr>
          <w:sz w:val="22"/>
          <w:szCs w:val="22"/>
        </w:rPr>
      </w:pPr>
      <w:r>
        <w:rPr>
          <w:sz w:val="22"/>
          <w:szCs w:val="22"/>
          <w:lang w:val="en-NZ"/>
        </w:rPr>
        <w:t>The Commission notes that the evidence is equivocal as to the benefits of privately managed prisons, and concerns about the performance of some private prisons overseas.</w:t>
      </w:r>
      <w:r w:rsidR="0095006D">
        <w:rPr>
          <w:sz w:val="22"/>
          <w:szCs w:val="22"/>
          <w:lang w:val="en-NZ"/>
        </w:rPr>
        <w:t xml:space="preserve">  </w:t>
      </w:r>
      <w:r w:rsidR="004473DF">
        <w:rPr>
          <w:sz w:val="22"/>
          <w:szCs w:val="22"/>
          <w:lang w:val="en-NZ"/>
        </w:rPr>
        <w:t>R</w:t>
      </w:r>
      <w:r w:rsidR="004922A4">
        <w:rPr>
          <w:sz w:val="22"/>
          <w:szCs w:val="22"/>
          <w:lang w:val="en-NZ"/>
        </w:rPr>
        <w:t xml:space="preserve">eported </w:t>
      </w:r>
      <w:r w:rsidR="004473DF">
        <w:rPr>
          <w:sz w:val="22"/>
          <w:szCs w:val="22"/>
          <w:lang w:val="en-NZ"/>
        </w:rPr>
        <w:t>statements by</w:t>
      </w:r>
      <w:r w:rsidRPr="00997671">
        <w:rPr>
          <w:sz w:val="22"/>
          <w:szCs w:val="22"/>
          <w:lang w:val="en-NZ"/>
        </w:rPr>
        <w:t xml:space="preserve"> </w:t>
      </w:r>
      <w:r w:rsidR="004922A4">
        <w:rPr>
          <w:sz w:val="22"/>
          <w:szCs w:val="22"/>
          <w:lang w:val="en-NZ"/>
        </w:rPr>
        <w:t>prison union</w:t>
      </w:r>
      <w:r w:rsidR="004473DF">
        <w:rPr>
          <w:sz w:val="22"/>
          <w:szCs w:val="22"/>
          <w:lang w:val="en-NZ"/>
        </w:rPr>
        <w:t>s</w:t>
      </w:r>
      <w:r w:rsidR="004922A4">
        <w:rPr>
          <w:sz w:val="22"/>
          <w:szCs w:val="22"/>
          <w:lang w:val="en-NZ"/>
        </w:rPr>
        <w:t xml:space="preserve"> </w:t>
      </w:r>
      <w:r w:rsidRPr="00997671">
        <w:rPr>
          <w:sz w:val="22"/>
          <w:szCs w:val="22"/>
          <w:lang w:val="en-NZ"/>
        </w:rPr>
        <w:t>that</w:t>
      </w:r>
      <w:r>
        <w:rPr>
          <w:sz w:val="22"/>
          <w:szCs w:val="22"/>
          <w:lang w:val="en-NZ"/>
        </w:rPr>
        <w:t>,</w:t>
      </w:r>
      <w:r w:rsidRPr="00997671">
        <w:rPr>
          <w:sz w:val="22"/>
          <w:szCs w:val="22"/>
          <w:lang w:val="en-NZ"/>
        </w:rPr>
        <w:t xml:space="preserve"> while under private management</w:t>
      </w:r>
      <w:r>
        <w:rPr>
          <w:sz w:val="22"/>
          <w:szCs w:val="22"/>
          <w:lang w:val="en-NZ"/>
        </w:rPr>
        <w:t>,</w:t>
      </w:r>
      <w:r w:rsidRPr="00997671">
        <w:rPr>
          <w:sz w:val="22"/>
          <w:szCs w:val="22"/>
          <w:lang w:val="en-NZ"/>
        </w:rPr>
        <w:t xml:space="preserve"> Auckland’s remand prison had a much lower staff to prisoner ratio than publicly managed prisons (1:50 compared with 1:15 in </w:t>
      </w:r>
      <w:r w:rsidRPr="00997671">
        <w:rPr>
          <w:sz w:val="22"/>
          <w:szCs w:val="22"/>
          <w:lang w:val="en-NZ"/>
        </w:rPr>
        <w:lastRenderedPageBreak/>
        <w:t>public prisons), lower staff salaries and reduced services (such as refusing to admit prisoners after 6.30 pm)</w:t>
      </w:r>
      <w:r>
        <w:rPr>
          <w:sz w:val="22"/>
          <w:szCs w:val="22"/>
          <w:lang w:val="en-NZ"/>
        </w:rPr>
        <w:t>, are also of concern</w:t>
      </w:r>
      <w:r w:rsidRPr="00997671">
        <w:rPr>
          <w:sz w:val="22"/>
          <w:szCs w:val="22"/>
          <w:lang w:val="en-NZ"/>
        </w:rPr>
        <w:t>.</w:t>
      </w:r>
      <w:r w:rsidRPr="00997671">
        <w:rPr>
          <w:rStyle w:val="FootnoteReference"/>
          <w:rFonts w:cs="Arial"/>
          <w:sz w:val="22"/>
          <w:szCs w:val="22"/>
          <w:lang w:val="en-NZ"/>
        </w:rPr>
        <w:footnoteReference w:id="34"/>
      </w:r>
      <w:r w:rsidRPr="00997671">
        <w:rPr>
          <w:sz w:val="22"/>
          <w:szCs w:val="22"/>
          <w:lang w:val="en-NZ"/>
        </w:rPr>
        <w:t xml:space="preserve">  </w:t>
      </w:r>
    </w:p>
    <w:p w:rsidR="00CE2E47" w:rsidRDefault="00CE2E47" w:rsidP="00CE2E47">
      <w:pPr>
        <w:jc w:val="both"/>
        <w:rPr>
          <w:sz w:val="22"/>
          <w:szCs w:val="22"/>
          <w:lang w:val="en-NZ"/>
        </w:rPr>
      </w:pPr>
    </w:p>
    <w:p w:rsidR="008E3F11" w:rsidRPr="00C15E7B" w:rsidRDefault="008E3F11" w:rsidP="00D54A7C">
      <w:pPr>
        <w:numPr>
          <w:ilvl w:val="1"/>
          <w:numId w:val="3"/>
        </w:numPr>
        <w:tabs>
          <w:tab w:val="clear" w:pos="1080"/>
          <w:tab w:val="num" w:pos="540"/>
        </w:tabs>
        <w:ind w:left="540" w:hanging="540"/>
        <w:jc w:val="both"/>
        <w:rPr>
          <w:b/>
          <w:sz w:val="22"/>
          <w:szCs w:val="22"/>
        </w:rPr>
      </w:pPr>
      <w:r w:rsidRPr="00C15E7B">
        <w:rPr>
          <w:b/>
          <w:sz w:val="22"/>
          <w:szCs w:val="22"/>
          <w:lang w:val="en-NZ"/>
        </w:rPr>
        <w:t>Although steps have been taken to mitigate some of the risks inherent in private management of prisons,</w:t>
      </w:r>
      <w:r w:rsidR="00997671" w:rsidRPr="00C15E7B">
        <w:rPr>
          <w:b/>
          <w:sz w:val="22"/>
          <w:szCs w:val="22"/>
          <w:lang w:val="en-NZ"/>
        </w:rPr>
        <w:t xml:space="preserve"> if this option is to be adopted, ensuring </w:t>
      </w:r>
      <w:r w:rsidRPr="00C15E7B">
        <w:rPr>
          <w:b/>
          <w:sz w:val="22"/>
          <w:szCs w:val="22"/>
          <w:lang w:val="en-NZ"/>
        </w:rPr>
        <w:t>full</w:t>
      </w:r>
      <w:r w:rsidRPr="00C15E7B">
        <w:rPr>
          <w:b/>
          <w:sz w:val="22"/>
          <w:szCs w:val="22"/>
        </w:rPr>
        <w:t xml:space="preserve"> accounta</w:t>
      </w:r>
      <w:r w:rsidR="00997671" w:rsidRPr="00C15E7B">
        <w:rPr>
          <w:b/>
          <w:sz w:val="22"/>
          <w:szCs w:val="22"/>
        </w:rPr>
        <w:t>bility and independent scrutiny</w:t>
      </w:r>
      <w:r w:rsidRPr="00C15E7B">
        <w:rPr>
          <w:b/>
          <w:sz w:val="22"/>
          <w:szCs w:val="22"/>
        </w:rPr>
        <w:t xml:space="preserve"> </w:t>
      </w:r>
      <w:r w:rsidR="00997671" w:rsidRPr="00C15E7B">
        <w:rPr>
          <w:b/>
          <w:sz w:val="22"/>
          <w:szCs w:val="22"/>
        </w:rPr>
        <w:t>(</w:t>
      </w:r>
      <w:r w:rsidRPr="00C15E7B">
        <w:rPr>
          <w:b/>
          <w:sz w:val="22"/>
          <w:szCs w:val="22"/>
        </w:rPr>
        <w:t>including oversight by the Ombudsmen</w:t>
      </w:r>
      <w:r w:rsidR="00997671" w:rsidRPr="00C15E7B">
        <w:rPr>
          <w:b/>
          <w:sz w:val="22"/>
          <w:szCs w:val="22"/>
        </w:rPr>
        <w:t>), will be essential</w:t>
      </w:r>
      <w:r w:rsidRPr="00C15E7B">
        <w:rPr>
          <w:b/>
          <w:sz w:val="22"/>
          <w:szCs w:val="22"/>
        </w:rPr>
        <w:t>.</w:t>
      </w:r>
    </w:p>
    <w:p w:rsidR="00CE2E47" w:rsidRDefault="00CE2E47" w:rsidP="00CE2E47">
      <w:pPr>
        <w:jc w:val="both"/>
        <w:rPr>
          <w:sz w:val="22"/>
          <w:szCs w:val="22"/>
        </w:rPr>
      </w:pPr>
    </w:p>
    <w:p w:rsidR="00CE2E47" w:rsidRDefault="00CE2E47" w:rsidP="00CE2E47">
      <w:pPr>
        <w:pStyle w:val="Heading2"/>
      </w:pPr>
      <w:bookmarkStart w:id="27" w:name="_Toc225333149"/>
      <w:r>
        <w:t>Children and Young People</w:t>
      </w:r>
      <w:bookmarkEnd w:id="27"/>
    </w:p>
    <w:p w:rsidR="000C67DE" w:rsidRPr="00CE2E47" w:rsidRDefault="000C67DE" w:rsidP="00D54A7C">
      <w:pPr>
        <w:numPr>
          <w:ilvl w:val="1"/>
          <w:numId w:val="3"/>
        </w:numPr>
        <w:tabs>
          <w:tab w:val="clear" w:pos="1080"/>
          <w:tab w:val="num" w:pos="540"/>
        </w:tabs>
        <w:ind w:left="540" w:hanging="540"/>
        <w:jc w:val="both"/>
        <w:rPr>
          <w:sz w:val="22"/>
          <w:szCs w:val="22"/>
        </w:rPr>
      </w:pPr>
      <w:r w:rsidRPr="007C3031">
        <w:rPr>
          <w:sz w:val="22"/>
          <w:szCs w:val="22"/>
          <w:lang w:val="en-GB" w:eastAsia="en-GB"/>
        </w:rPr>
        <w:t>The Committee previously recommended that New Zealand implement the recommendations of the Committee on the Rights of the Child</w:t>
      </w:r>
      <w:r w:rsidR="00811CDC" w:rsidRPr="007C3031">
        <w:rPr>
          <w:sz w:val="22"/>
          <w:szCs w:val="22"/>
          <w:lang w:val="en-GB" w:eastAsia="en-GB"/>
        </w:rPr>
        <w:t xml:space="preserve"> (CRC)</w:t>
      </w:r>
      <w:r w:rsidRPr="007C3031">
        <w:rPr>
          <w:sz w:val="22"/>
          <w:szCs w:val="22"/>
          <w:lang w:val="en-GB" w:eastAsia="en-GB"/>
        </w:rPr>
        <w:t>, which included recommendations concerning corporal punishment in the home, implementation of international</w:t>
      </w:r>
      <w:r w:rsidR="006448AB" w:rsidRPr="007C3031">
        <w:rPr>
          <w:sz w:val="22"/>
          <w:szCs w:val="22"/>
          <w:lang w:val="en-GB" w:eastAsia="en-GB"/>
        </w:rPr>
        <w:t xml:space="preserve"> standards for</w:t>
      </w:r>
      <w:r w:rsidRPr="007C3031">
        <w:rPr>
          <w:sz w:val="22"/>
          <w:szCs w:val="22"/>
          <w:lang w:val="en-GB" w:eastAsia="en-GB"/>
        </w:rPr>
        <w:t xml:space="preserve"> juvenile justice, and ensuring the availability of sufficient youth justice facilities so that young people in detention are held separately from adults.</w:t>
      </w:r>
    </w:p>
    <w:p w:rsidR="00CE2E47" w:rsidRDefault="00CE2E47" w:rsidP="00CE2E47">
      <w:pPr>
        <w:pStyle w:val="Heading3"/>
      </w:pPr>
      <w:bookmarkStart w:id="28" w:name="_Toc225333150"/>
      <w:r>
        <w:t>Corporal punishment in the home</w:t>
      </w:r>
      <w:bookmarkEnd w:id="28"/>
    </w:p>
    <w:p w:rsidR="000C67DE" w:rsidRPr="00C15E7B" w:rsidRDefault="000C67DE" w:rsidP="00D54A7C">
      <w:pPr>
        <w:numPr>
          <w:ilvl w:val="1"/>
          <w:numId w:val="3"/>
        </w:numPr>
        <w:tabs>
          <w:tab w:val="clear" w:pos="1080"/>
          <w:tab w:val="num" w:pos="540"/>
        </w:tabs>
        <w:ind w:left="540" w:hanging="540"/>
        <w:jc w:val="both"/>
        <w:rPr>
          <w:b/>
          <w:sz w:val="22"/>
          <w:szCs w:val="22"/>
        </w:rPr>
      </w:pPr>
      <w:r w:rsidRPr="00C15E7B">
        <w:rPr>
          <w:b/>
          <w:sz w:val="22"/>
          <w:szCs w:val="22"/>
        </w:rPr>
        <w:t>The legal framework protecting the rights of children and young people has been greatly strengthened by the amendment in 2007 of Section 59 of the Crimes Act 1961, which deals with corporal punishment of children by parents or guardians.  The amendment removed justification of the use of force for the purpose of correction.</w:t>
      </w:r>
    </w:p>
    <w:p w:rsidR="00CE2E47" w:rsidRDefault="00CE2E47" w:rsidP="00CE2E47">
      <w:pPr>
        <w:jc w:val="both"/>
        <w:rPr>
          <w:sz w:val="22"/>
          <w:szCs w:val="22"/>
        </w:rPr>
      </w:pPr>
    </w:p>
    <w:p w:rsidR="00CE2E47" w:rsidRDefault="006448AB" w:rsidP="00D54A7C">
      <w:pPr>
        <w:numPr>
          <w:ilvl w:val="1"/>
          <w:numId w:val="3"/>
        </w:numPr>
        <w:tabs>
          <w:tab w:val="clear" w:pos="1080"/>
          <w:tab w:val="num" w:pos="540"/>
        </w:tabs>
        <w:ind w:left="540" w:hanging="540"/>
        <w:jc w:val="both"/>
        <w:rPr>
          <w:sz w:val="22"/>
          <w:szCs w:val="22"/>
        </w:rPr>
      </w:pPr>
      <w:r w:rsidRPr="007C3031">
        <w:rPr>
          <w:sz w:val="22"/>
          <w:szCs w:val="22"/>
        </w:rPr>
        <w:t xml:space="preserve">A citizens initiated referendum brought by opponents of the s.59 amendment is to be held in July.  While the referendum will not be binding on the government, there is potential for progress in this area to be undermined if the law and relevant human rights obligations are not </w:t>
      </w:r>
      <w:r w:rsidR="00A776EA">
        <w:rPr>
          <w:sz w:val="22"/>
          <w:szCs w:val="22"/>
        </w:rPr>
        <w:t>properly understood</w:t>
      </w:r>
      <w:r w:rsidRPr="007C3031">
        <w:rPr>
          <w:sz w:val="22"/>
          <w:szCs w:val="22"/>
        </w:rPr>
        <w:t>.</w:t>
      </w:r>
    </w:p>
    <w:p w:rsidR="00CE2E47" w:rsidRDefault="00CE2E47" w:rsidP="00CE2E47">
      <w:pPr>
        <w:jc w:val="both"/>
        <w:rPr>
          <w:sz w:val="22"/>
          <w:szCs w:val="22"/>
        </w:rPr>
      </w:pPr>
    </w:p>
    <w:p w:rsidR="000C67DE" w:rsidRPr="00C15E7B" w:rsidRDefault="000C67DE" w:rsidP="00D54A7C">
      <w:pPr>
        <w:numPr>
          <w:ilvl w:val="1"/>
          <w:numId w:val="3"/>
        </w:numPr>
        <w:tabs>
          <w:tab w:val="clear" w:pos="1080"/>
          <w:tab w:val="num" w:pos="540"/>
        </w:tabs>
        <w:ind w:left="540" w:hanging="540"/>
        <w:jc w:val="both"/>
        <w:rPr>
          <w:b/>
          <w:sz w:val="22"/>
          <w:szCs w:val="22"/>
        </w:rPr>
      </w:pPr>
      <w:r w:rsidRPr="00C15E7B">
        <w:rPr>
          <w:b/>
          <w:sz w:val="22"/>
          <w:szCs w:val="22"/>
        </w:rPr>
        <w:t>There are indications that the law change is not well understood and that resources need to be committed to raising awareness of the law and of children’s right to protection.</w:t>
      </w:r>
      <w:r w:rsidRPr="00C15E7B">
        <w:rPr>
          <w:rStyle w:val="FootnoteReference"/>
          <w:b/>
          <w:sz w:val="22"/>
          <w:szCs w:val="22"/>
        </w:rPr>
        <w:t xml:space="preserve"> </w:t>
      </w:r>
      <w:r w:rsidRPr="00C15E7B">
        <w:rPr>
          <w:rStyle w:val="FootnoteReference"/>
          <w:b/>
          <w:sz w:val="22"/>
          <w:szCs w:val="22"/>
        </w:rPr>
        <w:footnoteReference w:id="35"/>
      </w:r>
      <w:r w:rsidRPr="00C15E7B">
        <w:rPr>
          <w:b/>
          <w:sz w:val="22"/>
          <w:szCs w:val="22"/>
        </w:rPr>
        <w:t xml:space="preserve">  There is also a need for continued promotion of positive, non-violent forms of discipline.</w:t>
      </w:r>
    </w:p>
    <w:p w:rsidR="00CE2E47" w:rsidRDefault="00CE2E47" w:rsidP="00CE2E47">
      <w:pPr>
        <w:pStyle w:val="Heading3"/>
      </w:pPr>
      <w:bookmarkStart w:id="29" w:name="_Toc225333151"/>
      <w:r>
        <w:t>Youth Justice</w:t>
      </w:r>
      <w:bookmarkEnd w:id="29"/>
    </w:p>
    <w:p w:rsidR="0059511C" w:rsidRPr="00CE2E47" w:rsidRDefault="0059511C" w:rsidP="00D54A7C">
      <w:pPr>
        <w:numPr>
          <w:ilvl w:val="1"/>
          <w:numId w:val="3"/>
        </w:numPr>
        <w:tabs>
          <w:tab w:val="clear" w:pos="1080"/>
          <w:tab w:val="num" w:pos="540"/>
        </w:tabs>
        <w:ind w:left="540" w:hanging="540"/>
        <w:jc w:val="both"/>
        <w:rPr>
          <w:sz w:val="22"/>
          <w:szCs w:val="22"/>
        </w:rPr>
      </w:pPr>
      <w:r w:rsidRPr="007C3031">
        <w:rPr>
          <w:sz w:val="22"/>
          <w:szCs w:val="22"/>
          <w:lang w:val="en-GB" w:eastAsia="en-GB"/>
        </w:rPr>
        <w:t xml:space="preserve">The Children, Young Persons and their Families Act 1989 </w:t>
      </w:r>
      <w:r w:rsidR="00593CF6" w:rsidRPr="007C3031">
        <w:rPr>
          <w:sz w:val="22"/>
          <w:szCs w:val="22"/>
          <w:lang w:val="en-GB" w:eastAsia="en-GB"/>
        </w:rPr>
        <w:t>deals with child and youth offending.  O</w:t>
      </w:r>
      <w:r w:rsidRPr="007C3031">
        <w:rPr>
          <w:sz w:val="22"/>
          <w:szCs w:val="22"/>
          <w:lang w:val="en-GB" w:eastAsia="en-GB"/>
        </w:rPr>
        <w:t>ffending by children (aged 10-13) is generally dealt with by the Family Court under the Act’s ‘care and protection’ provisions</w:t>
      </w:r>
      <w:r w:rsidR="00593CF6" w:rsidRPr="007C3031">
        <w:rPr>
          <w:sz w:val="22"/>
          <w:szCs w:val="22"/>
          <w:lang w:val="en-GB" w:eastAsia="en-GB"/>
        </w:rPr>
        <w:t>,</w:t>
      </w:r>
      <w:r w:rsidRPr="007C3031">
        <w:rPr>
          <w:sz w:val="22"/>
          <w:szCs w:val="22"/>
          <w:lang w:val="en-GB" w:eastAsia="en-GB"/>
        </w:rPr>
        <w:t xml:space="preserve"> although children may be prosecuted for murder or manslaughter</w:t>
      </w:r>
      <w:r w:rsidR="00593CF6" w:rsidRPr="007C3031">
        <w:rPr>
          <w:sz w:val="22"/>
          <w:szCs w:val="22"/>
          <w:lang w:val="en-GB" w:eastAsia="en-GB"/>
        </w:rPr>
        <w:t>.  Y</w:t>
      </w:r>
      <w:r w:rsidRPr="007C3031">
        <w:rPr>
          <w:sz w:val="22"/>
          <w:szCs w:val="22"/>
          <w:lang w:val="en-GB" w:eastAsia="en-GB"/>
        </w:rPr>
        <w:t>oung people (aged 14-16) are subject to the</w:t>
      </w:r>
      <w:r w:rsidR="00593CF6" w:rsidRPr="007C3031">
        <w:rPr>
          <w:sz w:val="22"/>
          <w:szCs w:val="22"/>
          <w:lang w:val="en-GB" w:eastAsia="en-GB"/>
        </w:rPr>
        <w:t xml:space="preserve"> Act’s</w:t>
      </w:r>
      <w:r w:rsidRPr="007C3031">
        <w:rPr>
          <w:sz w:val="22"/>
          <w:szCs w:val="22"/>
          <w:lang w:val="en-GB" w:eastAsia="en-GB"/>
        </w:rPr>
        <w:t xml:space="preserve"> ‘youth justice’ provisions and dealt with by the Youth Court.  </w:t>
      </w:r>
      <w:r w:rsidR="003716DE" w:rsidRPr="007C3031">
        <w:rPr>
          <w:sz w:val="22"/>
          <w:szCs w:val="22"/>
          <w:lang w:val="en-GB" w:eastAsia="en-GB"/>
        </w:rPr>
        <w:t xml:space="preserve">The </w:t>
      </w:r>
      <w:r w:rsidR="00811CDC" w:rsidRPr="007C3031">
        <w:rPr>
          <w:sz w:val="22"/>
          <w:szCs w:val="22"/>
          <w:lang w:val="en-GB" w:eastAsia="en-GB"/>
        </w:rPr>
        <w:t>CRC</w:t>
      </w:r>
      <w:r w:rsidR="00593CF6" w:rsidRPr="007C3031">
        <w:rPr>
          <w:sz w:val="22"/>
          <w:szCs w:val="22"/>
          <w:lang w:val="en-GB" w:eastAsia="en-GB"/>
        </w:rPr>
        <w:t xml:space="preserve"> </w:t>
      </w:r>
      <w:r w:rsidR="003716DE" w:rsidRPr="007C3031">
        <w:rPr>
          <w:sz w:val="22"/>
          <w:szCs w:val="22"/>
          <w:lang w:val="en-GB" w:eastAsia="en-GB"/>
        </w:rPr>
        <w:t>has previously recommended that New Zealand raise the minimum age of criminal responsibility</w:t>
      </w:r>
      <w:r w:rsidRPr="007C3031">
        <w:rPr>
          <w:sz w:val="22"/>
          <w:szCs w:val="22"/>
          <w:lang w:val="en-GB" w:eastAsia="en-GB"/>
        </w:rPr>
        <w:t xml:space="preserve"> and that the upper </w:t>
      </w:r>
      <w:r w:rsidR="00593CF6" w:rsidRPr="007C3031">
        <w:rPr>
          <w:sz w:val="22"/>
          <w:szCs w:val="22"/>
          <w:lang w:val="en-GB" w:eastAsia="en-GB"/>
        </w:rPr>
        <w:t xml:space="preserve">age </w:t>
      </w:r>
      <w:r w:rsidRPr="007C3031">
        <w:rPr>
          <w:sz w:val="22"/>
          <w:szCs w:val="22"/>
          <w:lang w:val="en-GB" w:eastAsia="en-GB"/>
        </w:rPr>
        <w:t xml:space="preserve">limit of the Act </w:t>
      </w:r>
      <w:r w:rsidR="00593CF6" w:rsidRPr="007C3031">
        <w:rPr>
          <w:sz w:val="22"/>
          <w:szCs w:val="22"/>
          <w:lang w:val="en-GB" w:eastAsia="en-GB"/>
        </w:rPr>
        <w:t>is</w:t>
      </w:r>
      <w:r w:rsidRPr="007C3031">
        <w:rPr>
          <w:sz w:val="22"/>
          <w:szCs w:val="22"/>
          <w:lang w:val="en-GB" w:eastAsia="en-GB"/>
        </w:rPr>
        <w:t xml:space="preserve"> raised to</w:t>
      </w:r>
      <w:r w:rsidR="00593CF6" w:rsidRPr="007C3031">
        <w:rPr>
          <w:sz w:val="22"/>
          <w:szCs w:val="22"/>
          <w:lang w:val="en-GB" w:eastAsia="en-GB"/>
        </w:rPr>
        <w:t xml:space="preserve"> </w:t>
      </w:r>
      <w:r w:rsidRPr="007C3031">
        <w:rPr>
          <w:sz w:val="22"/>
          <w:szCs w:val="22"/>
          <w:lang w:val="en-GB" w:eastAsia="en-GB"/>
        </w:rPr>
        <w:t>align with the UNCROC definition of the child.</w:t>
      </w:r>
      <w:r w:rsidR="00593CF6" w:rsidRPr="007C3031">
        <w:rPr>
          <w:rStyle w:val="FootnoteReference"/>
          <w:sz w:val="22"/>
          <w:szCs w:val="22"/>
          <w:lang w:val="en-GB" w:eastAsia="en-GB"/>
        </w:rPr>
        <w:footnoteReference w:id="36"/>
      </w:r>
      <w:r w:rsidR="003716DE" w:rsidRPr="007C3031">
        <w:rPr>
          <w:sz w:val="22"/>
          <w:szCs w:val="22"/>
          <w:lang w:val="en-GB" w:eastAsia="en-GB"/>
        </w:rPr>
        <w:t xml:space="preserve">  </w:t>
      </w:r>
    </w:p>
    <w:p w:rsidR="00CE2E47" w:rsidRPr="00CE2E47" w:rsidRDefault="00CE2E47" w:rsidP="00CE2E47">
      <w:pPr>
        <w:jc w:val="both"/>
        <w:rPr>
          <w:sz w:val="22"/>
          <w:szCs w:val="22"/>
        </w:rPr>
      </w:pPr>
    </w:p>
    <w:p w:rsidR="00CE2E47" w:rsidRDefault="00593CF6" w:rsidP="00D54A7C">
      <w:pPr>
        <w:numPr>
          <w:ilvl w:val="1"/>
          <w:numId w:val="3"/>
        </w:numPr>
        <w:tabs>
          <w:tab w:val="clear" w:pos="1080"/>
          <w:tab w:val="num" w:pos="540"/>
        </w:tabs>
        <w:ind w:left="540" w:hanging="540"/>
        <w:jc w:val="both"/>
        <w:rPr>
          <w:sz w:val="22"/>
          <w:szCs w:val="22"/>
        </w:rPr>
      </w:pPr>
      <w:r w:rsidRPr="007C3031">
        <w:rPr>
          <w:sz w:val="22"/>
          <w:szCs w:val="22"/>
          <w:lang w:val="en-GB" w:eastAsia="en-GB"/>
        </w:rPr>
        <w:t xml:space="preserve">The Commission welcomed the introduction of the Children, Young Persons and their Families Amendment Bill (No. 6) in 2007.  The </w:t>
      </w:r>
      <w:r w:rsidR="00054450" w:rsidRPr="007C3031">
        <w:rPr>
          <w:sz w:val="22"/>
          <w:szCs w:val="22"/>
          <w:lang w:val="en-GB" w:eastAsia="en-GB"/>
        </w:rPr>
        <w:t>b</w:t>
      </w:r>
      <w:r w:rsidRPr="007C3031">
        <w:rPr>
          <w:sz w:val="22"/>
          <w:szCs w:val="22"/>
          <w:lang w:val="en-GB" w:eastAsia="en-GB"/>
        </w:rPr>
        <w:t xml:space="preserve">ill proposed to raise </w:t>
      </w:r>
      <w:r w:rsidRPr="007C3031">
        <w:rPr>
          <w:sz w:val="22"/>
          <w:szCs w:val="22"/>
          <w:lang w:val="en-GB" w:eastAsia="en-GB"/>
        </w:rPr>
        <w:lastRenderedPageBreak/>
        <w:t xml:space="preserve">the upper age limit of the Act to include 17 year olds, implementing the CRC’s previous recommendations in this regard.  </w:t>
      </w:r>
      <w:r w:rsidR="00054450" w:rsidRPr="007C3031">
        <w:rPr>
          <w:sz w:val="22"/>
          <w:szCs w:val="22"/>
          <w:lang w:val="en-GB" w:eastAsia="en-GB"/>
        </w:rPr>
        <w:t>However, t</w:t>
      </w:r>
      <w:r w:rsidRPr="007C3031">
        <w:rPr>
          <w:sz w:val="22"/>
          <w:szCs w:val="22"/>
          <w:lang w:val="en-GB" w:eastAsia="en-GB"/>
        </w:rPr>
        <w:t xml:space="preserve">he </w:t>
      </w:r>
      <w:r w:rsidR="00054450" w:rsidRPr="007C3031">
        <w:rPr>
          <w:sz w:val="22"/>
          <w:szCs w:val="22"/>
          <w:lang w:val="en-GB" w:eastAsia="en-GB"/>
        </w:rPr>
        <w:t>b</w:t>
      </w:r>
      <w:r w:rsidRPr="007C3031">
        <w:rPr>
          <w:sz w:val="22"/>
          <w:szCs w:val="22"/>
          <w:lang w:val="en-GB" w:eastAsia="en-GB"/>
        </w:rPr>
        <w:t xml:space="preserve">ill has not yet been passed </w:t>
      </w:r>
      <w:r w:rsidR="00A776EA">
        <w:rPr>
          <w:sz w:val="22"/>
          <w:szCs w:val="22"/>
          <w:lang w:val="en-GB" w:eastAsia="en-GB"/>
        </w:rPr>
        <w:t xml:space="preserve">into law </w:t>
      </w:r>
      <w:r w:rsidRPr="007C3031">
        <w:rPr>
          <w:sz w:val="22"/>
          <w:szCs w:val="22"/>
          <w:lang w:val="en-GB" w:eastAsia="en-GB"/>
        </w:rPr>
        <w:t xml:space="preserve">and there are indications that the current government intends not to proceed with this amendment.  </w:t>
      </w:r>
    </w:p>
    <w:p w:rsidR="00CE2E47" w:rsidRDefault="00CE2E47" w:rsidP="00CE2E47">
      <w:pPr>
        <w:jc w:val="both"/>
        <w:rPr>
          <w:sz w:val="22"/>
          <w:szCs w:val="22"/>
          <w:lang w:val="en-GB" w:eastAsia="en-GB"/>
        </w:rPr>
      </w:pPr>
    </w:p>
    <w:p w:rsidR="003716DE" w:rsidRPr="00CE2E47" w:rsidRDefault="009034A9" w:rsidP="00D54A7C">
      <w:pPr>
        <w:numPr>
          <w:ilvl w:val="1"/>
          <w:numId w:val="3"/>
        </w:numPr>
        <w:tabs>
          <w:tab w:val="clear" w:pos="1080"/>
          <w:tab w:val="num" w:pos="540"/>
        </w:tabs>
        <w:ind w:left="540" w:hanging="540"/>
        <w:jc w:val="both"/>
        <w:rPr>
          <w:sz w:val="22"/>
          <w:szCs w:val="22"/>
        </w:rPr>
      </w:pPr>
      <w:r w:rsidRPr="007C3031">
        <w:rPr>
          <w:sz w:val="22"/>
          <w:szCs w:val="22"/>
          <w:lang w:val="en-GB" w:eastAsia="en-GB"/>
        </w:rPr>
        <w:t xml:space="preserve">A new bill, the Children, Young Persons and their Families (Youth Court Jurisdiction) Bill has recently been introduced, which would </w:t>
      </w:r>
      <w:r w:rsidR="0059511C" w:rsidRPr="007C3031">
        <w:rPr>
          <w:sz w:val="22"/>
          <w:szCs w:val="22"/>
          <w:lang w:val="en-GB" w:eastAsia="en-GB"/>
        </w:rPr>
        <w:t>make</w:t>
      </w:r>
      <w:r w:rsidRPr="007C3031">
        <w:rPr>
          <w:sz w:val="22"/>
          <w:szCs w:val="22"/>
          <w:lang w:val="en-GB" w:eastAsia="en-GB"/>
        </w:rPr>
        <w:t xml:space="preserve"> 12 and 13 year olds </w:t>
      </w:r>
      <w:r w:rsidR="0059511C" w:rsidRPr="007C3031">
        <w:rPr>
          <w:sz w:val="22"/>
          <w:szCs w:val="22"/>
          <w:lang w:val="en-GB" w:eastAsia="en-GB"/>
        </w:rPr>
        <w:t>liable for prosecution in</w:t>
      </w:r>
      <w:r w:rsidRPr="007C3031">
        <w:rPr>
          <w:sz w:val="22"/>
          <w:szCs w:val="22"/>
          <w:lang w:val="en-GB" w:eastAsia="en-GB"/>
        </w:rPr>
        <w:t xml:space="preserve"> the Youth Court for serious offences.</w:t>
      </w:r>
      <w:r w:rsidR="003716DE" w:rsidRPr="007C3031">
        <w:rPr>
          <w:sz w:val="22"/>
          <w:szCs w:val="22"/>
          <w:lang w:val="en-GB" w:eastAsia="en-GB"/>
        </w:rPr>
        <w:t xml:space="preserve">  </w:t>
      </w:r>
      <w:r w:rsidR="0059511C" w:rsidRPr="007C3031">
        <w:rPr>
          <w:sz w:val="22"/>
          <w:szCs w:val="22"/>
          <w:lang w:val="en-GB" w:eastAsia="en-GB"/>
        </w:rPr>
        <w:t xml:space="preserve">The bill would effectively lower the age of criminal prosecution for serious offences.  </w:t>
      </w:r>
    </w:p>
    <w:p w:rsidR="00CE2E47" w:rsidRDefault="00CE2E47" w:rsidP="00CE2E47">
      <w:pPr>
        <w:jc w:val="both"/>
        <w:rPr>
          <w:sz w:val="22"/>
          <w:szCs w:val="22"/>
        </w:rPr>
      </w:pPr>
    </w:p>
    <w:p w:rsidR="00CE2E47" w:rsidRDefault="009034A9" w:rsidP="00D54A7C">
      <w:pPr>
        <w:numPr>
          <w:ilvl w:val="1"/>
          <w:numId w:val="3"/>
        </w:numPr>
        <w:tabs>
          <w:tab w:val="clear" w:pos="1080"/>
          <w:tab w:val="num" w:pos="540"/>
        </w:tabs>
        <w:ind w:left="540" w:hanging="540"/>
        <w:jc w:val="both"/>
        <w:rPr>
          <w:sz w:val="22"/>
          <w:szCs w:val="22"/>
        </w:rPr>
      </w:pPr>
      <w:r w:rsidRPr="007C3031">
        <w:rPr>
          <w:sz w:val="22"/>
          <w:szCs w:val="22"/>
          <w:lang w:val="en-GB" w:eastAsia="en-GB"/>
        </w:rPr>
        <w:t xml:space="preserve">The </w:t>
      </w:r>
      <w:r w:rsidR="0059511C" w:rsidRPr="007C3031">
        <w:rPr>
          <w:sz w:val="22"/>
          <w:szCs w:val="22"/>
          <w:lang w:val="en-GB" w:eastAsia="en-GB"/>
        </w:rPr>
        <w:t>b</w:t>
      </w:r>
      <w:r w:rsidRPr="007C3031">
        <w:rPr>
          <w:sz w:val="22"/>
          <w:szCs w:val="22"/>
          <w:lang w:val="en-GB" w:eastAsia="en-GB"/>
        </w:rPr>
        <w:t xml:space="preserve">ill </w:t>
      </w:r>
      <w:r w:rsidR="003716DE" w:rsidRPr="007C3031">
        <w:rPr>
          <w:sz w:val="22"/>
          <w:szCs w:val="22"/>
          <w:lang w:val="en-GB" w:eastAsia="en-GB"/>
        </w:rPr>
        <w:t>also provide</w:t>
      </w:r>
      <w:r w:rsidR="0059511C" w:rsidRPr="007C3031">
        <w:rPr>
          <w:sz w:val="22"/>
          <w:szCs w:val="22"/>
          <w:lang w:val="en-GB" w:eastAsia="en-GB"/>
        </w:rPr>
        <w:t>s</w:t>
      </w:r>
      <w:r w:rsidR="003716DE" w:rsidRPr="007C3031">
        <w:rPr>
          <w:sz w:val="22"/>
          <w:szCs w:val="22"/>
          <w:lang w:val="en-GB" w:eastAsia="en-GB"/>
        </w:rPr>
        <w:t xml:space="preserve"> for a number of new and/or expanded orders that may be imposed by the Youth Court.  These include military-style camp programmes, which have come to be referred to as ‘boot camps’</w:t>
      </w:r>
      <w:r w:rsidR="00DC3518" w:rsidRPr="007C3031">
        <w:rPr>
          <w:sz w:val="22"/>
          <w:szCs w:val="22"/>
          <w:lang w:val="en-GB" w:eastAsia="en-GB"/>
        </w:rPr>
        <w:t xml:space="preserve"> and have attracted</w:t>
      </w:r>
      <w:r w:rsidR="003716DE" w:rsidRPr="007C3031">
        <w:rPr>
          <w:sz w:val="22"/>
          <w:szCs w:val="22"/>
          <w:lang w:val="en-GB" w:eastAsia="en-GB"/>
        </w:rPr>
        <w:t xml:space="preserve"> criticism in </w:t>
      </w:r>
      <w:r w:rsidR="0059511C" w:rsidRPr="007C3031">
        <w:rPr>
          <w:sz w:val="22"/>
          <w:szCs w:val="22"/>
          <w:lang w:val="en-GB" w:eastAsia="en-GB"/>
        </w:rPr>
        <w:t>light of</w:t>
      </w:r>
      <w:r w:rsidR="003716DE" w:rsidRPr="007C3031">
        <w:rPr>
          <w:sz w:val="22"/>
          <w:szCs w:val="22"/>
          <w:lang w:val="en-GB" w:eastAsia="en-GB"/>
        </w:rPr>
        <w:t xml:space="preserve"> evidence as to the </w:t>
      </w:r>
      <w:r w:rsidR="00A776EA">
        <w:rPr>
          <w:sz w:val="22"/>
          <w:szCs w:val="22"/>
          <w:lang w:val="en-GB" w:eastAsia="en-GB"/>
        </w:rPr>
        <w:t xml:space="preserve">limited </w:t>
      </w:r>
      <w:r w:rsidR="003716DE" w:rsidRPr="007C3031">
        <w:rPr>
          <w:sz w:val="22"/>
          <w:szCs w:val="22"/>
          <w:lang w:val="en-GB" w:eastAsia="en-GB"/>
        </w:rPr>
        <w:t xml:space="preserve">effectiveness of such programmes and </w:t>
      </w:r>
      <w:r w:rsidR="0059511C" w:rsidRPr="007C3031">
        <w:rPr>
          <w:sz w:val="22"/>
          <w:szCs w:val="22"/>
          <w:lang w:val="en-GB" w:eastAsia="en-GB"/>
        </w:rPr>
        <w:t xml:space="preserve">concern that </w:t>
      </w:r>
      <w:r w:rsidR="00A776EA">
        <w:rPr>
          <w:sz w:val="22"/>
          <w:szCs w:val="22"/>
          <w:lang w:val="en-GB" w:eastAsia="en-GB"/>
        </w:rPr>
        <w:t xml:space="preserve">they represent a move towards a </w:t>
      </w:r>
      <w:r w:rsidR="0059511C" w:rsidRPr="007C3031">
        <w:rPr>
          <w:sz w:val="22"/>
          <w:szCs w:val="22"/>
          <w:lang w:val="en-GB" w:eastAsia="en-GB"/>
        </w:rPr>
        <w:t>more punitive approach to dealing with young offenders.</w:t>
      </w:r>
    </w:p>
    <w:p w:rsidR="00CE2E47" w:rsidRDefault="00CE2E47" w:rsidP="00CE2E47">
      <w:pPr>
        <w:jc w:val="both"/>
        <w:rPr>
          <w:sz w:val="22"/>
          <w:szCs w:val="22"/>
          <w:lang w:val="en-GB" w:eastAsia="en-GB"/>
        </w:rPr>
      </w:pPr>
    </w:p>
    <w:p w:rsidR="00CE2E47" w:rsidRDefault="0059511C" w:rsidP="00D54A7C">
      <w:pPr>
        <w:numPr>
          <w:ilvl w:val="1"/>
          <w:numId w:val="3"/>
        </w:numPr>
        <w:tabs>
          <w:tab w:val="clear" w:pos="1080"/>
          <w:tab w:val="num" w:pos="540"/>
        </w:tabs>
        <w:ind w:left="540" w:hanging="540"/>
        <w:jc w:val="both"/>
        <w:rPr>
          <w:sz w:val="22"/>
          <w:szCs w:val="22"/>
        </w:rPr>
      </w:pPr>
      <w:r w:rsidRPr="00C15E7B">
        <w:rPr>
          <w:b/>
          <w:sz w:val="22"/>
          <w:szCs w:val="22"/>
          <w:lang w:val="en-GB" w:eastAsia="en-GB"/>
        </w:rPr>
        <w:t xml:space="preserve">The Commission </w:t>
      </w:r>
      <w:r w:rsidR="00A776EA" w:rsidRPr="00C15E7B">
        <w:rPr>
          <w:b/>
          <w:sz w:val="22"/>
          <w:szCs w:val="22"/>
          <w:lang w:val="en-GB" w:eastAsia="en-GB"/>
        </w:rPr>
        <w:t xml:space="preserve">considers that </w:t>
      </w:r>
      <w:r w:rsidRPr="00C15E7B">
        <w:rPr>
          <w:b/>
          <w:sz w:val="22"/>
          <w:szCs w:val="22"/>
          <w:lang w:val="en-GB" w:eastAsia="en-GB"/>
        </w:rPr>
        <w:t>the current youth justice system provi</w:t>
      </w:r>
      <w:r w:rsidR="00A776EA" w:rsidRPr="00C15E7B">
        <w:rPr>
          <w:b/>
          <w:sz w:val="22"/>
          <w:szCs w:val="22"/>
          <w:lang w:val="en-GB" w:eastAsia="en-GB"/>
        </w:rPr>
        <w:t xml:space="preserve">des a good framework for dealing with youth offending, and that despite apparent heightened public concern about its prevalence, youth offending rates have remained relatively stable over recent years.  </w:t>
      </w:r>
      <w:r w:rsidRPr="00C15E7B">
        <w:rPr>
          <w:b/>
          <w:sz w:val="22"/>
          <w:szCs w:val="22"/>
          <w:lang w:val="en-GB" w:eastAsia="en-GB"/>
        </w:rPr>
        <w:t>Research shows that early intervention, wrap around services, and restorative approaches are more likely to effectively address offending by young people and should remain the focus of New Zealand’s youth justice system.</w:t>
      </w:r>
      <w:r w:rsidR="000B4A38">
        <w:rPr>
          <w:rStyle w:val="FootnoteReference"/>
          <w:b/>
          <w:sz w:val="22"/>
          <w:szCs w:val="22"/>
          <w:lang w:val="en-GB" w:eastAsia="en-GB"/>
        </w:rPr>
        <w:footnoteReference w:id="37"/>
      </w:r>
    </w:p>
    <w:p w:rsidR="00CE2E47" w:rsidRDefault="00CE2E47" w:rsidP="00CE2E47">
      <w:pPr>
        <w:jc w:val="both"/>
        <w:rPr>
          <w:sz w:val="22"/>
          <w:szCs w:val="22"/>
          <w:lang w:val="en-GB" w:eastAsia="en-GB"/>
        </w:rPr>
      </w:pPr>
    </w:p>
    <w:p w:rsidR="00CE2E47" w:rsidRDefault="00593CF6" w:rsidP="00D54A7C">
      <w:pPr>
        <w:numPr>
          <w:ilvl w:val="1"/>
          <w:numId w:val="3"/>
        </w:numPr>
        <w:tabs>
          <w:tab w:val="clear" w:pos="1080"/>
          <w:tab w:val="num" w:pos="540"/>
        </w:tabs>
        <w:ind w:left="540" w:hanging="540"/>
        <w:jc w:val="both"/>
        <w:rPr>
          <w:sz w:val="22"/>
          <w:szCs w:val="22"/>
        </w:rPr>
      </w:pPr>
      <w:r w:rsidRPr="007C3031">
        <w:rPr>
          <w:sz w:val="22"/>
          <w:szCs w:val="22"/>
          <w:lang w:val="en-GB" w:eastAsia="en-GB"/>
        </w:rPr>
        <w:t xml:space="preserve">A longstanding issue has been the </w:t>
      </w:r>
      <w:r w:rsidR="00920170" w:rsidRPr="007C3031">
        <w:rPr>
          <w:sz w:val="22"/>
          <w:szCs w:val="22"/>
          <w:lang w:val="en-GB" w:eastAsia="en-GB"/>
        </w:rPr>
        <w:t>detention</w:t>
      </w:r>
      <w:r w:rsidRPr="007C3031">
        <w:rPr>
          <w:sz w:val="22"/>
          <w:szCs w:val="22"/>
          <w:lang w:val="en-GB" w:eastAsia="en-GB"/>
        </w:rPr>
        <w:t xml:space="preserve"> of young people in police cells </w:t>
      </w:r>
      <w:r w:rsidR="00920170" w:rsidRPr="007C3031">
        <w:rPr>
          <w:sz w:val="22"/>
          <w:szCs w:val="22"/>
          <w:lang w:val="en-GB" w:eastAsia="en-GB"/>
        </w:rPr>
        <w:t xml:space="preserve">on occasions </w:t>
      </w:r>
      <w:r w:rsidRPr="007C3031">
        <w:rPr>
          <w:sz w:val="22"/>
          <w:szCs w:val="22"/>
          <w:lang w:val="en-GB" w:eastAsia="en-GB"/>
        </w:rPr>
        <w:t>where placements in youth facilities are unavailable.  The Commission acknowledges efforts that have been made to address this issue and the increased availability of places in Child, Youth and Family facilities.  The Children’s Commissioner has worked with Child, Youth and Family and the Police in relation to the issue, and has noted a decline in the number and duration of detentions of young people in police cells.</w:t>
      </w:r>
    </w:p>
    <w:p w:rsidR="00CE2E47" w:rsidRDefault="00CE2E47" w:rsidP="00CE2E47">
      <w:pPr>
        <w:jc w:val="both"/>
        <w:rPr>
          <w:sz w:val="22"/>
          <w:szCs w:val="22"/>
          <w:lang w:val="en-GB" w:eastAsia="en-GB"/>
        </w:rPr>
      </w:pPr>
    </w:p>
    <w:p w:rsidR="00CE2E47" w:rsidRDefault="00593CF6" w:rsidP="00D54A7C">
      <w:pPr>
        <w:numPr>
          <w:ilvl w:val="1"/>
          <w:numId w:val="3"/>
        </w:numPr>
        <w:tabs>
          <w:tab w:val="clear" w:pos="1080"/>
          <w:tab w:val="num" w:pos="540"/>
        </w:tabs>
        <w:ind w:left="540" w:hanging="540"/>
        <w:jc w:val="both"/>
        <w:rPr>
          <w:sz w:val="22"/>
          <w:szCs w:val="22"/>
        </w:rPr>
      </w:pPr>
      <w:r w:rsidRPr="00A776EA">
        <w:rPr>
          <w:sz w:val="22"/>
          <w:szCs w:val="22"/>
          <w:lang w:val="en-GB" w:eastAsia="en-GB"/>
        </w:rPr>
        <w:t>As in the case of adult</w:t>
      </w:r>
      <w:r w:rsidR="00A776EA" w:rsidRPr="00A776EA">
        <w:rPr>
          <w:sz w:val="22"/>
          <w:szCs w:val="22"/>
          <w:lang w:val="en-GB" w:eastAsia="en-GB"/>
        </w:rPr>
        <w:t>s in detention</w:t>
      </w:r>
      <w:r w:rsidRPr="00A776EA">
        <w:rPr>
          <w:sz w:val="22"/>
          <w:szCs w:val="22"/>
          <w:lang w:val="en-GB" w:eastAsia="en-GB"/>
        </w:rPr>
        <w:t xml:space="preserve">, there is an ongoing need to ensure that capacity pressures </w:t>
      </w:r>
      <w:r w:rsidR="00920170" w:rsidRPr="00A776EA">
        <w:rPr>
          <w:sz w:val="22"/>
          <w:szCs w:val="22"/>
          <w:lang w:val="en-GB" w:eastAsia="en-GB"/>
        </w:rPr>
        <w:t xml:space="preserve">on facilities </w:t>
      </w:r>
      <w:r w:rsidRPr="00A776EA">
        <w:rPr>
          <w:sz w:val="22"/>
          <w:szCs w:val="22"/>
          <w:lang w:val="en-GB" w:eastAsia="en-GB"/>
        </w:rPr>
        <w:t xml:space="preserve">do not result in more young people being detained in inadequate or inappropriate facilities (such as police cells). </w:t>
      </w:r>
    </w:p>
    <w:p w:rsidR="00CE2E47" w:rsidRDefault="00CE2E47" w:rsidP="00CE2E47">
      <w:pPr>
        <w:jc w:val="both"/>
        <w:rPr>
          <w:sz w:val="22"/>
          <w:szCs w:val="22"/>
        </w:rPr>
      </w:pPr>
    </w:p>
    <w:p w:rsidR="00CE2E47" w:rsidRDefault="00F615B6" w:rsidP="00D54A7C">
      <w:pPr>
        <w:numPr>
          <w:ilvl w:val="1"/>
          <w:numId w:val="3"/>
        </w:numPr>
        <w:tabs>
          <w:tab w:val="clear" w:pos="1080"/>
          <w:tab w:val="num" w:pos="540"/>
        </w:tabs>
        <w:ind w:left="540" w:hanging="540"/>
        <w:jc w:val="both"/>
        <w:rPr>
          <w:sz w:val="22"/>
          <w:szCs w:val="22"/>
        </w:rPr>
      </w:pPr>
      <w:r w:rsidRPr="00A776EA">
        <w:rPr>
          <w:sz w:val="22"/>
          <w:szCs w:val="22"/>
        </w:rPr>
        <w:t xml:space="preserve">The Commission acknowledges recent work to review New Zealand’s reservations to UNCROC in relation to age mixing in detention, and believes that withdrawal of this reservation should be </w:t>
      </w:r>
      <w:r w:rsidR="00997413" w:rsidRPr="00A776EA">
        <w:rPr>
          <w:sz w:val="22"/>
          <w:szCs w:val="22"/>
        </w:rPr>
        <w:t xml:space="preserve">undertaken as </w:t>
      </w:r>
      <w:r w:rsidRPr="00A776EA">
        <w:rPr>
          <w:sz w:val="22"/>
          <w:szCs w:val="22"/>
        </w:rPr>
        <w:t>a priority.</w:t>
      </w:r>
      <w:r w:rsidRPr="007C3031">
        <w:rPr>
          <w:sz w:val="22"/>
          <w:szCs w:val="22"/>
        </w:rPr>
        <w:t xml:space="preserve"> </w:t>
      </w:r>
    </w:p>
    <w:p w:rsidR="00CE2E47" w:rsidRDefault="00CE2E47" w:rsidP="00CE2E47">
      <w:pPr>
        <w:jc w:val="both"/>
        <w:rPr>
          <w:sz w:val="22"/>
          <w:szCs w:val="22"/>
        </w:rPr>
      </w:pPr>
    </w:p>
    <w:p w:rsidR="008508C0" w:rsidRDefault="008508C0" w:rsidP="00D54A7C">
      <w:pPr>
        <w:numPr>
          <w:ilvl w:val="1"/>
          <w:numId w:val="3"/>
        </w:numPr>
        <w:tabs>
          <w:tab w:val="clear" w:pos="1080"/>
          <w:tab w:val="num" w:pos="540"/>
        </w:tabs>
        <w:ind w:left="540" w:hanging="540"/>
        <w:jc w:val="both"/>
        <w:rPr>
          <w:sz w:val="22"/>
          <w:szCs w:val="22"/>
        </w:rPr>
      </w:pPr>
      <w:r w:rsidRPr="00DA1E3D">
        <w:rPr>
          <w:sz w:val="22"/>
          <w:szCs w:val="22"/>
        </w:rPr>
        <w:t>Th</w:t>
      </w:r>
      <w:r w:rsidR="00DA1E3D">
        <w:rPr>
          <w:sz w:val="22"/>
          <w:szCs w:val="22"/>
        </w:rPr>
        <w:t>e Commission notes the importance of the independent monitoring and oversight provided by</w:t>
      </w:r>
      <w:r w:rsidR="00905D50">
        <w:rPr>
          <w:sz w:val="22"/>
          <w:szCs w:val="22"/>
        </w:rPr>
        <w:t xml:space="preserve"> </w:t>
      </w:r>
      <w:r w:rsidR="00DA1E3D">
        <w:rPr>
          <w:sz w:val="22"/>
          <w:szCs w:val="22"/>
        </w:rPr>
        <w:t xml:space="preserve">the </w:t>
      </w:r>
      <w:r w:rsidRPr="00DA1E3D">
        <w:rPr>
          <w:sz w:val="22"/>
          <w:szCs w:val="22"/>
        </w:rPr>
        <w:t xml:space="preserve">Children’s Commissioner </w:t>
      </w:r>
      <w:r w:rsidR="00C925AA" w:rsidRPr="00DA1E3D">
        <w:rPr>
          <w:sz w:val="22"/>
          <w:szCs w:val="22"/>
        </w:rPr>
        <w:t xml:space="preserve">in </w:t>
      </w:r>
      <w:r w:rsidR="00C925AA">
        <w:rPr>
          <w:sz w:val="22"/>
          <w:szCs w:val="22"/>
        </w:rPr>
        <w:t>respect</w:t>
      </w:r>
      <w:r w:rsidR="00C925AA" w:rsidRPr="00DA1E3D">
        <w:rPr>
          <w:sz w:val="22"/>
          <w:szCs w:val="22"/>
        </w:rPr>
        <w:t xml:space="preserve"> of </w:t>
      </w:r>
      <w:r w:rsidR="00C925AA">
        <w:rPr>
          <w:sz w:val="22"/>
          <w:szCs w:val="22"/>
        </w:rPr>
        <w:t xml:space="preserve">Child, Youth and Family; </w:t>
      </w:r>
      <w:r w:rsidR="00905D50">
        <w:rPr>
          <w:sz w:val="22"/>
          <w:szCs w:val="22"/>
        </w:rPr>
        <w:t xml:space="preserve">and </w:t>
      </w:r>
      <w:r w:rsidR="00C925AA">
        <w:rPr>
          <w:sz w:val="22"/>
          <w:szCs w:val="22"/>
        </w:rPr>
        <w:t xml:space="preserve">that of </w:t>
      </w:r>
      <w:r w:rsidR="00905D50">
        <w:rPr>
          <w:sz w:val="22"/>
          <w:szCs w:val="22"/>
        </w:rPr>
        <w:t>the Ombudsmen</w:t>
      </w:r>
      <w:r w:rsidR="00DA1E3D">
        <w:rPr>
          <w:sz w:val="22"/>
          <w:szCs w:val="22"/>
        </w:rPr>
        <w:t>.</w:t>
      </w:r>
    </w:p>
    <w:p w:rsidR="00D27836" w:rsidRDefault="00D27836" w:rsidP="00D27836">
      <w:pPr>
        <w:pStyle w:val="Heading2"/>
      </w:pPr>
      <w:bookmarkStart w:id="30" w:name="_Toc225333152"/>
      <w:r>
        <w:t>Electro-convulsive Treatment (ECT)</w:t>
      </w:r>
      <w:bookmarkEnd w:id="30"/>
    </w:p>
    <w:p w:rsidR="00D27836" w:rsidRPr="00D27836" w:rsidRDefault="008805D3" w:rsidP="00D54A7C">
      <w:pPr>
        <w:numPr>
          <w:ilvl w:val="1"/>
          <w:numId w:val="3"/>
        </w:numPr>
        <w:tabs>
          <w:tab w:val="clear" w:pos="1080"/>
          <w:tab w:val="num" w:pos="540"/>
        </w:tabs>
        <w:ind w:left="540" w:hanging="540"/>
        <w:jc w:val="both"/>
        <w:rPr>
          <w:sz w:val="22"/>
          <w:szCs w:val="22"/>
        </w:rPr>
      </w:pPr>
      <w:r w:rsidRPr="00D27836">
        <w:rPr>
          <w:sz w:val="22"/>
          <w:szCs w:val="22"/>
          <w:lang w:val="en-GB" w:eastAsia="en-GB"/>
        </w:rPr>
        <w:t>The Human Rights Commission and Health and Disability Commissioner</w:t>
      </w:r>
      <w:r w:rsidR="00FF43AA" w:rsidRPr="00D27836">
        <w:rPr>
          <w:sz w:val="22"/>
          <w:szCs w:val="22"/>
          <w:lang w:val="en-GB" w:eastAsia="en-GB"/>
        </w:rPr>
        <w:t xml:space="preserve"> </w:t>
      </w:r>
      <w:r w:rsidR="00D27836" w:rsidRPr="00D27836">
        <w:rPr>
          <w:sz w:val="22"/>
          <w:szCs w:val="22"/>
          <w:lang w:val="en-GB" w:eastAsia="en-GB"/>
        </w:rPr>
        <w:t xml:space="preserve">made extensive submissions </w:t>
      </w:r>
      <w:r w:rsidR="00FF43AA" w:rsidRPr="00D27836">
        <w:rPr>
          <w:sz w:val="22"/>
          <w:szCs w:val="22"/>
          <w:lang w:val="en-GB" w:eastAsia="en-GB"/>
        </w:rPr>
        <w:t>to a Parliamentary Committee</w:t>
      </w:r>
      <w:r w:rsidR="00D27836" w:rsidRPr="00D27836">
        <w:rPr>
          <w:sz w:val="22"/>
          <w:szCs w:val="22"/>
          <w:lang w:val="en-GB" w:eastAsia="en-GB"/>
        </w:rPr>
        <w:t>’s examination of the issue</w:t>
      </w:r>
      <w:r w:rsidR="00FF43AA" w:rsidRPr="00D27836">
        <w:rPr>
          <w:sz w:val="22"/>
          <w:szCs w:val="22"/>
          <w:lang w:val="en-GB" w:eastAsia="en-GB"/>
        </w:rPr>
        <w:t xml:space="preserve"> of ECT.</w:t>
      </w:r>
      <w:r w:rsidR="00D27836" w:rsidRPr="00D27836">
        <w:rPr>
          <w:sz w:val="22"/>
          <w:szCs w:val="22"/>
          <w:lang w:val="en-GB" w:eastAsia="en-GB"/>
        </w:rPr>
        <w:t xml:space="preserve">  Both Commissions were of the view that ECT should not be used</w:t>
      </w:r>
      <w:r w:rsidR="00FF43AA" w:rsidRPr="00D27836">
        <w:rPr>
          <w:sz w:val="22"/>
          <w:szCs w:val="22"/>
          <w:lang w:val="en-GB" w:eastAsia="en-GB"/>
        </w:rPr>
        <w:t xml:space="preserve"> for children and never used without informed consent in other cases unless it is the only option.</w:t>
      </w:r>
    </w:p>
    <w:p w:rsidR="00D27836" w:rsidRDefault="00D27836" w:rsidP="00D27836">
      <w:pPr>
        <w:tabs>
          <w:tab w:val="num" w:pos="540"/>
        </w:tabs>
        <w:jc w:val="both"/>
        <w:rPr>
          <w:sz w:val="22"/>
          <w:szCs w:val="22"/>
        </w:rPr>
      </w:pPr>
    </w:p>
    <w:p w:rsidR="008805D3" w:rsidRPr="00DE2338" w:rsidRDefault="00D27836" w:rsidP="00D54A7C">
      <w:pPr>
        <w:numPr>
          <w:ilvl w:val="1"/>
          <w:numId w:val="3"/>
        </w:numPr>
        <w:tabs>
          <w:tab w:val="clear" w:pos="1080"/>
          <w:tab w:val="num" w:pos="540"/>
        </w:tabs>
        <w:ind w:left="540" w:hanging="540"/>
        <w:jc w:val="both"/>
        <w:rPr>
          <w:sz w:val="22"/>
          <w:szCs w:val="22"/>
        </w:rPr>
      </w:pPr>
      <w:r w:rsidRPr="00D27836">
        <w:rPr>
          <w:sz w:val="22"/>
          <w:szCs w:val="22"/>
          <w:lang w:val="en-GB" w:eastAsia="en-GB"/>
        </w:rPr>
        <w:t xml:space="preserve">The Commission has welcomed the fact that, following the report of the Parliamentary Committee, </w:t>
      </w:r>
      <w:r w:rsidR="004C3AC0">
        <w:rPr>
          <w:sz w:val="22"/>
          <w:szCs w:val="22"/>
          <w:lang w:val="en-GB" w:eastAsia="en-GB"/>
        </w:rPr>
        <w:t>annual reports on</w:t>
      </w:r>
      <w:r w:rsidRPr="00D27836">
        <w:rPr>
          <w:sz w:val="22"/>
          <w:szCs w:val="22"/>
          <w:lang w:val="en-GB" w:eastAsia="en-GB"/>
        </w:rPr>
        <w:t xml:space="preserve"> the use of ECT are now published, but was disappointed that the government response did not go further, for example in relation to the use of ECT on children.</w:t>
      </w:r>
    </w:p>
    <w:p w:rsidR="00992744" w:rsidRPr="000542A0" w:rsidRDefault="00927AB1" w:rsidP="000542A0">
      <w:pPr>
        <w:pStyle w:val="Heading1"/>
      </w:pPr>
      <w:bookmarkStart w:id="31" w:name="_Toc222903316"/>
      <w:bookmarkStart w:id="32" w:name="_Toc225333153"/>
      <w:r w:rsidRPr="000542A0">
        <w:t>Immigration (</w:t>
      </w:r>
      <w:r w:rsidR="00992744" w:rsidRPr="000542A0">
        <w:t>Article 3</w:t>
      </w:r>
      <w:bookmarkEnd w:id="31"/>
      <w:r w:rsidRPr="000542A0">
        <w:t>)</w:t>
      </w:r>
      <w:bookmarkEnd w:id="32"/>
    </w:p>
    <w:p w:rsidR="00992744" w:rsidRDefault="00992744" w:rsidP="00BF5E46">
      <w:pPr>
        <w:pStyle w:val="Heading2"/>
      </w:pPr>
      <w:bookmarkStart w:id="33" w:name="_Toc222903317"/>
      <w:bookmarkStart w:id="34" w:name="_Toc225333154"/>
      <w:r>
        <w:t>Immigration</w:t>
      </w:r>
      <w:bookmarkEnd w:id="33"/>
      <w:r w:rsidR="00927AB1">
        <w:t xml:space="preserve"> Act Review</w:t>
      </w:r>
      <w:bookmarkEnd w:id="34"/>
    </w:p>
    <w:p w:rsidR="00A93363" w:rsidRDefault="00A93363" w:rsidP="00D54A7C">
      <w:pPr>
        <w:numPr>
          <w:ilvl w:val="1"/>
          <w:numId w:val="3"/>
        </w:numPr>
        <w:tabs>
          <w:tab w:val="clear" w:pos="1080"/>
          <w:tab w:val="num" w:pos="540"/>
        </w:tabs>
        <w:ind w:left="540" w:hanging="540"/>
        <w:jc w:val="both"/>
        <w:rPr>
          <w:sz w:val="22"/>
          <w:szCs w:val="22"/>
        </w:rPr>
      </w:pPr>
      <w:r w:rsidRPr="00807B78">
        <w:rPr>
          <w:sz w:val="22"/>
          <w:szCs w:val="22"/>
        </w:rPr>
        <w:t xml:space="preserve">A review of the Immigration Act was undertaken in 2006-07 and new legislation introduced in 2007.  </w:t>
      </w:r>
    </w:p>
    <w:p w:rsidR="00AE7597" w:rsidRDefault="00AE7597" w:rsidP="00AE7597">
      <w:pPr>
        <w:jc w:val="both"/>
        <w:rPr>
          <w:sz w:val="22"/>
          <w:szCs w:val="22"/>
        </w:rPr>
      </w:pPr>
    </w:p>
    <w:p w:rsidR="00AE7597" w:rsidRDefault="00D86BEF" w:rsidP="00D54A7C">
      <w:pPr>
        <w:numPr>
          <w:ilvl w:val="1"/>
          <w:numId w:val="3"/>
        </w:numPr>
        <w:tabs>
          <w:tab w:val="clear" w:pos="1080"/>
          <w:tab w:val="num" w:pos="540"/>
        </w:tabs>
        <w:ind w:left="540" w:hanging="540"/>
        <w:jc w:val="both"/>
        <w:rPr>
          <w:sz w:val="22"/>
          <w:szCs w:val="22"/>
        </w:rPr>
      </w:pPr>
      <w:r w:rsidRPr="00807B78">
        <w:rPr>
          <w:sz w:val="22"/>
          <w:szCs w:val="22"/>
        </w:rPr>
        <w:t xml:space="preserve">A </w:t>
      </w:r>
      <w:r w:rsidR="00A93363" w:rsidRPr="00807B78">
        <w:rPr>
          <w:sz w:val="22"/>
          <w:szCs w:val="22"/>
        </w:rPr>
        <w:t xml:space="preserve">comprehensive consultation process led to some </w:t>
      </w:r>
      <w:r w:rsidRPr="00807B78">
        <w:rPr>
          <w:sz w:val="22"/>
          <w:szCs w:val="22"/>
        </w:rPr>
        <w:t xml:space="preserve">positive </w:t>
      </w:r>
      <w:r w:rsidR="00A93363" w:rsidRPr="00807B78">
        <w:rPr>
          <w:sz w:val="22"/>
          <w:szCs w:val="22"/>
        </w:rPr>
        <w:t>changes</w:t>
      </w:r>
      <w:r w:rsidR="00B339FA" w:rsidRPr="00807B78">
        <w:rPr>
          <w:sz w:val="22"/>
          <w:szCs w:val="22"/>
        </w:rPr>
        <w:t xml:space="preserve"> </w:t>
      </w:r>
      <w:r w:rsidR="00417913" w:rsidRPr="00807B78">
        <w:rPr>
          <w:sz w:val="22"/>
          <w:szCs w:val="22"/>
        </w:rPr>
        <w:t xml:space="preserve">being made to the </w:t>
      </w:r>
      <w:r w:rsidR="00807B78" w:rsidRPr="00807B78">
        <w:rPr>
          <w:sz w:val="22"/>
          <w:szCs w:val="22"/>
        </w:rPr>
        <w:t>Immigration B</w:t>
      </w:r>
      <w:r w:rsidR="00417913" w:rsidRPr="00807B78">
        <w:rPr>
          <w:sz w:val="22"/>
          <w:szCs w:val="22"/>
        </w:rPr>
        <w:t>ill,</w:t>
      </w:r>
      <w:r w:rsidR="00B339FA" w:rsidRPr="00807B78">
        <w:rPr>
          <w:sz w:val="22"/>
          <w:szCs w:val="22"/>
        </w:rPr>
        <w:t xml:space="preserve"> including incorporation of the non-refoulement provisions of Article 3</w:t>
      </w:r>
      <w:r w:rsidRPr="00807B78">
        <w:rPr>
          <w:sz w:val="22"/>
          <w:szCs w:val="22"/>
        </w:rPr>
        <w:t>.</w:t>
      </w:r>
      <w:r w:rsidR="00807B78" w:rsidRPr="00807B78">
        <w:rPr>
          <w:sz w:val="22"/>
          <w:szCs w:val="22"/>
        </w:rPr>
        <w:t xml:space="preserve">  </w:t>
      </w:r>
      <w:r w:rsidRPr="00807B78">
        <w:rPr>
          <w:sz w:val="22"/>
          <w:szCs w:val="22"/>
        </w:rPr>
        <w:t>However</w:t>
      </w:r>
      <w:r w:rsidR="00A93363" w:rsidRPr="00807B78">
        <w:rPr>
          <w:sz w:val="22"/>
          <w:szCs w:val="22"/>
        </w:rPr>
        <w:t>, the some serious deficiencies</w:t>
      </w:r>
      <w:r w:rsidR="00157743" w:rsidRPr="00807B78">
        <w:rPr>
          <w:sz w:val="22"/>
          <w:szCs w:val="22"/>
        </w:rPr>
        <w:t xml:space="preserve"> remain</w:t>
      </w:r>
      <w:r w:rsidRPr="00807B78">
        <w:rPr>
          <w:sz w:val="22"/>
          <w:szCs w:val="22"/>
        </w:rPr>
        <w:t>, including:</w:t>
      </w:r>
      <w:r w:rsidR="00A93363" w:rsidRPr="00807B78">
        <w:rPr>
          <w:sz w:val="22"/>
          <w:szCs w:val="22"/>
        </w:rPr>
        <w:t xml:space="preserve"> the special advocate mechanism that applies to people deemed to be a security risk; the lack of </w:t>
      </w:r>
      <w:r w:rsidR="00DE2338">
        <w:rPr>
          <w:sz w:val="22"/>
          <w:szCs w:val="22"/>
        </w:rPr>
        <w:t>an explicit presumption in the b</w:t>
      </w:r>
      <w:r w:rsidR="00A93363" w:rsidRPr="00807B78">
        <w:rPr>
          <w:sz w:val="22"/>
          <w:szCs w:val="22"/>
        </w:rPr>
        <w:t>ill against detaining children and young people;</w:t>
      </w:r>
      <w:r w:rsidR="007073E4" w:rsidRPr="00807B78">
        <w:rPr>
          <w:sz w:val="22"/>
          <w:szCs w:val="22"/>
        </w:rPr>
        <w:t xml:space="preserve"> </w:t>
      </w:r>
      <w:r w:rsidR="00A93363" w:rsidRPr="00807B78">
        <w:rPr>
          <w:sz w:val="22"/>
          <w:szCs w:val="22"/>
        </w:rPr>
        <w:t xml:space="preserve">and </w:t>
      </w:r>
      <w:r w:rsidRPr="00807B78">
        <w:rPr>
          <w:sz w:val="22"/>
          <w:szCs w:val="22"/>
        </w:rPr>
        <w:t xml:space="preserve">the continuation of </w:t>
      </w:r>
      <w:r w:rsidR="00A93363" w:rsidRPr="00807B78">
        <w:rPr>
          <w:sz w:val="22"/>
          <w:szCs w:val="22"/>
        </w:rPr>
        <w:t>a proscription against the Human Rights Commission becoming involved in matters relating to immigration</w:t>
      </w:r>
      <w:r w:rsidR="00807B78" w:rsidRPr="00807B78">
        <w:rPr>
          <w:sz w:val="22"/>
          <w:szCs w:val="22"/>
        </w:rPr>
        <w:t>.</w:t>
      </w:r>
      <w:r w:rsidR="00A93363" w:rsidRPr="00807B78">
        <w:rPr>
          <w:rStyle w:val="FootnoteReference"/>
          <w:sz w:val="22"/>
          <w:szCs w:val="22"/>
        </w:rPr>
        <w:footnoteReference w:id="38"/>
      </w:r>
    </w:p>
    <w:p w:rsidR="00AE7597" w:rsidRDefault="00AE7597" w:rsidP="00AE7597">
      <w:pPr>
        <w:jc w:val="both"/>
        <w:rPr>
          <w:sz w:val="22"/>
          <w:szCs w:val="22"/>
        </w:rPr>
      </w:pPr>
    </w:p>
    <w:p w:rsidR="00CD3A54" w:rsidRDefault="00C358AD" w:rsidP="00D54A7C">
      <w:pPr>
        <w:numPr>
          <w:ilvl w:val="1"/>
          <w:numId w:val="3"/>
        </w:numPr>
        <w:tabs>
          <w:tab w:val="clear" w:pos="1080"/>
          <w:tab w:val="num" w:pos="540"/>
        </w:tabs>
        <w:ind w:left="540" w:hanging="540"/>
        <w:jc w:val="both"/>
        <w:rPr>
          <w:sz w:val="22"/>
          <w:szCs w:val="22"/>
        </w:rPr>
      </w:pPr>
      <w:r w:rsidRPr="00807B78">
        <w:rPr>
          <w:sz w:val="22"/>
          <w:szCs w:val="22"/>
        </w:rPr>
        <w:t xml:space="preserve">The practice of interdiction has meant fewer asylum seekers reach New Zealand and those that do are automatically detained. People refused residency can be detained for lengthy periods if they refuse to sign papers permitting them to be deported. </w:t>
      </w:r>
      <w:r w:rsidR="008A6CA7" w:rsidRPr="00807B78">
        <w:rPr>
          <w:sz w:val="22"/>
          <w:szCs w:val="22"/>
        </w:rPr>
        <w:t xml:space="preserve"> </w:t>
      </w:r>
    </w:p>
    <w:p w:rsidR="00C15E7B" w:rsidRDefault="00C15E7B" w:rsidP="00C15E7B">
      <w:pPr>
        <w:tabs>
          <w:tab w:val="num" w:pos="540"/>
        </w:tabs>
        <w:jc w:val="both"/>
        <w:rPr>
          <w:sz w:val="22"/>
          <w:szCs w:val="22"/>
        </w:rPr>
      </w:pPr>
    </w:p>
    <w:p w:rsidR="00C15E7B" w:rsidRPr="00C15E7B" w:rsidRDefault="00C15E7B" w:rsidP="00D54A7C">
      <w:pPr>
        <w:numPr>
          <w:ilvl w:val="1"/>
          <w:numId w:val="3"/>
        </w:numPr>
        <w:tabs>
          <w:tab w:val="clear" w:pos="1080"/>
          <w:tab w:val="num" w:pos="540"/>
        </w:tabs>
        <w:ind w:left="540" w:hanging="540"/>
        <w:jc w:val="both"/>
        <w:rPr>
          <w:b/>
          <w:sz w:val="22"/>
          <w:szCs w:val="22"/>
        </w:rPr>
      </w:pPr>
      <w:r w:rsidRPr="00C15E7B">
        <w:rPr>
          <w:b/>
          <w:sz w:val="22"/>
          <w:szCs w:val="22"/>
        </w:rPr>
        <w:t>The Commission recommends that the Government review immigration</w:t>
      </w:r>
      <w:r w:rsidR="00DE2338">
        <w:rPr>
          <w:b/>
          <w:sz w:val="22"/>
          <w:szCs w:val="22"/>
        </w:rPr>
        <w:t xml:space="preserve"> legislation</w:t>
      </w:r>
      <w:r w:rsidRPr="00C15E7B">
        <w:rPr>
          <w:b/>
          <w:sz w:val="22"/>
          <w:szCs w:val="22"/>
        </w:rPr>
        <w:t xml:space="preserve"> to ensure it is fully compliant with human rights standards, and removes the proscription against the Human Rights Commission becoming involved in immigration matters.</w:t>
      </w:r>
    </w:p>
    <w:p w:rsidR="00AE7597" w:rsidRDefault="00AE7597" w:rsidP="00AE7597">
      <w:pPr>
        <w:pStyle w:val="Heading2"/>
        <w:rPr>
          <w:sz w:val="22"/>
          <w:szCs w:val="22"/>
        </w:rPr>
      </w:pPr>
      <w:bookmarkStart w:id="35" w:name="_Toc225333155"/>
      <w:r>
        <w:t xml:space="preserve">The </w:t>
      </w:r>
      <w:r w:rsidRPr="00AE7597">
        <w:rPr>
          <w:i/>
        </w:rPr>
        <w:t>Zaoui</w:t>
      </w:r>
      <w:r>
        <w:t xml:space="preserve"> Case</w:t>
      </w:r>
      <w:bookmarkEnd w:id="35"/>
    </w:p>
    <w:p w:rsidR="00AE7597" w:rsidRDefault="00157743" w:rsidP="00D54A7C">
      <w:pPr>
        <w:numPr>
          <w:ilvl w:val="1"/>
          <w:numId w:val="3"/>
        </w:numPr>
        <w:tabs>
          <w:tab w:val="clear" w:pos="1080"/>
          <w:tab w:val="num" w:pos="540"/>
        </w:tabs>
        <w:ind w:left="540" w:hanging="540"/>
        <w:jc w:val="both"/>
        <w:rPr>
          <w:sz w:val="22"/>
          <w:szCs w:val="22"/>
        </w:rPr>
      </w:pPr>
      <w:r w:rsidRPr="00807B78">
        <w:rPr>
          <w:sz w:val="22"/>
          <w:szCs w:val="22"/>
          <w:lang w:val="en-GB" w:eastAsia="en-GB"/>
        </w:rPr>
        <w:t xml:space="preserve">As outlined in the State report, following a number of court proceedings concerning the issuing of a </w:t>
      </w:r>
      <w:r w:rsidR="00497219" w:rsidRPr="00807B78">
        <w:rPr>
          <w:sz w:val="22"/>
          <w:szCs w:val="22"/>
          <w:lang w:val="en-GB" w:eastAsia="en-GB"/>
        </w:rPr>
        <w:t>s</w:t>
      </w:r>
      <w:r w:rsidRPr="00807B78">
        <w:rPr>
          <w:sz w:val="22"/>
          <w:szCs w:val="22"/>
          <w:lang w:val="en-GB" w:eastAsia="en-GB"/>
        </w:rPr>
        <w:t>ecur</w:t>
      </w:r>
      <w:r w:rsidR="00497219" w:rsidRPr="00807B78">
        <w:rPr>
          <w:sz w:val="22"/>
          <w:szCs w:val="22"/>
          <w:lang w:val="en-GB" w:eastAsia="en-GB"/>
        </w:rPr>
        <w:t>ity risk c</w:t>
      </w:r>
      <w:r w:rsidRPr="00807B78">
        <w:rPr>
          <w:sz w:val="22"/>
          <w:szCs w:val="22"/>
          <w:lang w:val="en-GB" w:eastAsia="en-GB"/>
        </w:rPr>
        <w:t>ertificate against him and his consequent detention, Mr Zaoui was released on bail in 2004, having been detained since his arrival in New Zealand two years earlier.</w:t>
      </w:r>
    </w:p>
    <w:p w:rsidR="00AE7597" w:rsidRDefault="00AE7597" w:rsidP="00AE7597">
      <w:pPr>
        <w:jc w:val="both"/>
        <w:rPr>
          <w:sz w:val="22"/>
          <w:szCs w:val="22"/>
        </w:rPr>
      </w:pPr>
    </w:p>
    <w:p w:rsidR="00AE7597" w:rsidRDefault="003139F3" w:rsidP="00D54A7C">
      <w:pPr>
        <w:numPr>
          <w:ilvl w:val="1"/>
          <w:numId w:val="3"/>
        </w:numPr>
        <w:tabs>
          <w:tab w:val="clear" w:pos="1080"/>
          <w:tab w:val="num" w:pos="540"/>
        </w:tabs>
        <w:ind w:left="540" w:hanging="540"/>
        <w:jc w:val="both"/>
        <w:rPr>
          <w:sz w:val="22"/>
          <w:szCs w:val="22"/>
        </w:rPr>
      </w:pPr>
      <w:r>
        <w:rPr>
          <w:sz w:val="22"/>
          <w:szCs w:val="22"/>
          <w:lang w:val="en-GB" w:eastAsia="en-GB"/>
        </w:rPr>
        <w:t>The Commission appear</w:t>
      </w:r>
      <w:r w:rsidR="00013F1C" w:rsidRPr="00807B78">
        <w:rPr>
          <w:sz w:val="22"/>
          <w:szCs w:val="22"/>
          <w:lang w:val="en-GB" w:eastAsia="en-GB"/>
        </w:rPr>
        <w:t xml:space="preserve">ed as intervenor in the </w:t>
      </w:r>
      <w:r w:rsidR="00013F1C" w:rsidRPr="00807B78">
        <w:rPr>
          <w:i/>
          <w:sz w:val="22"/>
          <w:szCs w:val="22"/>
          <w:lang w:val="en-GB" w:eastAsia="en-GB"/>
        </w:rPr>
        <w:t>Zaoui</w:t>
      </w:r>
      <w:r w:rsidR="00013F1C" w:rsidRPr="00807B78">
        <w:rPr>
          <w:sz w:val="22"/>
          <w:szCs w:val="22"/>
          <w:lang w:val="en-GB" w:eastAsia="en-GB"/>
        </w:rPr>
        <w:t xml:space="preserve"> case and made submissions to both the Court of Appeal and Supreme Court emphasising the relevance of human rights standards and natural justice in reviewing the security risk certificate issued against Mr Zaoui.</w:t>
      </w:r>
    </w:p>
    <w:p w:rsidR="00AE7597" w:rsidRDefault="00AE7597" w:rsidP="00AE7597">
      <w:pPr>
        <w:jc w:val="both"/>
        <w:rPr>
          <w:sz w:val="22"/>
          <w:szCs w:val="22"/>
          <w:lang w:val="en-GB" w:eastAsia="en-GB"/>
        </w:rPr>
      </w:pPr>
    </w:p>
    <w:p w:rsidR="00AE7597" w:rsidRDefault="00013F1C" w:rsidP="00D54A7C">
      <w:pPr>
        <w:numPr>
          <w:ilvl w:val="1"/>
          <w:numId w:val="3"/>
        </w:numPr>
        <w:tabs>
          <w:tab w:val="clear" w:pos="1080"/>
          <w:tab w:val="num" w:pos="540"/>
        </w:tabs>
        <w:ind w:left="540" w:hanging="540"/>
        <w:jc w:val="both"/>
        <w:rPr>
          <w:sz w:val="22"/>
          <w:szCs w:val="22"/>
        </w:rPr>
      </w:pPr>
      <w:r w:rsidRPr="00807B78">
        <w:rPr>
          <w:sz w:val="22"/>
          <w:szCs w:val="22"/>
          <w:lang w:val="en-GB" w:eastAsia="en-GB"/>
        </w:rPr>
        <w:t>Notable aspects of the</w:t>
      </w:r>
      <w:r w:rsidR="00157743" w:rsidRPr="00807B78">
        <w:rPr>
          <w:sz w:val="22"/>
          <w:szCs w:val="22"/>
          <w:lang w:val="en-GB" w:eastAsia="en-GB"/>
        </w:rPr>
        <w:t xml:space="preserve"> Supreme Court’s </w:t>
      </w:r>
      <w:r w:rsidR="000620D9" w:rsidRPr="00807B78">
        <w:rPr>
          <w:sz w:val="22"/>
          <w:szCs w:val="22"/>
          <w:lang w:val="en-GB" w:eastAsia="en-GB"/>
        </w:rPr>
        <w:t>rulings</w:t>
      </w:r>
      <w:r w:rsidR="00157743" w:rsidRPr="00807B78">
        <w:rPr>
          <w:sz w:val="22"/>
          <w:szCs w:val="22"/>
          <w:lang w:val="en-GB" w:eastAsia="en-GB"/>
        </w:rPr>
        <w:t xml:space="preserve"> </w:t>
      </w:r>
      <w:r w:rsidRPr="00807B78">
        <w:rPr>
          <w:sz w:val="22"/>
          <w:szCs w:val="22"/>
          <w:lang w:val="en-GB" w:eastAsia="en-GB"/>
        </w:rPr>
        <w:t>in 2005</w:t>
      </w:r>
      <w:r w:rsidR="00FE6F76">
        <w:rPr>
          <w:rStyle w:val="FootnoteReference"/>
          <w:sz w:val="22"/>
          <w:szCs w:val="22"/>
          <w:lang w:val="en-GB" w:eastAsia="en-GB"/>
        </w:rPr>
        <w:footnoteReference w:id="39"/>
      </w:r>
      <w:r w:rsidRPr="00807B78">
        <w:rPr>
          <w:sz w:val="22"/>
          <w:szCs w:val="22"/>
          <w:lang w:val="en-GB" w:eastAsia="en-GB"/>
        </w:rPr>
        <w:t xml:space="preserve"> </w:t>
      </w:r>
      <w:r w:rsidR="00157743" w:rsidRPr="00807B78">
        <w:rPr>
          <w:sz w:val="22"/>
          <w:szCs w:val="22"/>
          <w:lang w:val="en-GB" w:eastAsia="en-GB"/>
        </w:rPr>
        <w:t>included</w:t>
      </w:r>
      <w:r w:rsidR="000620D9" w:rsidRPr="00807B78">
        <w:rPr>
          <w:sz w:val="22"/>
          <w:szCs w:val="22"/>
          <w:lang w:val="en-GB" w:eastAsia="en-GB"/>
        </w:rPr>
        <w:t xml:space="preserve"> </w:t>
      </w:r>
      <w:r w:rsidRPr="00807B78">
        <w:rPr>
          <w:sz w:val="22"/>
          <w:szCs w:val="22"/>
          <w:lang w:val="en-GB" w:eastAsia="en-GB"/>
        </w:rPr>
        <w:t xml:space="preserve">that the Inspector General is not required to consider the possible risks of torture or ill treatment upon deportation, but that the Minister of Immigration is required to do so in accordance with the non-refoulement obligations of the Convention. </w:t>
      </w:r>
      <w:r w:rsidR="00F47DA3">
        <w:rPr>
          <w:sz w:val="22"/>
          <w:szCs w:val="22"/>
          <w:lang w:val="en-GB" w:eastAsia="en-GB"/>
        </w:rPr>
        <w:t xml:space="preserve"> The decision confirmed that </w:t>
      </w:r>
      <w:r w:rsidR="00157743" w:rsidRPr="00807B78">
        <w:rPr>
          <w:sz w:val="22"/>
          <w:szCs w:val="22"/>
          <w:lang w:val="en-GB" w:eastAsia="en-GB"/>
        </w:rPr>
        <w:t xml:space="preserve">Article 33(2) </w:t>
      </w:r>
      <w:r w:rsidRPr="00807B78">
        <w:rPr>
          <w:sz w:val="22"/>
          <w:szCs w:val="22"/>
          <w:lang w:val="en-GB" w:eastAsia="en-GB"/>
        </w:rPr>
        <w:t xml:space="preserve">of the Refugee Convention </w:t>
      </w:r>
      <w:r w:rsidR="00157743" w:rsidRPr="00807B78">
        <w:rPr>
          <w:sz w:val="22"/>
          <w:szCs w:val="22"/>
          <w:lang w:val="en-GB" w:eastAsia="en-GB"/>
        </w:rPr>
        <w:t>is relevant to the Inspector General’s decision and that there is a very high threshold for deciding whether a person presents a risk to security in this situation</w:t>
      </w:r>
      <w:r w:rsidRPr="00807B78">
        <w:rPr>
          <w:sz w:val="22"/>
          <w:szCs w:val="22"/>
          <w:lang w:val="en-GB" w:eastAsia="en-GB"/>
        </w:rPr>
        <w:t>.  The Court also confirmed that the Minister is required to give reasons for confirming the certificate, and that the principles of natural justice apply.</w:t>
      </w:r>
    </w:p>
    <w:p w:rsidR="00AE7597" w:rsidRDefault="00AE7597" w:rsidP="00AE7597">
      <w:pPr>
        <w:jc w:val="both"/>
        <w:rPr>
          <w:sz w:val="22"/>
          <w:szCs w:val="22"/>
          <w:lang w:val="en-GB" w:eastAsia="en-GB"/>
        </w:rPr>
      </w:pPr>
    </w:p>
    <w:p w:rsidR="00AE7597" w:rsidRDefault="00425782" w:rsidP="00D54A7C">
      <w:pPr>
        <w:numPr>
          <w:ilvl w:val="1"/>
          <w:numId w:val="3"/>
        </w:numPr>
        <w:tabs>
          <w:tab w:val="clear" w:pos="1080"/>
          <w:tab w:val="num" w:pos="540"/>
        </w:tabs>
        <w:ind w:left="540" w:hanging="540"/>
        <w:jc w:val="both"/>
        <w:rPr>
          <w:sz w:val="22"/>
          <w:szCs w:val="22"/>
        </w:rPr>
      </w:pPr>
      <w:r w:rsidRPr="00807B78">
        <w:rPr>
          <w:sz w:val="22"/>
          <w:szCs w:val="22"/>
          <w:lang w:val="en-GB" w:eastAsia="en-GB"/>
        </w:rPr>
        <w:t>In 2007 the security risk certificate was reviewed and revoked</w:t>
      </w:r>
      <w:r w:rsidR="000620D9" w:rsidRPr="00807B78">
        <w:rPr>
          <w:sz w:val="22"/>
          <w:szCs w:val="22"/>
          <w:lang w:val="en-GB" w:eastAsia="en-GB"/>
        </w:rPr>
        <w:t xml:space="preserve"> by the Director of Security Intelligence</w:t>
      </w:r>
      <w:r w:rsidRPr="00807B78">
        <w:rPr>
          <w:sz w:val="22"/>
          <w:szCs w:val="22"/>
          <w:lang w:val="en-GB" w:eastAsia="en-GB"/>
        </w:rPr>
        <w:t>.</w:t>
      </w:r>
      <w:r w:rsidR="00BF5E46">
        <w:rPr>
          <w:sz w:val="22"/>
          <w:szCs w:val="22"/>
          <w:lang w:val="en-GB" w:eastAsia="en-GB"/>
        </w:rPr>
        <w:t xml:space="preserve">  </w:t>
      </w:r>
      <w:r w:rsidRPr="00807B78">
        <w:rPr>
          <w:sz w:val="22"/>
          <w:szCs w:val="22"/>
          <w:lang w:val="en-GB" w:eastAsia="en-GB"/>
        </w:rPr>
        <w:t xml:space="preserve">The review was conducted with the involvement of a special advocate, who was able to access classified information and make submissions in Mr Zaoui’s interests.  </w:t>
      </w:r>
    </w:p>
    <w:p w:rsidR="00AE7597" w:rsidRDefault="00AE7597" w:rsidP="00AE7597">
      <w:pPr>
        <w:jc w:val="both"/>
        <w:rPr>
          <w:sz w:val="22"/>
          <w:szCs w:val="22"/>
          <w:lang w:val="en-GB" w:eastAsia="en-GB"/>
        </w:rPr>
      </w:pPr>
    </w:p>
    <w:p w:rsidR="005A1B85" w:rsidRPr="00C15E7B" w:rsidRDefault="005A1B85" w:rsidP="00D54A7C">
      <w:pPr>
        <w:numPr>
          <w:ilvl w:val="1"/>
          <w:numId w:val="3"/>
        </w:numPr>
        <w:tabs>
          <w:tab w:val="clear" w:pos="1080"/>
          <w:tab w:val="num" w:pos="540"/>
        </w:tabs>
        <w:ind w:left="540" w:hanging="540"/>
        <w:jc w:val="both"/>
        <w:rPr>
          <w:b/>
          <w:sz w:val="22"/>
          <w:szCs w:val="22"/>
        </w:rPr>
      </w:pPr>
      <w:r w:rsidRPr="00C15E7B">
        <w:rPr>
          <w:b/>
          <w:sz w:val="22"/>
          <w:szCs w:val="22"/>
          <w:lang w:val="en-GB" w:eastAsia="en-GB"/>
        </w:rPr>
        <w:t>The Commission remains concerned that, although there is provision for a special advocate system in the proposed Immigration Bill, the use of and access to classified information remains problematic – including the prohibition of communication between special advocate and subject after the advocate has seen the classified information.  The bill also provides for access to a summary of allegations, but not a summary of the information on which allegations are based.</w:t>
      </w:r>
    </w:p>
    <w:p w:rsidR="00992744" w:rsidRPr="000542A0" w:rsidRDefault="00992744" w:rsidP="000542A0">
      <w:pPr>
        <w:pStyle w:val="Heading1"/>
      </w:pPr>
      <w:bookmarkStart w:id="36" w:name="_Toc222903318"/>
      <w:bookmarkStart w:id="37" w:name="_Toc225333156"/>
      <w:r w:rsidRPr="000542A0">
        <w:t>Education and training (Article 10)</w:t>
      </w:r>
      <w:bookmarkEnd w:id="36"/>
      <w:bookmarkEnd w:id="37"/>
    </w:p>
    <w:p w:rsidR="00992744" w:rsidRPr="009B3636" w:rsidRDefault="00992744" w:rsidP="00F615B6">
      <w:pPr>
        <w:rPr>
          <w:sz w:val="22"/>
          <w:szCs w:val="22"/>
          <w:lang w:val="en-NZ"/>
        </w:rPr>
      </w:pPr>
    </w:p>
    <w:p w:rsidR="009B3636" w:rsidRDefault="009B3636" w:rsidP="00D54A7C">
      <w:pPr>
        <w:numPr>
          <w:ilvl w:val="1"/>
          <w:numId w:val="3"/>
        </w:numPr>
        <w:tabs>
          <w:tab w:val="clear" w:pos="1080"/>
          <w:tab w:val="num" w:pos="540"/>
        </w:tabs>
        <w:ind w:left="540" w:hanging="540"/>
        <w:rPr>
          <w:sz w:val="22"/>
          <w:szCs w:val="22"/>
        </w:rPr>
      </w:pPr>
      <w:r w:rsidRPr="009B3636">
        <w:rPr>
          <w:sz w:val="22"/>
          <w:szCs w:val="22"/>
        </w:rPr>
        <w:t xml:space="preserve">In recent years, the Commission has provided ‘train the trainers’ human rights education programmes to Police, Customs, and Corrections staff, and has been working with a newly formed Police Human Rights working group on a more comprehensive approach to the application of human rights principles in all Police practice.  </w:t>
      </w:r>
    </w:p>
    <w:p w:rsidR="00AE7597" w:rsidRDefault="00AE7597" w:rsidP="00AE7597">
      <w:pPr>
        <w:rPr>
          <w:sz w:val="22"/>
          <w:szCs w:val="22"/>
        </w:rPr>
      </w:pPr>
    </w:p>
    <w:p w:rsidR="009B3636" w:rsidRPr="00C15E7B" w:rsidRDefault="009B3636" w:rsidP="00D54A7C">
      <w:pPr>
        <w:numPr>
          <w:ilvl w:val="1"/>
          <w:numId w:val="3"/>
        </w:numPr>
        <w:tabs>
          <w:tab w:val="clear" w:pos="1080"/>
          <w:tab w:val="num" w:pos="540"/>
        </w:tabs>
        <w:ind w:left="540" w:hanging="540"/>
        <w:rPr>
          <w:b/>
          <w:sz w:val="22"/>
          <w:szCs w:val="22"/>
        </w:rPr>
      </w:pPr>
      <w:r w:rsidRPr="00C15E7B">
        <w:rPr>
          <w:b/>
          <w:sz w:val="22"/>
          <w:szCs w:val="22"/>
        </w:rPr>
        <w:t>While some training and guidelines are in place for law enforcement and detention personnel, a number of staffing and practice issues raised above highlight the importance of comprehensive integration of human rights into training and day to day practices.</w:t>
      </w:r>
    </w:p>
    <w:p w:rsidR="001D0A55" w:rsidRPr="000542A0" w:rsidRDefault="00E34C0B" w:rsidP="000542A0">
      <w:pPr>
        <w:pStyle w:val="Heading1"/>
      </w:pPr>
      <w:bookmarkStart w:id="38" w:name="_Toc222903320"/>
      <w:bookmarkStart w:id="39" w:name="_Toc225333157"/>
      <w:r w:rsidRPr="000542A0">
        <w:t>Review of l</w:t>
      </w:r>
      <w:r w:rsidR="001D0A55" w:rsidRPr="000542A0">
        <w:t>egislation, policy and practice in relation to people subject to arrest, detention or imprisonment</w:t>
      </w:r>
      <w:r w:rsidRPr="000542A0">
        <w:t xml:space="preserve"> (Article 11)</w:t>
      </w:r>
      <w:bookmarkEnd w:id="39"/>
    </w:p>
    <w:p w:rsidR="00E34C0B" w:rsidRDefault="00E34C0B" w:rsidP="00E34C0B">
      <w:pPr>
        <w:rPr>
          <w:lang w:val="en-NZ" w:eastAsia="en-NZ"/>
        </w:rPr>
      </w:pPr>
    </w:p>
    <w:p w:rsidR="00E34C0B" w:rsidRDefault="00E34C0B" w:rsidP="00D54A7C">
      <w:pPr>
        <w:numPr>
          <w:ilvl w:val="1"/>
          <w:numId w:val="3"/>
        </w:numPr>
        <w:tabs>
          <w:tab w:val="clear" w:pos="1080"/>
          <w:tab w:val="num" w:pos="540"/>
        </w:tabs>
        <w:ind w:left="540" w:hanging="540"/>
        <w:jc w:val="both"/>
        <w:rPr>
          <w:sz w:val="22"/>
          <w:szCs w:val="22"/>
          <w:lang w:val="en-NZ" w:eastAsia="en-NZ"/>
        </w:rPr>
      </w:pPr>
      <w:r w:rsidRPr="00BF5E46">
        <w:rPr>
          <w:sz w:val="22"/>
          <w:szCs w:val="22"/>
          <w:lang w:val="en-NZ" w:eastAsia="en-NZ"/>
        </w:rPr>
        <w:t>Reviews of legislation relating to Police, Corrections and Immigration have been outlined above.  Ongoing monitoring and review in these areas remains important.  The Commission considers that further review of the Immigration legislation in particular is necessary in order to ensure that human rights standards are met.</w:t>
      </w:r>
    </w:p>
    <w:p w:rsidR="004C4792" w:rsidRDefault="004C4792" w:rsidP="004C4792">
      <w:pPr>
        <w:jc w:val="both"/>
        <w:rPr>
          <w:sz w:val="22"/>
          <w:szCs w:val="22"/>
          <w:lang w:val="en-NZ" w:eastAsia="en-NZ"/>
        </w:rPr>
      </w:pPr>
    </w:p>
    <w:p w:rsidR="004C4792" w:rsidRDefault="004C4792" w:rsidP="00D54A7C">
      <w:pPr>
        <w:numPr>
          <w:ilvl w:val="1"/>
          <w:numId w:val="3"/>
        </w:numPr>
        <w:tabs>
          <w:tab w:val="clear" w:pos="1080"/>
          <w:tab w:val="num" w:pos="540"/>
        </w:tabs>
        <w:ind w:left="540" w:hanging="540"/>
        <w:jc w:val="both"/>
        <w:rPr>
          <w:sz w:val="22"/>
          <w:szCs w:val="22"/>
          <w:lang w:val="en-NZ" w:eastAsia="en-NZ"/>
        </w:rPr>
      </w:pPr>
      <w:r>
        <w:rPr>
          <w:sz w:val="22"/>
          <w:szCs w:val="22"/>
          <w:lang w:val="en-NZ" w:eastAsia="en-NZ"/>
        </w:rPr>
        <w:t xml:space="preserve">The Committee should also be aware that pieces of recently introduced legislation, such as the </w:t>
      </w:r>
      <w:r w:rsidRPr="004C4792">
        <w:rPr>
          <w:sz w:val="22"/>
          <w:szCs w:val="22"/>
          <w:lang w:val="en-NZ" w:eastAsia="en-NZ"/>
        </w:rPr>
        <w:t>Sentencing and Parole Reform Bill (2009)</w:t>
      </w:r>
      <w:r>
        <w:rPr>
          <w:sz w:val="22"/>
          <w:szCs w:val="22"/>
          <w:lang w:val="en-NZ" w:eastAsia="en-NZ"/>
        </w:rPr>
        <w:t xml:space="preserve"> may have implications on New Zealand’s implementation of the Convention.</w:t>
      </w:r>
      <w:r>
        <w:rPr>
          <w:rStyle w:val="FootnoteReference"/>
          <w:sz w:val="22"/>
          <w:szCs w:val="22"/>
          <w:lang w:val="en-NZ" w:eastAsia="en-NZ"/>
        </w:rPr>
        <w:footnoteReference w:id="40"/>
      </w:r>
    </w:p>
    <w:p w:rsidR="00AE7597" w:rsidRDefault="00AE7597" w:rsidP="00AE7597">
      <w:pPr>
        <w:jc w:val="both"/>
        <w:rPr>
          <w:sz w:val="22"/>
          <w:szCs w:val="22"/>
          <w:lang w:val="en-NZ" w:eastAsia="en-NZ"/>
        </w:rPr>
      </w:pPr>
    </w:p>
    <w:p w:rsidR="00AE7597" w:rsidRDefault="00E34C0B" w:rsidP="00D54A7C">
      <w:pPr>
        <w:numPr>
          <w:ilvl w:val="1"/>
          <w:numId w:val="3"/>
        </w:numPr>
        <w:tabs>
          <w:tab w:val="clear" w:pos="1080"/>
          <w:tab w:val="num" w:pos="540"/>
        </w:tabs>
        <w:ind w:left="540" w:hanging="540"/>
        <w:jc w:val="both"/>
        <w:rPr>
          <w:sz w:val="22"/>
          <w:szCs w:val="22"/>
          <w:lang w:val="en-NZ" w:eastAsia="en-NZ"/>
        </w:rPr>
      </w:pPr>
      <w:r w:rsidRPr="00BF5E46">
        <w:rPr>
          <w:sz w:val="22"/>
          <w:szCs w:val="22"/>
          <w:lang w:val="en-NZ" w:eastAsia="en-NZ"/>
        </w:rPr>
        <w:t xml:space="preserve">The </w:t>
      </w:r>
      <w:r w:rsidRPr="00BF5E46">
        <w:rPr>
          <w:i/>
          <w:sz w:val="22"/>
          <w:szCs w:val="22"/>
          <w:lang w:val="en-NZ" w:eastAsia="en-NZ"/>
        </w:rPr>
        <w:t>New Zealand Action Plan for Human Rights</w:t>
      </w:r>
      <w:r w:rsidRPr="00BF5E46">
        <w:rPr>
          <w:sz w:val="22"/>
          <w:szCs w:val="22"/>
          <w:lang w:val="en-NZ" w:eastAsia="en-NZ"/>
        </w:rPr>
        <w:t xml:space="preserve"> identified </w:t>
      </w:r>
      <w:r w:rsidR="00F11B08" w:rsidRPr="00BF5E46">
        <w:rPr>
          <w:sz w:val="22"/>
          <w:szCs w:val="22"/>
          <w:lang w:val="en-NZ" w:eastAsia="en-NZ"/>
        </w:rPr>
        <w:t>priorities for action from 2005-2010 in order</w:t>
      </w:r>
      <w:r w:rsidRPr="00BF5E46">
        <w:rPr>
          <w:sz w:val="22"/>
          <w:szCs w:val="22"/>
          <w:lang w:val="en-NZ" w:eastAsia="en-NZ"/>
        </w:rPr>
        <w:t xml:space="preserve"> to improve human rights in New Zealand</w:t>
      </w:r>
      <w:r w:rsidR="00F11B08" w:rsidRPr="00BF5E46">
        <w:rPr>
          <w:sz w:val="22"/>
          <w:szCs w:val="22"/>
          <w:lang w:val="en-NZ" w:eastAsia="en-NZ"/>
        </w:rPr>
        <w:t xml:space="preserve">.  The Action Plan </w:t>
      </w:r>
      <w:r w:rsidR="00F11B08" w:rsidRPr="00BF5E46">
        <w:rPr>
          <w:sz w:val="22"/>
          <w:szCs w:val="22"/>
          <w:lang w:val="en-NZ"/>
        </w:rPr>
        <w:t>has been an important catalyst in increasing understanding of the value of human rights and greater consideration of human rights standards in state sector policy development.  It has also provided a valuable framework for human rights advocacy by civil society.</w:t>
      </w:r>
      <w:bookmarkStart w:id="40" w:name="_Toc222903321"/>
      <w:bookmarkEnd w:id="38"/>
    </w:p>
    <w:p w:rsidR="00AE7597" w:rsidRDefault="00AE7597" w:rsidP="00AE7597">
      <w:pPr>
        <w:jc w:val="both"/>
        <w:rPr>
          <w:sz w:val="22"/>
          <w:szCs w:val="22"/>
          <w:lang w:val="en-NZ"/>
        </w:rPr>
      </w:pPr>
    </w:p>
    <w:p w:rsidR="004C4792" w:rsidRPr="001C6C7A" w:rsidRDefault="00F11B08" w:rsidP="004C4792">
      <w:pPr>
        <w:numPr>
          <w:ilvl w:val="1"/>
          <w:numId w:val="3"/>
        </w:numPr>
        <w:tabs>
          <w:tab w:val="clear" w:pos="1080"/>
          <w:tab w:val="num" w:pos="540"/>
        </w:tabs>
        <w:ind w:left="540" w:hanging="540"/>
        <w:jc w:val="both"/>
        <w:rPr>
          <w:b/>
          <w:sz w:val="22"/>
          <w:szCs w:val="22"/>
          <w:lang w:val="en-NZ" w:eastAsia="en-NZ"/>
        </w:rPr>
      </w:pPr>
      <w:r w:rsidRPr="00C15E7B">
        <w:rPr>
          <w:b/>
          <w:sz w:val="22"/>
          <w:szCs w:val="22"/>
          <w:lang w:val="en-NZ"/>
        </w:rPr>
        <w:t>The</w:t>
      </w:r>
      <w:r w:rsidR="001D0A55" w:rsidRPr="00C15E7B">
        <w:rPr>
          <w:b/>
          <w:sz w:val="22"/>
          <w:szCs w:val="22"/>
          <w:lang w:val="en-NZ"/>
        </w:rPr>
        <w:t xml:space="preserve"> </w:t>
      </w:r>
      <w:r w:rsidRPr="00C15E7B">
        <w:rPr>
          <w:b/>
          <w:sz w:val="22"/>
          <w:szCs w:val="22"/>
          <w:lang w:val="en-NZ"/>
        </w:rPr>
        <w:t xml:space="preserve">Commission </w:t>
      </w:r>
      <w:r w:rsidR="00BF5E46" w:rsidRPr="00C15E7B">
        <w:rPr>
          <w:b/>
          <w:sz w:val="22"/>
          <w:szCs w:val="22"/>
          <w:lang w:val="en-NZ"/>
        </w:rPr>
        <w:t xml:space="preserve">is </w:t>
      </w:r>
      <w:r w:rsidR="001C6C7A">
        <w:rPr>
          <w:b/>
          <w:sz w:val="22"/>
          <w:szCs w:val="22"/>
          <w:lang w:val="en-NZ"/>
        </w:rPr>
        <w:t>seeking</w:t>
      </w:r>
      <w:r w:rsidRPr="00C15E7B">
        <w:rPr>
          <w:b/>
          <w:sz w:val="22"/>
          <w:szCs w:val="22"/>
          <w:lang w:val="en-NZ"/>
        </w:rPr>
        <w:t xml:space="preserve"> the </w:t>
      </w:r>
      <w:r w:rsidR="001D0A55" w:rsidRPr="00C15E7B">
        <w:rPr>
          <w:b/>
          <w:sz w:val="22"/>
          <w:szCs w:val="22"/>
          <w:lang w:val="en-NZ"/>
        </w:rPr>
        <w:t>government</w:t>
      </w:r>
      <w:r w:rsidR="001C6C7A">
        <w:rPr>
          <w:b/>
          <w:sz w:val="22"/>
          <w:szCs w:val="22"/>
          <w:lang w:val="en-NZ"/>
        </w:rPr>
        <w:t>’s</w:t>
      </w:r>
      <w:r w:rsidR="001D0A55" w:rsidRPr="00C15E7B">
        <w:rPr>
          <w:b/>
          <w:sz w:val="22"/>
          <w:szCs w:val="22"/>
          <w:lang w:val="en-NZ"/>
        </w:rPr>
        <w:t xml:space="preserve"> support to develop, in consultation with all interested parties, a further national plan of action, </w:t>
      </w:r>
      <w:r w:rsidR="001D0A55" w:rsidRPr="00C15E7B">
        <w:rPr>
          <w:b/>
          <w:sz w:val="22"/>
          <w:szCs w:val="22"/>
          <w:lang w:val="en-NZ"/>
        </w:rPr>
        <w:lastRenderedPageBreak/>
        <w:t xml:space="preserve">for the promotion and protection of human rights in New Zealand, for 2010-2015. </w:t>
      </w:r>
      <w:bookmarkEnd w:id="40"/>
    </w:p>
    <w:p w:rsidR="00115773" w:rsidRPr="000542A0" w:rsidRDefault="00A27C51" w:rsidP="000542A0">
      <w:pPr>
        <w:pStyle w:val="Heading1"/>
      </w:pPr>
      <w:bookmarkStart w:id="41" w:name="_Toc225333158"/>
      <w:r w:rsidRPr="000542A0">
        <w:t>Complaints of torture</w:t>
      </w:r>
      <w:r w:rsidR="002561AA" w:rsidRPr="000542A0">
        <w:t xml:space="preserve"> and</w:t>
      </w:r>
      <w:r w:rsidR="000160A5" w:rsidRPr="000542A0">
        <w:t xml:space="preserve"> </w:t>
      </w:r>
      <w:r w:rsidRPr="000542A0">
        <w:t xml:space="preserve">access to </w:t>
      </w:r>
      <w:r w:rsidR="000160A5" w:rsidRPr="000542A0">
        <w:t>redress (Articles 12, 13 and 14)</w:t>
      </w:r>
      <w:bookmarkEnd w:id="41"/>
      <w:r w:rsidR="000160A5" w:rsidRPr="000542A0">
        <w:t xml:space="preserve"> </w:t>
      </w:r>
    </w:p>
    <w:p w:rsidR="0004130B" w:rsidRDefault="00AE7597" w:rsidP="00BF5E46">
      <w:pPr>
        <w:pStyle w:val="Heading2"/>
      </w:pPr>
      <w:bookmarkStart w:id="42" w:name="_Toc225333159"/>
      <w:r>
        <w:t xml:space="preserve">The </w:t>
      </w:r>
      <w:r w:rsidR="00EE6C19" w:rsidRPr="00AE7597">
        <w:rPr>
          <w:i/>
        </w:rPr>
        <w:t>Taunoa</w:t>
      </w:r>
      <w:r>
        <w:t xml:space="preserve"> Case</w:t>
      </w:r>
      <w:bookmarkEnd w:id="42"/>
    </w:p>
    <w:p w:rsidR="00FE6C30" w:rsidRDefault="00FE6C30" w:rsidP="00D54A7C">
      <w:pPr>
        <w:numPr>
          <w:ilvl w:val="1"/>
          <w:numId w:val="3"/>
        </w:numPr>
        <w:tabs>
          <w:tab w:val="clear" w:pos="1080"/>
          <w:tab w:val="num" w:pos="540"/>
        </w:tabs>
        <w:ind w:left="540" w:hanging="540"/>
        <w:jc w:val="both"/>
        <w:rPr>
          <w:sz w:val="22"/>
          <w:szCs w:val="22"/>
          <w:lang w:val="en-GB" w:eastAsia="en-GB"/>
        </w:rPr>
      </w:pPr>
      <w:r w:rsidRPr="00EE6C19">
        <w:rPr>
          <w:sz w:val="22"/>
          <w:szCs w:val="22"/>
          <w:lang w:val="en-GB" w:eastAsia="en-GB"/>
        </w:rPr>
        <w:t xml:space="preserve">Further to the update provided in the State Report (pp 44-5), the Commission notes the following matters relating to the </w:t>
      </w:r>
      <w:r w:rsidRPr="00EE6C19">
        <w:rPr>
          <w:i/>
          <w:sz w:val="22"/>
          <w:szCs w:val="22"/>
          <w:lang w:val="en-GB" w:eastAsia="en-GB"/>
        </w:rPr>
        <w:t>Taunoa</w:t>
      </w:r>
      <w:r w:rsidRPr="00EE6C19">
        <w:rPr>
          <w:sz w:val="22"/>
          <w:szCs w:val="22"/>
          <w:lang w:val="en-GB" w:eastAsia="en-GB"/>
        </w:rPr>
        <w:t xml:space="preserve"> case.  </w:t>
      </w:r>
    </w:p>
    <w:p w:rsidR="00AE7597" w:rsidRDefault="00AE7597" w:rsidP="00AE7597">
      <w:pPr>
        <w:jc w:val="both"/>
        <w:rPr>
          <w:sz w:val="22"/>
          <w:szCs w:val="22"/>
          <w:lang w:val="en-GB" w:eastAsia="en-GB"/>
        </w:rPr>
      </w:pPr>
    </w:p>
    <w:p w:rsidR="00AE7597" w:rsidRDefault="00FE6C30" w:rsidP="00D54A7C">
      <w:pPr>
        <w:numPr>
          <w:ilvl w:val="1"/>
          <w:numId w:val="3"/>
        </w:numPr>
        <w:tabs>
          <w:tab w:val="clear" w:pos="1080"/>
          <w:tab w:val="num" w:pos="540"/>
        </w:tabs>
        <w:ind w:left="540" w:hanging="540"/>
        <w:jc w:val="both"/>
        <w:rPr>
          <w:sz w:val="22"/>
          <w:szCs w:val="22"/>
          <w:lang w:val="en-GB" w:eastAsia="en-GB"/>
        </w:rPr>
      </w:pPr>
      <w:r w:rsidRPr="00EE6C19">
        <w:rPr>
          <w:sz w:val="22"/>
          <w:szCs w:val="22"/>
          <w:lang w:val="en-GB" w:eastAsia="en-GB"/>
        </w:rPr>
        <w:t>In 2007 the Supreme Court</w:t>
      </w:r>
      <w:r w:rsidR="00FD27AB" w:rsidRPr="00EE6C19">
        <w:rPr>
          <w:sz w:val="22"/>
          <w:szCs w:val="22"/>
          <w:lang w:val="en-GB" w:eastAsia="en-GB"/>
        </w:rPr>
        <w:t xml:space="preserve">, by majority, declined </w:t>
      </w:r>
      <w:r w:rsidRPr="00EE6C19">
        <w:rPr>
          <w:sz w:val="22"/>
          <w:szCs w:val="22"/>
          <w:lang w:val="en-GB" w:eastAsia="en-GB"/>
        </w:rPr>
        <w:t xml:space="preserve">the </w:t>
      </w:r>
      <w:r w:rsidR="00FD27AB" w:rsidRPr="00EE6C19">
        <w:rPr>
          <w:sz w:val="22"/>
          <w:szCs w:val="22"/>
          <w:lang w:val="en-GB" w:eastAsia="en-GB"/>
        </w:rPr>
        <w:t xml:space="preserve">appeals </w:t>
      </w:r>
      <w:r w:rsidRPr="00EE6C19">
        <w:rPr>
          <w:sz w:val="22"/>
          <w:szCs w:val="22"/>
          <w:lang w:val="en-GB" w:eastAsia="en-GB"/>
        </w:rPr>
        <w:t xml:space="preserve">by Mr Taunoa and others </w:t>
      </w:r>
      <w:r w:rsidR="00FD27AB" w:rsidRPr="00EE6C19">
        <w:rPr>
          <w:sz w:val="22"/>
          <w:szCs w:val="22"/>
          <w:lang w:val="en-GB" w:eastAsia="en-GB"/>
        </w:rPr>
        <w:t>that their treatment amounted to cruel, degrading, or disproportionately severe treatment in breach of s 9 of the New Zealand Bill</w:t>
      </w:r>
      <w:r w:rsidRPr="00EE6C19">
        <w:rPr>
          <w:sz w:val="22"/>
          <w:szCs w:val="22"/>
          <w:lang w:val="en-GB" w:eastAsia="en-GB"/>
        </w:rPr>
        <w:t xml:space="preserve"> of Rights Act 1990.</w:t>
      </w:r>
      <w:r w:rsidRPr="00EE6C19">
        <w:rPr>
          <w:rStyle w:val="FootnoteReference"/>
          <w:sz w:val="22"/>
          <w:szCs w:val="22"/>
          <w:lang w:val="en-GB" w:eastAsia="en-GB"/>
        </w:rPr>
        <w:t xml:space="preserve"> </w:t>
      </w:r>
      <w:r w:rsidRPr="00EE6C19">
        <w:rPr>
          <w:rStyle w:val="FootnoteReference"/>
          <w:sz w:val="22"/>
          <w:szCs w:val="22"/>
          <w:lang w:val="en-GB" w:eastAsia="en-GB"/>
        </w:rPr>
        <w:footnoteReference w:id="41"/>
      </w:r>
      <w:r w:rsidRPr="00EE6C19">
        <w:rPr>
          <w:sz w:val="22"/>
          <w:szCs w:val="22"/>
          <w:lang w:val="en-GB" w:eastAsia="en-GB"/>
        </w:rPr>
        <w:t xml:space="preserve"> The appeal ruling</w:t>
      </w:r>
      <w:r w:rsidR="00FD27AB" w:rsidRPr="00EE6C19">
        <w:rPr>
          <w:sz w:val="22"/>
          <w:szCs w:val="22"/>
          <w:lang w:val="en-GB" w:eastAsia="en-GB"/>
        </w:rPr>
        <w:t xml:space="preserve"> did not affect the</w:t>
      </w:r>
      <w:r w:rsidRPr="00EE6C19">
        <w:rPr>
          <w:sz w:val="22"/>
          <w:szCs w:val="22"/>
          <w:lang w:val="en-GB" w:eastAsia="en-GB"/>
        </w:rPr>
        <w:t xml:space="preserve"> earlier</w:t>
      </w:r>
      <w:r w:rsidR="00FD27AB" w:rsidRPr="00EE6C19">
        <w:rPr>
          <w:sz w:val="22"/>
          <w:szCs w:val="22"/>
          <w:lang w:val="en-GB" w:eastAsia="en-GB"/>
        </w:rPr>
        <w:t xml:space="preserve"> decisions of the High Court and Court of Appeal that the </w:t>
      </w:r>
      <w:r w:rsidRPr="00EE6C19">
        <w:rPr>
          <w:sz w:val="22"/>
          <w:szCs w:val="22"/>
          <w:lang w:val="en-GB" w:eastAsia="en-GB"/>
        </w:rPr>
        <w:t xml:space="preserve">Behaviour Management Regime </w:t>
      </w:r>
      <w:r w:rsidR="00EE6C19" w:rsidRPr="00EE6C19">
        <w:rPr>
          <w:sz w:val="22"/>
          <w:szCs w:val="22"/>
          <w:lang w:val="en-GB" w:eastAsia="en-GB"/>
        </w:rPr>
        <w:t xml:space="preserve">that had operated at Auckland Prison between 1998 and 2004, </w:t>
      </w:r>
      <w:r w:rsidRPr="00EE6C19">
        <w:rPr>
          <w:sz w:val="22"/>
          <w:szCs w:val="22"/>
          <w:lang w:val="en-GB" w:eastAsia="en-GB"/>
        </w:rPr>
        <w:t xml:space="preserve">breached the </w:t>
      </w:r>
      <w:r w:rsidR="00FD27AB" w:rsidRPr="00EE6C19">
        <w:rPr>
          <w:sz w:val="22"/>
          <w:szCs w:val="22"/>
          <w:lang w:val="en-GB" w:eastAsia="en-GB"/>
        </w:rPr>
        <w:t>prisoners</w:t>
      </w:r>
      <w:r w:rsidRPr="00EE6C19">
        <w:rPr>
          <w:sz w:val="22"/>
          <w:szCs w:val="22"/>
          <w:lang w:val="en-GB" w:eastAsia="en-GB"/>
        </w:rPr>
        <w:t>’</w:t>
      </w:r>
      <w:r w:rsidR="00FD27AB" w:rsidRPr="00EE6C19">
        <w:rPr>
          <w:sz w:val="22"/>
          <w:szCs w:val="22"/>
          <w:lang w:val="en-GB" w:eastAsia="en-GB"/>
        </w:rPr>
        <w:t xml:space="preserve"> right to be treated with humanity and respect for their inherent dignity</w:t>
      </w:r>
      <w:r w:rsidRPr="00EE6C19">
        <w:rPr>
          <w:sz w:val="22"/>
          <w:szCs w:val="22"/>
          <w:lang w:val="en-GB" w:eastAsia="en-GB"/>
        </w:rPr>
        <w:t xml:space="preserve"> (affirmed by s 23(5) of the Bill of Rights Act).  The Supreme Court did however, allow</w:t>
      </w:r>
      <w:r w:rsidR="00FD27AB" w:rsidRPr="00EE6C19">
        <w:rPr>
          <w:sz w:val="22"/>
          <w:szCs w:val="22"/>
          <w:lang w:val="en-GB" w:eastAsia="en-GB"/>
        </w:rPr>
        <w:t xml:space="preserve"> cross-appeals by the </w:t>
      </w:r>
      <w:r w:rsidRPr="00EE6C19">
        <w:rPr>
          <w:sz w:val="22"/>
          <w:szCs w:val="22"/>
          <w:lang w:val="en-GB" w:eastAsia="en-GB"/>
        </w:rPr>
        <w:t>Attorney-</w:t>
      </w:r>
      <w:r w:rsidR="00FD27AB" w:rsidRPr="00EE6C19">
        <w:rPr>
          <w:sz w:val="22"/>
          <w:szCs w:val="22"/>
          <w:lang w:val="en-GB" w:eastAsia="en-GB"/>
        </w:rPr>
        <w:t>General against the level of damages awarded to three of the prisoners for breach of s 23(5).</w:t>
      </w:r>
    </w:p>
    <w:p w:rsidR="00AE7597" w:rsidRDefault="00AE7597" w:rsidP="00AE7597">
      <w:pPr>
        <w:jc w:val="both"/>
        <w:rPr>
          <w:sz w:val="22"/>
          <w:szCs w:val="22"/>
          <w:lang w:val="en-GB" w:eastAsia="en-GB"/>
        </w:rPr>
      </w:pPr>
    </w:p>
    <w:p w:rsidR="00AE7597" w:rsidRDefault="007F41CF" w:rsidP="00D54A7C">
      <w:pPr>
        <w:numPr>
          <w:ilvl w:val="1"/>
          <w:numId w:val="3"/>
        </w:numPr>
        <w:tabs>
          <w:tab w:val="clear" w:pos="1080"/>
          <w:tab w:val="num" w:pos="540"/>
        </w:tabs>
        <w:ind w:left="540" w:hanging="540"/>
        <w:jc w:val="both"/>
        <w:rPr>
          <w:sz w:val="22"/>
          <w:szCs w:val="22"/>
          <w:lang w:val="en-GB" w:eastAsia="en-GB"/>
        </w:rPr>
      </w:pPr>
      <w:r w:rsidRPr="00EE6C19">
        <w:rPr>
          <w:sz w:val="22"/>
          <w:szCs w:val="22"/>
          <w:lang w:val="en-GB" w:eastAsia="en-GB"/>
        </w:rPr>
        <w:t xml:space="preserve">The Commission notes that the original award of damages to the prisoners </w:t>
      </w:r>
      <w:r w:rsidR="00164F9F" w:rsidRPr="00EE6C19">
        <w:rPr>
          <w:sz w:val="22"/>
          <w:szCs w:val="22"/>
          <w:lang w:val="en-GB" w:eastAsia="en-GB"/>
        </w:rPr>
        <w:t xml:space="preserve">in 2004 </w:t>
      </w:r>
      <w:r w:rsidRPr="00EE6C19">
        <w:rPr>
          <w:sz w:val="22"/>
          <w:szCs w:val="22"/>
          <w:lang w:val="en-GB" w:eastAsia="en-GB"/>
        </w:rPr>
        <w:t xml:space="preserve">met with significant public and political objection.  This in turn prompted the enactment of the Prisoners’ and Victims’ Claims Act 2005, which limits the award and payment of compensation to </w:t>
      </w:r>
      <w:r w:rsidR="00382237" w:rsidRPr="00EE6C19">
        <w:rPr>
          <w:sz w:val="22"/>
          <w:szCs w:val="22"/>
          <w:lang w:val="en-GB" w:eastAsia="en-GB"/>
        </w:rPr>
        <w:t>prisoners</w:t>
      </w:r>
      <w:r w:rsidRPr="00EE6C19">
        <w:rPr>
          <w:sz w:val="22"/>
          <w:szCs w:val="22"/>
          <w:lang w:val="en-GB" w:eastAsia="en-GB"/>
        </w:rPr>
        <w:t xml:space="preserve">.  The </w:t>
      </w:r>
      <w:r w:rsidR="00382237" w:rsidRPr="00EE6C19">
        <w:rPr>
          <w:sz w:val="22"/>
          <w:szCs w:val="22"/>
          <w:lang w:val="en-GB" w:eastAsia="en-GB"/>
        </w:rPr>
        <w:t xml:space="preserve">Commission considers that this response inappropriately focused on </w:t>
      </w:r>
      <w:r w:rsidR="00382237" w:rsidRPr="00EE6C19">
        <w:rPr>
          <w:sz w:val="22"/>
          <w:szCs w:val="22"/>
          <w:lang w:val="en-NZ"/>
        </w:rPr>
        <w:t>limiting prisoners’ access to compensation,</w:t>
      </w:r>
      <w:r w:rsidR="00EE6C19" w:rsidRPr="00EE6C19">
        <w:rPr>
          <w:sz w:val="22"/>
          <w:szCs w:val="22"/>
          <w:lang w:val="en-NZ"/>
        </w:rPr>
        <w:t xml:space="preserve"> rather than</w:t>
      </w:r>
      <w:r w:rsidR="00382237" w:rsidRPr="00EE6C19">
        <w:rPr>
          <w:sz w:val="22"/>
          <w:szCs w:val="22"/>
          <w:lang w:val="en-NZ"/>
        </w:rPr>
        <w:t xml:space="preserve"> on preventi</w:t>
      </w:r>
      <w:r w:rsidR="00EE6C19" w:rsidRPr="00EE6C19">
        <w:rPr>
          <w:sz w:val="22"/>
          <w:szCs w:val="22"/>
          <w:lang w:val="en-NZ"/>
        </w:rPr>
        <w:t>ng</w:t>
      </w:r>
      <w:r w:rsidR="00382237" w:rsidRPr="00EE6C19">
        <w:rPr>
          <w:sz w:val="22"/>
          <w:szCs w:val="22"/>
          <w:lang w:val="en-NZ"/>
        </w:rPr>
        <w:t xml:space="preserve"> mistreatment from occurring</w:t>
      </w:r>
      <w:r w:rsidR="00EE6C19" w:rsidRPr="00EE6C19">
        <w:rPr>
          <w:sz w:val="22"/>
          <w:szCs w:val="22"/>
          <w:lang w:val="en-NZ"/>
        </w:rPr>
        <w:t>, and</w:t>
      </w:r>
      <w:r w:rsidR="00287F3C" w:rsidRPr="00EE6C19">
        <w:rPr>
          <w:sz w:val="22"/>
          <w:szCs w:val="22"/>
          <w:lang w:val="en-NZ"/>
        </w:rPr>
        <w:t xml:space="preserve"> does not </w:t>
      </w:r>
      <w:r w:rsidR="00EE6C19" w:rsidRPr="00EE6C19">
        <w:rPr>
          <w:sz w:val="22"/>
          <w:szCs w:val="22"/>
          <w:lang w:val="en-NZ"/>
        </w:rPr>
        <w:t>accord</w:t>
      </w:r>
      <w:r w:rsidR="00287F3C" w:rsidRPr="00EE6C19">
        <w:rPr>
          <w:sz w:val="22"/>
          <w:szCs w:val="22"/>
          <w:lang w:val="en-NZ"/>
        </w:rPr>
        <w:t xml:space="preserve"> well with the State’s obligations to </w:t>
      </w:r>
      <w:r w:rsidR="00164F9F" w:rsidRPr="00EE6C19">
        <w:rPr>
          <w:sz w:val="22"/>
          <w:szCs w:val="22"/>
        </w:rPr>
        <w:t>ensure</w:t>
      </w:r>
      <w:r w:rsidR="00287F3C" w:rsidRPr="00EE6C19">
        <w:rPr>
          <w:sz w:val="22"/>
          <w:szCs w:val="22"/>
        </w:rPr>
        <w:t xml:space="preserve"> that prisoners are treated with humanity and dignity and that an effective remedy is available </w:t>
      </w:r>
      <w:r w:rsidR="00164F9F" w:rsidRPr="00EE6C19">
        <w:rPr>
          <w:sz w:val="22"/>
          <w:szCs w:val="22"/>
        </w:rPr>
        <w:t>for violations of their rights</w:t>
      </w:r>
      <w:r w:rsidR="00287F3C" w:rsidRPr="00EE6C19">
        <w:rPr>
          <w:sz w:val="22"/>
          <w:szCs w:val="22"/>
        </w:rPr>
        <w:t>.</w:t>
      </w:r>
    </w:p>
    <w:p w:rsidR="00AE7597" w:rsidRDefault="00AE7597" w:rsidP="00AE7597">
      <w:pPr>
        <w:jc w:val="both"/>
        <w:rPr>
          <w:sz w:val="22"/>
          <w:szCs w:val="22"/>
          <w:lang w:val="en-NZ"/>
        </w:rPr>
      </w:pPr>
    </w:p>
    <w:p w:rsidR="00287F3C" w:rsidRPr="00AE7597" w:rsidRDefault="00382237" w:rsidP="008D791C">
      <w:pPr>
        <w:numPr>
          <w:ilvl w:val="1"/>
          <w:numId w:val="3"/>
        </w:numPr>
        <w:tabs>
          <w:tab w:val="clear" w:pos="1080"/>
          <w:tab w:val="num" w:pos="540"/>
        </w:tabs>
        <w:ind w:left="540" w:hanging="540"/>
        <w:jc w:val="both"/>
        <w:rPr>
          <w:sz w:val="22"/>
          <w:szCs w:val="22"/>
          <w:lang w:val="en-GB" w:eastAsia="en-GB"/>
        </w:rPr>
      </w:pPr>
      <w:r w:rsidRPr="00EE6C19">
        <w:rPr>
          <w:sz w:val="22"/>
          <w:szCs w:val="22"/>
          <w:lang w:val="en-NZ"/>
        </w:rPr>
        <w:t xml:space="preserve">The Act provides that any compensation </w:t>
      </w:r>
      <w:r w:rsidR="00287F3C" w:rsidRPr="00EE6C19">
        <w:rPr>
          <w:sz w:val="22"/>
          <w:szCs w:val="22"/>
          <w:lang w:val="en-NZ"/>
        </w:rPr>
        <w:t xml:space="preserve">awarded to prisoners </w:t>
      </w:r>
      <w:r w:rsidRPr="00EE6C19">
        <w:rPr>
          <w:sz w:val="22"/>
          <w:szCs w:val="22"/>
          <w:lang w:val="en-NZ"/>
        </w:rPr>
        <w:t>may be subject to reparat</w:t>
      </w:r>
      <w:r w:rsidR="00A31829">
        <w:rPr>
          <w:sz w:val="22"/>
          <w:szCs w:val="22"/>
          <w:lang w:val="en-NZ"/>
        </w:rPr>
        <w:t>ion claims by any victim of their</w:t>
      </w:r>
      <w:r w:rsidRPr="00EE6C19">
        <w:rPr>
          <w:sz w:val="22"/>
          <w:szCs w:val="22"/>
          <w:lang w:val="en-NZ"/>
        </w:rPr>
        <w:t xml:space="preserve"> offending</w:t>
      </w:r>
      <w:r w:rsidR="00287F3C" w:rsidRPr="00EE6C19">
        <w:rPr>
          <w:sz w:val="22"/>
          <w:szCs w:val="22"/>
          <w:lang w:val="en-NZ"/>
        </w:rPr>
        <w:t xml:space="preserve"> before being paid to the prisoner</w:t>
      </w:r>
      <w:r w:rsidRPr="00EE6C19">
        <w:rPr>
          <w:sz w:val="22"/>
          <w:szCs w:val="22"/>
          <w:lang w:val="en-NZ"/>
        </w:rPr>
        <w:t>.</w:t>
      </w:r>
      <w:r w:rsidR="00287F3C" w:rsidRPr="00EE6C19">
        <w:rPr>
          <w:sz w:val="22"/>
          <w:szCs w:val="22"/>
          <w:lang w:val="en-NZ"/>
        </w:rPr>
        <w:t xml:space="preserve">  </w:t>
      </w:r>
      <w:r w:rsidR="00F568D4" w:rsidRPr="00EE6C19">
        <w:rPr>
          <w:sz w:val="22"/>
          <w:szCs w:val="22"/>
          <w:lang w:val="en-NZ"/>
        </w:rPr>
        <w:t>While victims of crime should be appropriately compensated, t</w:t>
      </w:r>
      <w:r w:rsidRPr="00EE6C19">
        <w:rPr>
          <w:sz w:val="22"/>
          <w:szCs w:val="22"/>
          <w:lang w:val="en-NZ"/>
        </w:rPr>
        <w:t>he Commiss</w:t>
      </w:r>
      <w:r w:rsidR="00085F15" w:rsidRPr="00EE6C19">
        <w:rPr>
          <w:sz w:val="22"/>
          <w:szCs w:val="22"/>
          <w:lang w:val="en-NZ"/>
        </w:rPr>
        <w:t>ion</w:t>
      </w:r>
      <w:r w:rsidR="00164F9F" w:rsidRPr="00EE6C19">
        <w:rPr>
          <w:sz w:val="22"/>
          <w:szCs w:val="22"/>
          <w:lang w:val="en-NZ"/>
        </w:rPr>
        <w:t xml:space="preserve"> does not consider that the</w:t>
      </w:r>
      <w:r w:rsidR="00D925A0" w:rsidRPr="00EE6C19">
        <w:rPr>
          <w:sz w:val="22"/>
          <w:szCs w:val="22"/>
          <w:lang w:val="en-NZ"/>
        </w:rPr>
        <w:t xml:space="preserve"> </w:t>
      </w:r>
      <w:r w:rsidR="00085F15" w:rsidRPr="00EE6C19">
        <w:rPr>
          <w:sz w:val="22"/>
          <w:szCs w:val="22"/>
          <w:lang w:val="en-NZ"/>
        </w:rPr>
        <w:t xml:space="preserve">legislation </w:t>
      </w:r>
      <w:r w:rsidR="00D925A0" w:rsidRPr="00EE6C19">
        <w:rPr>
          <w:sz w:val="22"/>
          <w:szCs w:val="22"/>
          <w:lang w:val="en-NZ"/>
        </w:rPr>
        <w:t>provides</w:t>
      </w:r>
      <w:r w:rsidRPr="00EE6C19">
        <w:rPr>
          <w:sz w:val="22"/>
          <w:szCs w:val="22"/>
          <w:lang w:val="en-NZ"/>
        </w:rPr>
        <w:t xml:space="preserve"> a suitable way </w:t>
      </w:r>
      <w:r w:rsidR="00287F3C" w:rsidRPr="00EE6C19">
        <w:rPr>
          <w:sz w:val="22"/>
          <w:szCs w:val="22"/>
          <w:lang w:val="en-NZ"/>
        </w:rPr>
        <w:t>of doing so</w:t>
      </w:r>
      <w:r w:rsidR="00D925A0" w:rsidRPr="00EE6C19">
        <w:rPr>
          <w:sz w:val="22"/>
          <w:szCs w:val="22"/>
          <w:lang w:val="en-NZ"/>
        </w:rPr>
        <w:t>, since it effectively depends on the prisoner</w:t>
      </w:r>
      <w:r w:rsidR="00A00101" w:rsidRPr="00EE6C19">
        <w:rPr>
          <w:sz w:val="22"/>
          <w:szCs w:val="22"/>
          <w:lang w:val="en-NZ"/>
        </w:rPr>
        <w:t>’s rights</w:t>
      </w:r>
      <w:r w:rsidR="00D925A0" w:rsidRPr="00EE6C19">
        <w:rPr>
          <w:sz w:val="22"/>
          <w:szCs w:val="22"/>
          <w:lang w:val="en-NZ"/>
        </w:rPr>
        <w:t xml:space="preserve"> being </w:t>
      </w:r>
      <w:r w:rsidR="00A00101" w:rsidRPr="00EE6C19">
        <w:rPr>
          <w:sz w:val="22"/>
          <w:szCs w:val="22"/>
          <w:lang w:val="en-NZ"/>
        </w:rPr>
        <w:t>breach</w:t>
      </w:r>
      <w:r w:rsidR="00D925A0" w:rsidRPr="00EE6C19">
        <w:rPr>
          <w:sz w:val="22"/>
          <w:szCs w:val="22"/>
          <w:lang w:val="en-NZ"/>
        </w:rPr>
        <w:t xml:space="preserve">ed, </w:t>
      </w:r>
      <w:r w:rsidR="00A31829">
        <w:rPr>
          <w:sz w:val="22"/>
          <w:szCs w:val="22"/>
          <w:lang w:val="en-NZ"/>
        </w:rPr>
        <w:t xml:space="preserve">and on the prisoner </w:t>
      </w:r>
      <w:r w:rsidR="00D925A0" w:rsidRPr="00EE6C19">
        <w:rPr>
          <w:sz w:val="22"/>
          <w:szCs w:val="22"/>
          <w:lang w:val="en-NZ"/>
        </w:rPr>
        <w:t xml:space="preserve">then making a claim for compensation knowing that they </w:t>
      </w:r>
      <w:r w:rsidR="00EE6C19" w:rsidRPr="00EE6C19">
        <w:rPr>
          <w:sz w:val="22"/>
          <w:szCs w:val="22"/>
          <w:lang w:val="en-NZ"/>
        </w:rPr>
        <w:t>are unlikely to</w:t>
      </w:r>
      <w:r w:rsidR="00D925A0" w:rsidRPr="00EE6C19">
        <w:rPr>
          <w:sz w:val="22"/>
          <w:szCs w:val="22"/>
          <w:lang w:val="en-NZ"/>
        </w:rPr>
        <w:t xml:space="preserve"> receive</w:t>
      </w:r>
      <w:r w:rsidR="00A31829">
        <w:rPr>
          <w:sz w:val="22"/>
          <w:szCs w:val="22"/>
          <w:lang w:val="en-NZ"/>
        </w:rPr>
        <w:t xml:space="preserve"> the benefit of</w:t>
      </w:r>
      <w:r w:rsidR="00D925A0" w:rsidRPr="00EE6C19">
        <w:rPr>
          <w:sz w:val="22"/>
          <w:szCs w:val="22"/>
          <w:lang w:val="en-NZ"/>
        </w:rPr>
        <w:t xml:space="preserve"> it.  </w:t>
      </w:r>
      <w:r w:rsidR="00EE6C19" w:rsidRPr="00EE6C19">
        <w:rPr>
          <w:sz w:val="22"/>
          <w:szCs w:val="22"/>
          <w:lang w:val="en-NZ"/>
        </w:rPr>
        <w:t xml:space="preserve">A ‘sunset clause’ </w:t>
      </w:r>
      <w:r w:rsidR="0014671A">
        <w:rPr>
          <w:sz w:val="22"/>
          <w:szCs w:val="22"/>
          <w:lang w:val="en-NZ"/>
        </w:rPr>
        <w:t>limiting the duration of</w:t>
      </w:r>
      <w:r w:rsidR="00EE6C19" w:rsidRPr="00EE6C19">
        <w:rPr>
          <w:sz w:val="22"/>
          <w:szCs w:val="22"/>
          <w:lang w:val="en-NZ"/>
        </w:rPr>
        <w:t xml:space="preserve"> the Act</w:t>
      </w:r>
      <w:r w:rsidR="007E0781">
        <w:rPr>
          <w:sz w:val="22"/>
          <w:szCs w:val="22"/>
          <w:lang w:val="en-NZ"/>
        </w:rPr>
        <w:t>’s provisions</w:t>
      </w:r>
      <w:r w:rsidR="00EE6C19" w:rsidRPr="00EE6C19">
        <w:rPr>
          <w:sz w:val="22"/>
          <w:szCs w:val="22"/>
          <w:lang w:val="en-NZ"/>
        </w:rPr>
        <w:t xml:space="preserve"> </w:t>
      </w:r>
      <w:r w:rsidR="0014671A">
        <w:rPr>
          <w:sz w:val="22"/>
          <w:szCs w:val="22"/>
          <w:lang w:val="en-NZ"/>
        </w:rPr>
        <w:t xml:space="preserve">has been extended to delay </w:t>
      </w:r>
      <w:r w:rsidR="007E0781">
        <w:rPr>
          <w:sz w:val="22"/>
          <w:szCs w:val="22"/>
          <w:lang w:val="en-NZ"/>
        </w:rPr>
        <w:t xml:space="preserve">their </w:t>
      </w:r>
      <w:r w:rsidR="0014671A">
        <w:rPr>
          <w:sz w:val="22"/>
          <w:szCs w:val="22"/>
          <w:lang w:val="en-NZ"/>
        </w:rPr>
        <w:t>expiration until</w:t>
      </w:r>
      <w:r w:rsidR="00EE6C19" w:rsidRPr="00EE6C19">
        <w:rPr>
          <w:sz w:val="22"/>
          <w:szCs w:val="22"/>
          <w:lang w:val="en-NZ"/>
        </w:rPr>
        <w:t xml:space="preserve"> 2010.  </w:t>
      </w:r>
    </w:p>
    <w:p w:rsidR="00AE7597" w:rsidRDefault="00AE7597" w:rsidP="00AE7597">
      <w:pPr>
        <w:pStyle w:val="Heading2"/>
      </w:pPr>
      <w:bookmarkStart w:id="43" w:name="_Toc225333160"/>
      <w:r>
        <w:t>Services for victims</w:t>
      </w:r>
      <w:bookmarkEnd w:id="43"/>
    </w:p>
    <w:p w:rsidR="00507834" w:rsidRPr="00507834" w:rsidRDefault="00152012" w:rsidP="00D54A7C">
      <w:pPr>
        <w:numPr>
          <w:ilvl w:val="1"/>
          <w:numId w:val="3"/>
        </w:numPr>
        <w:tabs>
          <w:tab w:val="clear" w:pos="1080"/>
          <w:tab w:val="num" w:pos="540"/>
        </w:tabs>
        <w:ind w:left="540" w:hanging="540"/>
        <w:jc w:val="both"/>
        <w:rPr>
          <w:sz w:val="22"/>
          <w:szCs w:val="22"/>
          <w:lang w:val="en-GB" w:eastAsia="en-GB"/>
        </w:rPr>
      </w:pPr>
      <w:r w:rsidRPr="00507834">
        <w:rPr>
          <w:sz w:val="22"/>
          <w:szCs w:val="22"/>
          <w:lang w:val="en-NZ"/>
        </w:rPr>
        <w:t xml:space="preserve">The Commission welcomes a number of other initiatives to address victims’ rights, including the development of a Victims’ Charter; </w:t>
      </w:r>
      <w:r w:rsidRPr="00507834">
        <w:rPr>
          <w:sz w:val="22"/>
          <w:szCs w:val="22"/>
          <w:lang w:val="en-GB" w:eastAsia="en-GB"/>
        </w:rPr>
        <w:t xml:space="preserve">increased funding for Victim Support groups; and reviews that are underway in relation to </w:t>
      </w:r>
      <w:r w:rsidR="00F3620D" w:rsidRPr="00507834">
        <w:rPr>
          <w:sz w:val="22"/>
          <w:szCs w:val="22"/>
          <w:lang w:val="en-NZ"/>
        </w:rPr>
        <w:t xml:space="preserve">services </w:t>
      </w:r>
      <w:r w:rsidRPr="00507834">
        <w:rPr>
          <w:sz w:val="22"/>
          <w:szCs w:val="22"/>
          <w:lang w:val="en-NZ"/>
        </w:rPr>
        <w:t xml:space="preserve">and compensation </w:t>
      </w:r>
      <w:r w:rsidR="00F3620D" w:rsidRPr="00507834">
        <w:rPr>
          <w:sz w:val="22"/>
          <w:szCs w:val="22"/>
          <w:lang w:val="en-NZ"/>
        </w:rPr>
        <w:t>for victims of crime.</w:t>
      </w:r>
      <w:r w:rsidR="00507834" w:rsidRPr="00507834">
        <w:rPr>
          <w:sz w:val="22"/>
          <w:szCs w:val="22"/>
          <w:lang w:val="en-GB" w:eastAsia="en-GB"/>
        </w:rPr>
        <w:t xml:space="preserve"> </w:t>
      </w:r>
    </w:p>
    <w:p w:rsidR="00507834" w:rsidRDefault="00507834" w:rsidP="00507834">
      <w:pPr>
        <w:tabs>
          <w:tab w:val="num" w:pos="540"/>
        </w:tabs>
        <w:jc w:val="both"/>
        <w:rPr>
          <w:b/>
          <w:sz w:val="22"/>
          <w:szCs w:val="22"/>
          <w:lang w:val="en-GB" w:eastAsia="en-GB"/>
        </w:rPr>
      </w:pPr>
    </w:p>
    <w:p w:rsidR="00115773" w:rsidRPr="00507834" w:rsidRDefault="00507834" w:rsidP="00D54A7C">
      <w:pPr>
        <w:numPr>
          <w:ilvl w:val="1"/>
          <w:numId w:val="3"/>
        </w:numPr>
        <w:tabs>
          <w:tab w:val="clear" w:pos="1080"/>
          <w:tab w:val="num" w:pos="540"/>
        </w:tabs>
        <w:ind w:left="540" w:hanging="540"/>
        <w:jc w:val="both"/>
        <w:rPr>
          <w:b/>
          <w:sz w:val="22"/>
          <w:szCs w:val="22"/>
          <w:lang w:val="en-GB" w:eastAsia="en-GB"/>
        </w:rPr>
      </w:pPr>
      <w:r w:rsidRPr="00530537">
        <w:rPr>
          <w:b/>
          <w:sz w:val="22"/>
          <w:szCs w:val="22"/>
          <w:lang w:val="en-GB" w:eastAsia="en-GB"/>
        </w:rPr>
        <w:t xml:space="preserve">While efforts have been made to improve recognition of victims’ rights, the Commission believes that </w:t>
      </w:r>
      <w:r>
        <w:rPr>
          <w:b/>
          <w:sz w:val="22"/>
          <w:szCs w:val="22"/>
          <w:lang w:val="en-GB" w:eastAsia="en-GB"/>
        </w:rPr>
        <w:t>these</w:t>
      </w:r>
      <w:r w:rsidRPr="00530537">
        <w:rPr>
          <w:b/>
          <w:sz w:val="22"/>
          <w:szCs w:val="22"/>
          <w:lang w:val="en-GB" w:eastAsia="en-GB"/>
        </w:rPr>
        <w:t xml:space="preserve"> rights should be further strengthened, particularly in relation to participation in the criminal justice system and access to compensation.</w:t>
      </w:r>
    </w:p>
    <w:p w:rsidR="00AE7597" w:rsidRPr="00420104" w:rsidRDefault="00AE7597" w:rsidP="00AE7597">
      <w:pPr>
        <w:pStyle w:val="Heading2"/>
      </w:pPr>
      <w:bookmarkStart w:id="44" w:name="_Toc225333161"/>
      <w:r>
        <w:lastRenderedPageBreak/>
        <w:t>Access to redress</w:t>
      </w:r>
      <w:bookmarkEnd w:id="44"/>
    </w:p>
    <w:p w:rsidR="00E91219" w:rsidRPr="00507834" w:rsidRDefault="00152012" w:rsidP="00D54A7C">
      <w:pPr>
        <w:numPr>
          <w:ilvl w:val="1"/>
          <w:numId w:val="3"/>
        </w:numPr>
        <w:tabs>
          <w:tab w:val="clear" w:pos="1080"/>
          <w:tab w:val="num" w:pos="540"/>
        </w:tabs>
        <w:ind w:left="540" w:hanging="540"/>
        <w:jc w:val="both"/>
        <w:rPr>
          <w:sz w:val="22"/>
          <w:szCs w:val="22"/>
          <w:lang w:val="en-GB" w:eastAsia="en-GB"/>
        </w:rPr>
      </w:pPr>
      <w:r w:rsidRPr="00420104">
        <w:rPr>
          <w:sz w:val="22"/>
          <w:szCs w:val="22"/>
          <w:lang w:val="en-NZ"/>
        </w:rPr>
        <w:t>A</w:t>
      </w:r>
      <w:r w:rsidR="00171167" w:rsidRPr="00420104">
        <w:rPr>
          <w:sz w:val="22"/>
          <w:szCs w:val="22"/>
          <w:lang w:val="en-NZ"/>
        </w:rPr>
        <w:t xml:space="preserve">n </w:t>
      </w:r>
      <w:r w:rsidRPr="00420104">
        <w:rPr>
          <w:sz w:val="22"/>
          <w:szCs w:val="22"/>
          <w:lang w:val="en-NZ"/>
        </w:rPr>
        <w:t xml:space="preserve">issue that has </w:t>
      </w:r>
      <w:r w:rsidR="00420104">
        <w:rPr>
          <w:sz w:val="22"/>
          <w:szCs w:val="22"/>
          <w:lang w:val="en-NZ"/>
        </w:rPr>
        <w:t>come</w:t>
      </w:r>
      <w:r w:rsidRPr="00420104">
        <w:rPr>
          <w:sz w:val="22"/>
          <w:szCs w:val="22"/>
          <w:lang w:val="en-NZ"/>
        </w:rPr>
        <w:t xml:space="preserve"> to the Commission’s notice concerns cla</w:t>
      </w:r>
      <w:r w:rsidR="00D253B6" w:rsidRPr="00420104">
        <w:rPr>
          <w:sz w:val="22"/>
          <w:szCs w:val="22"/>
          <w:lang w:val="en-NZ"/>
        </w:rPr>
        <w:t xml:space="preserve">ims being brought </w:t>
      </w:r>
      <w:r w:rsidR="006F5EC2" w:rsidRPr="00420104">
        <w:rPr>
          <w:sz w:val="22"/>
          <w:szCs w:val="22"/>
          <w:lang w:val="en-NZ"/>
        </w:rPr>
        <w:t xml:space="preserve">by upwards of 500 claimants </w:t>
      </w:r>
      <w:r w:rsidR="00171167" w:rsidRPr="00420104">
        <w:rPr>
          <w:sz w:val="22"/>
          <w:szCs w:val="22"/>
          <w:lang w:val="en-NZ"/>
        </w:rPr>
        <w:t>in respect of</w:t>
      </w:r>
      <w:r w:rsidR="00D253B6" w:rsidRPr="00420104">
        <w:rPr>
          <w:sz w:val="22"/>
          <w:szCs w:val="22"/>
          <w:lang w:val="en-NZ"/>
        </w:rPr>
        <w:t xml:space="preserve"> alleged abuse in </w:t>
      </w:r>
      <w:r w:rsidRPr="00420104">
        <w:rPr>
          <w:sz w:val="22"/>
          <w:szCs w:val="22"/>
          <w:lang w:val="en-NZ"/>
        </w:rPr>
        <w:t>Social Welfare homes and other State institutions</w:t>
      </w:r>
      <w:r w:rsidR="00D253B6" w:rsidRPr="00420104">
        <w:rPr>
          <w:sz w:val="22"/>
          <w:szCs w:val="22"/>
          <w:lang w:val="en-NZ"/>
        </w:rPr>
        <w:t xml:space="preserve"> during the 1970s</w:t>
      </w:r>
      <w:r w:rsidR="006F5EC2" w:rsidRPr="00420104">
        <w:rPr>
          <w:sz w:val="22"/>
          <w:szCs w:val="22"/>
          <w:lang w:val="en-NZ"/>
        </w:rPr>
        <w:t>,</w:t>
      </w:r>
      <w:r w:rsidR="00D253B6" w:rsidRPr="00420104">
        <w:rPr>
          <w:sz w:val="22"/>
          <w:szCs w:val="22"/>
          <w:lang w:val="en-NZ"/>
        </w:rPr>
        <w:t xml:space="preserve"> 1980s</w:t>
      </w:r>
      <w:r w:rsidR="006F5EC2" w:rsidRPr="00420104">
        <w:rPr>
          <w:sz w:val="22"/>
          <w:szCs w:val="22"/>
          <w:lang w:val="en-NZ"/>
        </w:rPr>
        <w:t xml:space="preserve"> </w:t>
      </w:r>
      <w:r w:rsidR="00D253B6" w:rsidRPr="00420104">
        <w:rPr>
          <w:sz w:val="22"/>
          <w:szCs w:val="22"/>
          <w:lang w:val="en-NZ"/>
        </w:rPr>
        <w:t>and earlier</w:t>
      </w:r>
      <w:r w:rsidRPr="00420104">
        <w:rPr>
          <w:sz w:val="22"/>
          <w:szCs w:val="22"/>
          <w:lang w:val="en-NZ"/>
        </w:rPr>
        <w:t>.</w:t>
      </w:r>
      <w:r w:rsidR="00D253B6" w:rsidRPr="00420104">
        <w:rPr>
          <w:sz w:val="22"/>
          <w:szCs w:val="22"/>
          <w:lang w:val="en-NZ"/>
        </w:rPr>
        <w:t xml:space="preserve">  </w:t>
      </w:r>
      <w:r w:rsidR="006F5EC2" w:rsidRPr="00420104">
        <w:rPr>
          <w:sz w:val="22"/>
          <w:szCs w:val="22"/>
          <w:lang w:val="en-NZ"/>
        </w:rPr>
        <w:t>C</w:t>
      </w:r>
      <w:r w:rsidR="00D253B6" w:rsidRPr="00420104">
        <w:rPr>
          <w:sz w:val="22"/>
          <w:szCs w:val="22"/>
          <w:lang w:val="en-NZ"/>
        </w:rPr>
        <w:t xml:space="preserve">laimants </w:t>
      </w:r>
      <w:r w:rsidR="006F5EC2" w:rsidRPr="00420104">
        <w:rPr>
          <w:sz w:val="22"/>
          <w:szCs w:val="22"/>
          <w:lang w:val="en-NZ"/>
        </w:rPr>
        <w:t>report that their attempts to seek</w:t>
      </w:r>
      <w:r w:rsidR="00D253B6" w:rsidRPr="00420104">
        <w:rPr>
          <w:sz w:val="22"/>
          <w:szCs w:val="22"/>
          <w:lang w:val="en-NZ"/>
        </w:rPr>
        <w:t xml:space="preserve"> redress </w:t>
      </w:r>
      <w:r w:rsidR="008D5E2D">
        <w:rPr>
          <w:sz w:val="22"/>
          <w:szCs w:val="22"/>
          <w:lang w:val="en-NZ"/>
        </w:rPr>
        <w:t>have been</w:t>
      </w:r>
      <w:r w:rsidR="006F5EC2" w:rsidRPr="00420104">
        <w:rPr>
          <w:sz w:val="22"/>
          <w:szCs w:val="22"/>
          <w:lang w:val="en-NZ"/>
        </w:rPr>
        <w:t xml:space="preserve"> </w:t>
      </w:r>
      <w:r w:rsidR="00E32C2D" w:rsidRPr="00420104">
        <w:rPr>
          <w:sz w:val="22"/>
          <w:szCs w:val="22"/>
          <w:lang w:val="en-NZ"/>
        </w:rPr>
        <w:t xml:space="preserve">hindered </w:t>
      </w:r>
      <w:r w:rsidR="006F5EC2" w:rsidRPr="00420104">
        <w:rPr>
          <w:sz w:val="22"/>
          <w:szCs w:val="22"/>
          <w:lang w:val="en-NZ"/>
        </w:rPr>
        <w:t xml:space="preserve">by the </w:t>
      </w:r>
      <w:r w:rsidR="00E32C2D" w:rsidRPr="00420104">
        <w:rPr>
          <w:sz w:val="22"/>
          <w:szCs w:val="22"/>
          <w:lang w:val="en-NZ"/>
        </w:rPr>
        <w:t>government</w:t>
      </w:r>
      <w:r w:rsidR="004D6111" w:rsidRPr="00420104">
        <w:rPr>
          <w:sz w:val="22"/>
          <w:szCs w:val="22"/>
          <w:lang w:val="en-NZ"/>
        </w:rPr>
        <w:t>, which is contesting the claims</w:t>
      </w:r>
      <w:r w:rsidR="006F5EC2" w:rsidRPr="00420104">
        <w:rPr>
          <w:sz w:val="22"/>
          <w:szCs w:val="22"/>
          <w:lang w:val="en-NZ"/>
        </w:rPr>
        <w:t xml:space="preserve">.  Having tried and been unable to </w:t>
      </w:r>
      <w:r w:rsidR="004D6111" w:rsidRPr="00420104">
        <w:rPr>
          <w:sz w:val="22"/>
          <w:szCs w:val="22"/>
          <w:lang w:val="en-NZ"/>
        </w:rPr>
        <w:t>resolve the claims through an out-of-court process</w:t>
      </w:r>
      <w:r w:rsidR="006F5EC2" w:rsidRPr="00420104">
        <w:rPr>
          <w:sz w:val="22"/>
          <w:szCs w:val="22"/>
          <w:lang w:val="en-NZ"/>
        </w:rPr>
        <w:t>, the</w:t>
      </w:r>
      <w:r w:rsidR="00E32C2D" w:rsidRPr="00420104">
        <w:rPr>
          <w:sz w:val="22"/>
          <w:szCs w:val="22"/>
          <w:lang w:val="en-NZ"/>
        </w:rPr>
        <w:t xml:space="preserve"> claimants face further difficulties arising from the withdrawal of legal aid funding for historic abuse cases </w:t>
      </w:r>
      <w:r w:rsidR="00171167" w:rsidRPr="00420104">
        <w:rPr>
          <w:sz w:val="22"/>
          <w:szCs w:val="22"/>
          <w:lang w:val="en-NZ"/>
        </w:rPr>
        <w:t xml:space="preserve">by the Legal Services Agency. </w:t>
      </w:r>
    </w:p>
    <w:p w:rsidR="00507834" w:rsidRPr="00507834" w:rsidRDefault="00507834" w:rsidP="00507834">
      <w:pPr>
        <w:tabs>
          <w:tab w:val="num" w:pos="540"/>
        </w:tabs>
        <w:jc w:val="both"/>
        <w:rPr>
          <w:sz w:val="22"/>
          <w:szCs w:val="22"/>
          <w:lang w:val="en-GB" w:eastAsia="en-GB"/>
        </w:rPr>
      </w:pPr>
    </w:p>
    <w:p w:rsidR="00507834" w:rsidRPr="009E6B4C" w:rsidRDefault="00507834" w:rsidP="00D54A7C">
      <w:pPr>
        <w:numPr>
          <w:ilvl w:val="1"/>
          <w:numId w:val="3"/>
        </w:numPr>
        <w:tabs>
          <w:tab w:val="clear" w:pos="1080"/>
          <w:tab w:val="num" w:pos="540"/>
        </w:tabs>
        <w:ind w:left="540" w:hanging="540"/>
        <w:jc w:val="both"/>
        <w:rPr>
          <w:b/>
          <w:sz w:val="22"/>
          <w:szCs w:val="22"/>
          <w:lang w:val="en-GB" w:eastAsia="en-GB"/>
        </w:rPr>
      </w:pPr>
      <w:r w:rsidRPr="009E6B4C">
        <w:rPr>
          <w:b/>
          <w:sz w:val="22"/>
          <w:szCs w:val="22"/>
          <w:lang w:val="en-GB" w:eastAsia="en-GB"/>
        </w:rPr>
        <w:t xml:space="preserve">A suitable process </w:t>
      </w:r>
      <w:r w:rsidR="001A6048" w:rsidRPr="009E6B4C">
        <w:rPr>
          <w:b/>
          <w:sz w:val="22"/>
          <w:szCs w:val="22"/>
          <w:lang w:val="en-GB" w:eastAsia="en-GB"/>
        </w:rPr>
        <w:t>is needed</w:t>
      </w:r>
      <w:r w:rsidRPr="009E6B4C">
        <w:rPr>
          <w:b/>
          <w:sz w:val="22"/>
          <w:szCs w:val="22"/>
          <w:lang w:val="en-GB" w:eastAsia="en-GB"/>
        </w:rPr>
        <w:t xml:space="preserve"> for the resolution of claims relating to historical allegations of abuse in State care.</w:t>
      </w:r>
    </w:p>
    <w:p w:rsidR="00C15E7B" w:rsidRPr="00C15E7B" w:rsidRDefault="00C15E7B" w:rsidP="00C15E7B">
      <w:pPr>
        <w:tabs>
          <w:tab w:val="num" w:pos="540"/>
        </w:tabs>
        <w:jc w:val="both"/>
        <w:rPr>
          <w:sz w:val="22"/>
          <w:szCs w:val="22"/>
          <w:lang w:val="en-GB" w:eastAsia="en-GB"/>
        </w:rPr>
      </w:pPr>
    </w:p>
    <w:p w:rsidR="0049669E" w:rsidRDefault="0049669E" w:rsidP="00420104">
      <w:pPr>
        <w:jc w:val="both"/>
        <w:rPr>
          <w:sz w:val="22"/>
          <w:szCs w:val="22"/>
          <w:lang w:val="en-NZ"/>
        </w:rPr>
      </w:pPr>
    </w:p>
    <w:p w:rsidR="0068257D" w:rsidRDefault="0068257D" w:rsidP="00F615B6">
      <w:pPr>
        <w:rPr>
          <w:lang w:val="en-NZ"/>
        </w:rPr>
      </w:pPr>
    </w:p>
    <w:sectPr w:rsidR="0068257D" w:rsidSect="000A2055">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7E" w:rsidRDefault="00EA377E" w:rsidP="00F615B6">
      <w:r>
        <w:separator/>
      </w:r>
    </w:p>
  </w:endnote>
  <w:endnote w:type="continuationSeparator" w:id="0">
    <w:p w:rsidR="00EA377E" w:rsidRDefault="00EA377E" w:rsidP="00F61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It">
    <w:altName w:val="Myriad Pro"/>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7C" w:rsidRDefault="00D54A7C" w:rsidP="00181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A7C" w:rsidRDefault="00D54A7C" w:rsidP="00146917">
    <w:pPr>
      <w:pStyle w:val="Footer"/>
      <w:ind w:right="360"/>
      <w:rPr>
        <w:rStyle w:val="PageNumber"/>
      </w:rPr>
    </w:pPr>
  </w:p>
  <w:p w:rsidR="00D54A7C" w:rsidRDefault="00D54A7C" w:rsidP="00F61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7C" w:rsidRDefault="00D54A7C" w:rsidP="00181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F12">
      <w:rPr>
        <w:rStyle w:val="PageNumber"/>
        <w:noProof/>
      </w:rPr>
      <w:t>4</w:t>
    </w:r>
    <w:r>
      <w:rPr>
        <w:rStyle w:val="PageNumber"/>
      </w:rPr>
      <w:fldChar w:fldCharType="end"/>
    </w:r>
  </w:p>
  <w:p w:rsidR="00D54A7C" w:rsidRDefault="00D54A7C" w:rsidP="00146917">
    <w:pPr>
      <w:pStyle w:val="Footer"/>
      <w:ind w:right="360"/>
      <w:rPr>
        <w:rStyle w:val="PageNumber"/>
      </w:rPr>
    </w:pPr>
  </w:p>
  <w:p w:rsidR="00D54A7C" w:rsidRDefault="00D54A7C" w:rsidP="00F61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7E" w:rsidRDefault="00EA377E" w:rsidP="00F615B6">
      <w:r>
        <w:separator/>
      </w:r>
    </w:p>
  </w:footnote>
  <w:footnote w:type="continuationSeparator" w:id="0">
    <w:p w:rsidR="00EA377E" w:rsidRDefault="00EA377E" w:rsidP="00F615B6">
      <w:r>
        <w:continuationSeparator/>
      </w:r>
    </w:p>
  </w:footnote>
  <w:footnote w:id="1">
    <w:p w:rsidR="00D54A7C" w:rsidRPr="00C64298" w:rsidRDefault="00D54A7C" w:rsidP="00F615B6">
      <w:pPr>
        <w:pStyle w:val="FootnoteText"/>
      </w:pPr>
      <w:r w:rsidRPr="0029375B">
        <w:rPr>
          <w:rStyle w:val="FootnoteReference"/>
        </w:rPr>
        <w:footnoteRef/>
      </w:r>
      <w:r w:rsidRPr="0029375B">
        <w:t xml:space="preserve">  Human Rights Commission</w:t>
      </w:r>
      <w:r>
        <w:t xml:space="preserve">.  (September 2004).  </w:t>
      </w:r>
      <w:r w:rsidRPr="00C64298">
        <w:rPr>
          <w:i/>
          <w:lang w:val="en-NZ"/>
        </w:rPr>
        <w:t>Human Rights in New Zealand Today: Nga Tika Tangata O Te Motu</w:t>
      </w:r>
      <w:r>
        <w:rPr>
          <w:lang w:val="en-NZ"/>
        </w:rPr>
        <w:t>.</w:t>
      </w:r>
      <w:r w:rsidRPr="0029375B">
        <w:rPr>
          <w:lang w:val="en-NZ"/>
        </w:rPr>
        <w:t xml:space="preserve">  Wellington</w:t>
      </w:r>
      <w:r>
        <w:rPr>
          <w:lang w:val="en-NZ"/>
        </w:rPr>
        <w:t xml:space="preserve">: </w:t>
      </w:r>
      <w:r w:rsidRPr="00C64298">
        <w:rPr>
          <w:lang w:val="en-NZ"/>
        </w:rPr>
        <w:t>Human Rights Commission</w:t>
      </w:r>
      <w:r>
        <w:rPr>
          <w:lang w:val="en-NZ"/>
        </w:rPr>
        <w:t xml:space="preserve">.  Available at: </w:t>
      </w:r>
      <w:r w:rsidRPr="0029375B">
        <w:rPr>
          <w:lang w:val="en-NZ"/>
        </w:rPr>
        <w:t xml:space="preserve">  </w:t>
      </w:r>
      <w:hyperlink r:id="rId1" w:history="1">
        <w:r w:rsidRPr="00C64298">
          <w:rPr>
            <w:rStyle w:val="Hyperlink"/>
            <w:lang w:val="en-NZ"/>
          </w:rPr>
          <w:t>http://www.hrc.co.nz/report/</w:t>
        </w:r>
      </w:hyperlink>
    </w:p>
  </w:footnote>
  <w:footnote w:id="2">
    <w:p w:rsidR="00D54A7C" w:rsidRPr="0029375B" w:rsidRDefault="00D54A7C" w:rsidP="00F615B6">
      <w:pPr>
        <w:pStyle w:val="FootnoteText"/>
        <w:rPr>
          <w:lang w:val="en-NZ"/>
        </w:rPr>
      </w:pPr>
      <w:r w:rsidRPr="0029375B">
        <w:rPr>
          <w:rStyle w:val="FootnoteReference"/>
        </w:rPr>
        <w:footnoteRef/>
      </w:r>
      <w:r w:rsidRPr="0029375B">
        <w:t xml:space="preserve"> </w:t>
      </w:r>
      <w:r w:rsidRPr="0029375B">
        <w:rPr>
          <w:lang w:val="en-NZ"/>
        </w:rPr>
        <w:t>Human Rights Commission</w:t>
      </w:r>
      <w:r>
        <w:rPr>
          <w:lang w:val="en-NZ"/>
        </w:rPr>
        <w:t xml:space="preserve">.  (March 2005).  </w:t>
      </w:r>
      <w:r w:rsidRPr="0029375B">
        <w:rPr>
          <w:i/>
          <w:lang w:val="en-NZ"/>
        </w:rPr>
        <w:t>The New Zealand Action Plan for Human Rights: Mana ki te Tangata</w:t>
      </w:r>
      <w:r>
        <w:rPr>
          <w:lang w:val="en-NZ"/>
        </w:rPr>
        <w:t xml:space="preserve">.  </w:t>
      </w:r>
      <w:r w:rsidRPr="0029375B">
        <w:rPr>
          <w:lang w:val="en-NZ"/>
        </w:rPr>
        <w:t>Wellington</w:t>
      </w:r>
      <w:r>
        <w:rPr>
          <w:lang w:val="en-NZ"/>
        </w:rPr>
        <w:t xml:space="preserve">: </w:t>
      </w:r>
      <w:r w:rsidRPr="00C64298">
        <w:rPr>
          <w:lang w:val="en-NZ"/>
        </w:rPr>
        <w:t>Human Rights Commission</w:t>
      </w:r>
      <w:r>
        <w:rPr>
          <w:lang w:val="en-NZ"/>
        </w:rPr>
        <w:t xml:space="preserve">.  Available at:  </w:t>
      </w:r>
      <w:hyperlink r:id="rId2" w:history="1">
        <w:r w:rsidRPr="00C64298">
          <w:rPr>
            <w:rStyle w:val="Hyperlink"/>
            <w:lang w:val="en-NZ"/>
          </w:rPr>
          <w:t>http://www.hrc.co.nz/report/actionplan/0foreword.html</w:t>
        </w:r>
      </w:hyperlink>
    </w:p>
  </w:footnote>
  <w:footnote w:id="3">
    <w:p w:rsidR="00D54A7C" w:rsidRPr="00FE72D2" w:rsidRDefault="00D54A7C">
      <w:pPr>
        <w:pStyle w:val="FootnoteText"/>
        <w:rPr>
          <w:lang w:val="en-US"/>
        </w:rPr>
      </w:pPr>
      <w:r>
        <w:rPr>
          <w:rStyle w:val="FootnoteReference"/>
        </w:rPr>
        <w:footnoteRef/>
      </w:r>
      <w:r>
        <w:t xml:space="preserve"> </w:t>
      </w:r>
      <w:smartTag w:uri="urn:schemas-microsoft-com:office:smarttags" w:element="country-region">
        <w:smartTag w:uri="urn:schemas-microsoft-com:office:smarttags" w:element="place">
          <w:r>
            <w:rPr>
              <w:lang w:val="en-US"/>
            </w:rPr>
            <w:t>New Zealand</w:t>
          </w:r>
        </w:smartTag>
      </w:smartTag>
      <w:r>
        <w:rPr>
          <w:lang w:val="en-US"/>
        </w:rPr>
        <w:t xml:space="preserve"> Police. (February 2008). </w:t>
      </w:r>
      <w:r w:rsidRPr="00FE72D2">
        <w:rPr>
          <w:i/>
          <w:lang w:val="en-US"/>
        </w:rPr>
        <w:t xml:space="preserve">Operational Evaluation of the </w:t>
      </w:r>
      <w:smartTag w:uri="urn:schemas-microsoft-com:office:smarttags" w:element="country-region">
        <w:smartTag w:uri="urn:schemas-microsoft-com:office:smarttags" w:element="place">
          <w:r w:rsidRPr="00FE72D2">
            <w:rPr>
              <w:i/>
              <w:lang w:val="en-US"/>
            </w:rPr>
            <w:t>New Zealand</w:t>
          </w:r>
        </w:smartTag>
      </w:smartTag>
      <w:r w:rsidRPr="00FE72D2">
        <w:rPr>
          <w:i/>
          <w:lang w:val="en-US"/>
        </w:rPr>
        <w:t xml:space="preserve"> Taser Trial</w:t>
      </w:r>
      <w:r>
        <w:rPr>
          <w:lang w:val="en-US"/>
        </w:rPr>
        <w:t>. Wellington: New Zealand Police.</w:t>
      </w:r>
    </w:p>
  </w:footnote>
  <w:footnote w:id="4">
    <w:p w:rsidR="00FF45AA" w:rsidRDefault="00D54A7C">
      <w:pPr>
        <w:pStyle w:val="FootnoteText"/>
        <w:rPr>
          <w:lang w:val="en-US"/>
        </w:rPr>
      </w:pPr>
      <w:r>
        <w:rPr>
          <w:rStyle w:val="FootnoteReference"/>
        </w:rPr>
        <w:footnoteRef/>
      </w:r>
      <w:r>
        <w:t xml:space="preserve"> </w:t>
      </w:r>
      <w:r>
        <w:rPr>
          <w:lang w:val="en-US"/>
        </w:rPr>
        <w:t xml:space="preserve">For example: Auckland District Law Society Public Issues Committee.  (14 December 2007).  </w:t>
      </w:r>
      <w:r>
        <w:rPr>
          <w:i/>
          <w:lang w:val="en-US"/>
        </w:rPr>
        <w:t xml:space="preserve">Think Twice about Tasers.  </w:t>
      </w:r>
    </w:p>
    <w:p w:rsidR="00D54A7C" w:rsidRPr="00244D30" w:rsidRDefault="00D54A7C">
      <w:pPr>
        <w:pStyle w:val="FootnoteText"/>
        <w:rPr>
          <w:lang w:val="en-US"/>
        </w:rPr>
      </w:pPr>
      <w:r>
        <w:rPr>
          <w:lang w:val="en-US"/>
        </w:rPr>
        <w:t xml:space="preserve">Campaign Against the Taser.  (December 2007).  </w:t>
      </w:r>
      <w:r>
        <w:rPr>
          <w:i/>
          <w:lang w:val="en-US"/>
        </w:rPr>
        <w:t xml:space="preserve">Stun guns in Aotearoa New Zealand? </w:t>
      </w:r>
      <w:hyperlink r:id="rId3" w:history="1">
        <w:r w:rsidRPr="00244D30">
          <w:rPr>
            <w:rStyle w:val="Hyperlink"/>
            <w:lang w:val="en-US"/>
          </w:rPr>
          <w:t>http://www.converge.org.nz/pma/tasertr</w:t>
        </w:r>
        <w:r w:rsidRPr="00244D30">
          <w:rPr>
            <w:rStyle w:val="Hyperlink"/>
            <w:lang w:val="en-US"/>
          </w:rPr>
          <w:t>i</w:t>
        </w:r>
        <w:r w:rsidRPr="00244D30">
          <w:rPr>
            <w:rStyle w:val="Hyperlink"/>
            <w:lang w:val="en-US"/>
          </w:rPr>
          <w:t>al.pdf</w:t>
        </w:r>
      </w:hyperlink>
      <w:r w:rsidR="00407D1B">
        <w:rPr>
          <w:lang w:val="en-US"/>
        </w:rPr>
        <w:t xml:space="preserve"> </w:t>
      </w:r>
      <w:r w:rsidR="00407D1B">
        <w:t>(accessed on 20 March 2009).</w:t>
      </w:r>
    </w:p>
  </w:footnote>
  <w:footnote w:id="5">
    <w:p w:rsidR="00D54A7C" w:rsidRPr="0029375B" w:rsidRDefault="00D54A7C" w:rsidP="00F615B6">
      <w:pPr>
        <w:pStyle w:val="FootnoteText"/>
      </w:pPr>
      <w:r w:rsidRPr="0029375B">
        <w:rPr>
          <w:rStyle w:val="FootnoteReference"/>
        </w:rPr>
        <w:footnoteRef/>
      </w:r>
      <w:r w:rsidRPr="0029375B">
        <w:t xml:space="preserve"> </w:t>
      </w:r>
      <w:r w:rsidR="00FF45AA">
        <w:t>Supra note 3</w:t>
      </w:r>
      <w:r>
        <w:t>, at pp 14, 63, 65-70.</w:t>
      </w:r>
    </w:p>
  </w:footnote>
  <w:footnote w:id="6">
    <w:p w:rsidR="00D54A7C" w:rsidRPr="0029375B" w:rsidRDefault="00D54A7C" w:rsidP="00F615B6">
      <w:pPr>
        <w:pStyle w:val="FootnoteText"/>
      </w:pPr>
      <w:r w:rsidRPr="0029375B">
        <w:rPr>
          <w:rStyle w:val="FootnoteReference"/>
        </w:rPr>
        <w:footnoteRef/>
      </w:r>
      <w:r w:rsidRPr="0029375B">
        <w:t xml:space="preserve"> </w:t>
      </w:r>
      <w:r>
        <w:t>Ibid. at pp14, 65</w:t>
      </w:r>
    </w:p>
  </w:footnote>
  <w:footnote w:id="7">
    <w:p w:rsidR="00D54A7C" w:rsidRPr="0029375B" w:rsidRDefault="00D54A7C" w:rsidP="00F615B6">
      <w:pPr>
        <w:pStyle w:val="FootnoteText"/>
      </w:pPr>
      <w:r w:rsidRPr="0029375B">
        <w:rPr>
          <w:rStyle w:val="FootnoteReference"/>
        </w:rPr>
        <w:footnoteRef/>
      </w:r>
      <w:r w:rsidRPr="0029375B">
        <w:t xml:space="preserve"> </w:t>
      </w:r>
      <w:r w:rsidRPr="0029375B">
        <w:rPr>
          <w:lang w:val="en-GB" w:eastAsia="en-GB"/>
        </w:rPr>
        <w:t>Campaign Against the Taser</w:t>
      </w:r>
      <w:r w:rsidR="00FF45AA">
        <w:rPr>
          <w:lang w:val="en-GB" w:eastAsia="en-GB"/>
        </w:rPr>
        <w:t>, supra note 4</w:t>
      </w:r>
      <w:r>
        <w:rPr>
          <w:lang w:val="en-GB" w:eastAsia="en-GB"/>
        </w:rPr>
        <w:t>, at pp 7-11.</w:t>
      </w:r>
    </w:p>
  </w:footnote>
  <w:footnote w:id="8">
    <w:p w:rsidR="00D54A7C" w:rsidRPr="0029375B" w:rsidRDefault="00D54A7C" w:rsidP="0095027F">
      <w:pPr>
        <w:pStyle w:val="FootnoteText"/>
        <w:rPr>
          <w:lang w:val="en-US"/>
        </w:rPr>
      </w:pPr>
      <w:r w:rsidRPr="0029375B">
        <w:rPr>
          <w:rStyle w:val="FootnoteReference"/>
        </w:rPr>
        <w:footnoteRef/>
      </w:r>
      <w:r w:rsidRPr="0029375B">
        <w:t xml:space="preserve"> </w:t>
      </w:r>
      <w:r w:rsidR="00FF45AA">
        <w:t>Supra note 3</w:t>
      </w:r>
      <w:r>
        <w:t>, at pp 16, 94-95.</w:t>
      </w:r>
    </w:p>
  </w:footnote>
  <w:footnote w:id="9">
    <w:p w:rsidR="00D54A7C" w:rsidRPr="0029375B" w:rsidRDefault="00D54A7C" w:rsidP="00F615B6">
      <w:pPr>
        <w:pStyle w:val="FootnoteText"/>
        <w:rPr>
          <w:lang w:val="en-US"/>
        </w:rPr>
      </w:pPr>
      <w:r w:rsidRPr="0029375B">
        <w:rPr>
          <w:rStyle w:val="FootnoteReference"/>
        </w:rPr>
        <w:footnoteRef/>
      </w:r>
      <w:r w:rsidRPr="0029375B">
        <w:t xml:space="preserve"> </w:t>
      </w:r>
      <w:hyperlink r:id="rId4" w:history="1">
        <w:r w:rsidRPr="0095027F">
          <w:rPr>
            <w:rStyle w:val="Hyperlink"/>
          </w:rPr>
          <w:t>http://www.police.govt.nz/resources/2006/taser-trial/download-taser-reports.html</w:t>
        </w:r>
      </w:hyperlink>
      <w:r>
        <w:t xml:space="preserve"> </w:t>
      </w:r>
    </w:p>
  </w:footnote>
  <w:footnote w:id="10">
    <w:p w:rsidR="00D54A7C" w:rsidRPr="0029375B" w:rsidRDefault="00D54A7C" w:rsidP="00F615B6">
      <w:pPr>
        <w:pStyle w:val="FootnoteText"/>
      </w:pPr>
      <w:r w:rsidRPr="0029375B">
        <w:rPr>
          <w:rStyle w:val="FootnoteReference"/>
        </w:rPr>
        <w:footnoteRef/>
      </w:r>
      <w:r w:rsidRPr="0029375B">
        <w:t xml:space="preserve"> </w:t>
      </w:r>
      <w:r w:rsidRPr="0029375B">
        <w:rPr>
          <w:lang w:val="en-US"/>
        </w:rPr>
        <w:t>United</w:t>
      </w:r>
      <w:r>
        <w:rPr>
          <w:lang w:val="en-US"/>
        </w:rPr>
        <w:t xml:space="preserve"> Nations Human Rights Committee.</w:t>
      </w:r>
      <w:r w:rsidRPr="0029375B">
        <w:rPr>
          <w:lang w:val="en-US"/>
        </w:rPr>
        <w:t xml:space="preserve"> (2002)</w:t>
      </w:r>
      <w:r>
        <w:rPr>
          <w:lang w:val="en-US"/>
        </w:rPr>
        <w:t>.</w:t>
      </w:r>
      <w:r w:rsidRPr="0029375B">
        <w:rPr>
          <w:lang w:val="en-US"/>
        </w:rPr>
        <w:t xml:space="preserve"> </w:t>
      </w:r>
      <w:r w:rsidRPr="0029375B">
        <w:rPr>
          <w:i/>
          <w:lang w:val="en-US"/>
        </w:rPr>
        <w:t xml:space="preserve">Concluding Observations of the Human </w:t>
      </w:r>
      <w:r>
        <w:rPr>
          <w:i/>
          <w:lang w:val="en-US"/>
        </w:rPr>
        <w:t xml:space="preserve">Rights Committee: New Zealand, </w:t>
      </w:r>
      <w:r w:rsidRPr="0029375B">
        <w:rPr>
          <w:lang w:val="en-US"/>
        </w:rPr>
        <w:t>CCPR/CO/75/NZL, at para 13.</w:t>
      </w:r>
    </w:p>
  </w:footnote>
  <w:footnote w:id="11">
    <w:p w:rsidR="00D54A7C" w:rsidRPr="00921A51" w:rsidRDefault="00D54A7C">
      <w:pPr>
        <w:pStyle w:val="FootnoteText"/>
        <w:rPr>
          <w:lang w:val="en-US"/>
        </w:rPr>
      </w:pPr>
      <w:r>
        <w:rPr>
          <w:rStyle w:val="FootnoteReference"/>
        </w:rPr>
        <w:footnoteRef/>
      </w:r>
      <w:r>
        <w:t xml:space="preserve"> </w:t>
      </w:r>
      <w:r w:rsidRPr="00921A51">
        <w:rPr>
          <w:lang w:val="en-US"/>
        </w:rPr>
        <w:t>At paragraphs 3.67-3.70</w:t>
      </w:r>
    </w:p>
  </w:footnote>
  <w:footnote w:id="12">
    <w:p w:rsidR="00D54A7C" w:rsidRPr="006437BB" w:rsidRDefault="00D54A7C" w:rsidP="006437BB">
      <w:pPr>
        <w:tabs>
          <w:tab w:val="num" w:pos="540"/>
        </w:tabs>
        <w:rPr>
          <w:rFonts w:cs="Arial"/>
          <w:sz w:val="20"/>
          <w:szCs w:val="20"/>
        </w:rPr>
      </w:pPr>
      <w:r w:rsidRPr="00921A51">
        <w:rPr>
          <w:rStyle w:val="FootnoteReference"/>
          <w:sz w:val="20"/>
          <w:szCs w:val="20"/>
        </w:rPr>
        <w:footnoteRef/>
      </w:r>
      <w:r w:rsidRPr="00921A51">
        <w:rPr>
          <w:sz w:val="20"/>
          <w:szCs w:val="20"/>
        </w:rPr>
        <w:t xml:space="preserve"> Office of the Ombudsmen. (December 2005).  </w:t>
      </w:r>
      <w:r w:rsidRPr="00921A51">
        <w:rPr>
          <w:i/>
          <w:sz w:val="20"/>
          <w:szCs w:val="20"/>
        </w:rPr>
        <w:t>Ombudsmen’s Investigation of the Department</w:t>
      </w:r>
      <w:r w:rsidRPr="006437BB">
        <w:rPr>
          <w:i/>
          <w:sz w:val="20"/>
          <w:szCs w:val="20"/>
        </w:rPr>
        <w:t xml:space="preserve"> of Corrections in relation to the Detention and Treatment of Prisoners</w:t>
      </w:r>
      <w:r w:rsidRPr="006437BB">
        <w:rPr>
          <w:sz w:val="20"/>
          <w:szCs w:val="20"/>
        </w:rPr>
        <w:t xml:space="preserve">. </w:t>
      </w:r>
      <w:r>
        <w:rPr>
          <w:sz w:val="20"/>
          <w:szCs w:val="20"/>
        </w:rPr>
        <w:t xml:space="preserve"> Wellington: </w:t>
      </w:r>
      <w:r w:rsidRPr="006437BB">
        <w:rPr>
          <w:sz w:val="20"/>
          <w:szCs w:val="20"/>
        </w:rPr>
        <w:t>Office of the Ombudsmen.</w:t>
      </w:r>
    </w:p>
  </w:footnote>
  <w:footnote w:id="13">
    <w:p w:rsidR="00D54A7C" w:rsidRPr="00296DBD" w:rsidRDefault="00D54A7C">
      <w:pPr>
        <w:pStyle w:val="FootnoteText"/>
      </w:pPr>
      <w:r>
        <w:rPr>
          <w:rStyle w:val="FootnoteReference"/>
        </w:rPr>
        <w:footnoteRef/>
      </w:r>
      <w:r>
        <w:t xml:space="preserve"> Department of Corrections.  (November 2008).  </w:t>
      </w:r>
      <w:r>
        <w:rPr>
          <w:i/>
        </w:rPr>
        <w:t xml:space="preserve">Briefing for the Incoming Minister. </w:t>
      </w:r>
      <w:r>
        <w:t xml:space="preserve"> Wellington: Department of Corrections.  </w:t>
      </w:r>
    </w:p>
  </w:footnote>
  <w:footnote w:id="14">
    <w:p w:rsidR="00D54A7C" w:rsidRPr="00513F71" w:rsidRDefault="00D54A7C">
      <w:pPr>
        <w:pStyle w:val="FootnoteText"/>
      </w:pPr>
      <w:r>
        <w:rPr>
          <w:rStyle w:val="FootnoteReference"/>
        </w:rPr>
        <w:footnoteRef/>
      </w:r>
      <w:r>
        <w:t xml:space="preserve"> </w:t>
      </w:r>
      <w:r w:rsidRPr="006437BB">
        <w:rPr>
          <w:rFonts w:cs="Arial"/>
        </w:rPr>
        <w:t xml:space="preserve">Office of the Ombudsmen. (June 2007).  </w:t>
      </w:r>
      <w:r w:rsidRPr="006437BB">
        <w:rPr>
          <w:rFonts w:cs="Arial"/>
          <w:i/>
        </w:rPr>
        <w:t>Ombudsmen’s Investigation of the Department of Corrections in relation to the Transport of Prisoners.</w:t>
      </w:r>
      <w:r w:rsidRPr="006437BB">
        <w:rPr>
          <w:rFonts w:cs="Arial"/>
        </w:rPr>
        <w:t xml:space="preserve">  </w:t>
      </w:r>
      <w:r>
        <w:t xml:space="preserve">Wellington: </w:t>
      </w:r>
      <w:r w:rsidRPr="006437BB">
        <w:t>Office of the Ombudsmen.</w:t>
      </w:r>
    </w:p>
  </w:footnote>
  <w:footnote w:id="15">
    <w:p w:rsidR="00D54A7C" w:rsidRPr="0070789F" w:rsidRDefault="00D54A7C">
      <w:pPr>
        <w:pStyle w:val="FootnoteText"/>
        <w:rPr>
          <w:lang w:val="en-US"/>
        </w:rPr>
      </w:pPr>
      <w:r>
        <w:rPr>
          <w:rStyle w:val="FootnoteReference"/>
        </w:rPr>
        <w:footnoteRef/>
      </w:r>
      <w:r>
        <w:t xml:space="preserve"> Supra, note 15</w:t>
      </w:r>
      <w:r w:rsidR="00D154C3">
        <w:t>; and</w:t>
      </w:r>
      <w:r>
        <w:t xml:space="preserve"> press releases available on the Department’s website at: </w:t>
      </w:r>
      <w:hyperlink r:id="rId5" w:history="1">
        <w:r w:rsidRPr="00D07A56">
          <w:rPr>
            <w:rStyle w:val="Hyperlink"/>
          </w:rPr>
          <w:t>http://www.corrections.govt.nz/index.html</w:t>
        </w:r>
      </w:hyperlink>
      <w:r>
        <w:t>.</w:t>
      </w:r>
    </w:p>
  </w:footnote>
  <w:footnote w:id="16">
    <w:p w:rsidR="00D54A7C" w:rsidRDefault="00D54A7C" w:rsidP="001E1F88">
      <w:pPr>
        <w:pStyle w:val="FootnoteText"/>
      </w:pPr>
      <w:r>
        <w:rPr>
          <w:rStyle w:val="FootnoteReference"/>
        </w:rPr>
        <w:footnoteRef/>
      </w:r>
      <w:r>
        <w:t xml:space="preserve"> Office of the Ombudsmen.  (2008).  </w:t>
      </w:r>
      <w:r w:rsidRPr="00D07A56">
        <w:rPr>
          <w:i/>
        </w:rPr>
        <w:t>Annual Report 2007/2008</w:t>
      </w:r>
      <w:r>
        <w:t xml:space="preserve">.  Wellington:  Office of the Ombudsmen.  p 19.  </w:t>
      </w:r>
    </w:p>
    <w:p w:rsidR="00D54A7C" w:rsidRPr="00D07A56" w:rsidRDefault="00D54A7C" w:rsidP="001E1F88">
      <w:pPr>
        <w:pStyle w:val="FootnoteText"/>
      </w:pPr>
      <w:r w:rsidRPr="00D07A56">
        <w:t>The Commission notes that in their 2007 report on prisoner transport the Ombudsmen had expressed concern and the practice of automatic handcuffing of prisoners, and had noted</w:t>
      </w:r>
      <w:r>
        <w:t xml:space="preserve"> (supra, note 14, at p 66)</w:t>
      </w:r>
      <w:r w:rsidRPr="00D07A56">
        <w:t xml:space="preserve">: </w:t>
      </w:r>
    </w:p>
    <w:p w:rsidR="00D54A7C" w:rsidRPr="005F6846" w:rsidRDefault="00D54A7C" w:rsidP="001E1F88">
      <w:pPr>
        <w:ind w:left="540"/>
        <w:jc w:val="both"/>
        <w:rPr>
          <w:sz w:val="18"/>
          <w:szCs w:val="18"/>
          <w:lang w:val="en-NZ"/>
        </w:rPr>
      </w:pPr>
      <w:r w:rsidRPr="005F6846">
        <w:rPr>
          <w:sz w:val="18"/>
          <w:szCs w:val="18"/>
          <w:lang w:val="en-NZ"/>
        </w:rPr>
        <w:t>If the Department is concerned that Chubb is unable to carry prisoners as safely and securely as itself, the remedy is to deal with the cause of that.  The remedy is not to penalise all prisoners by handcuffing, irrespective of whether individual prisoners merit it or not.</w:t>
      </w:r>
    </w:p>
    <w:p w:rsidR="00D54A7C" w:rsidRPr="006437BB" w:rsidRDefault="00D54A7C" w:rsidP="006437BB">
      <w:pPr>
        <w:ind w:left="540"/>
        <w:jc w:val="both"/>
        <w:rPr>
          <w:sz w:val="20"/>
          <w:szCs w:val="20"/>
          <w:lang w:val="en-NZ"/>
        </w:rPr>
      </w:pPr>
      <w:r w:rsidRPr="005F6846">
        <w:rPr>
          <w:sz w:val="18"/>
          <w:szCs w:val="18"/>
          <w:lang w:val="en-NZ"/>
        </w:rPr>
        <w:t>The handcuffing of all prisoners in vehicles should not be an automatic practice.  Handcuffing is uncomfortable for the prisoner, and diminishes safety in the event of traffic accident.  Handcuffs should only be used if, following the exercise of active discretion, it is considered there is good reason in the case of that particular prisoner.</w:t>
      </w:r>
    </w:p>
  </w:footnote>
  <w:footnote w:id="17">
    <w:p w:rsidR="00D54A7C" w:rsidRPr="002D7FC7" w:rsidRDefault="00D54A7C" w:rsidP="002D7FC7">
      <w:pPr>
        <w:tabs>
          <w:tab w:val="num" w:pos="540"/>
        </w:tabs>
        <w:rPr>
          <w:rFonts w:cs="Arial"/>
          <w:sz w:val="20"/>
          <w:szCs w:val="20"/>
        </w:rPr>
      </w:pPr>
      <w:r w:rsidRPr="002D7FC7">
        <w:rPr>
          <w:rStyle w:val="FootnoteReference"/>
          <w:sz w:val="20"/>
          <w:szCs w:val="20"/>
        </w:rPr>
        <w:footnoteRef/>
      </w:r>
      <w:r w:rsidR="00C7460B">
        <w:rPr>
          <w:sz w:val="20"/>
          <w:szCs w:val="20"/>
        </w:rPr>
        <w:t xml:space="preserve"> Office of the Ombudsmen.  (November 2007).  </w:t>
      </w:r>
      <w:r w:rsidR="00C7460B">
        <w:rPr>
          <w:i/>
          <w:sz w:val="20"/>
          <w:szCs w:val="20"/>
        </w:rPr>
        <w:t xml:space="preserve">Investigation into Issues involving the Criminal Justice Sector. </w:t>
      </w:r>
      <w:r w:rsidR="00C7460B">
        <w:rPr>
          <w:sz w:val="20"/>
          <w:szCs w:val="20"/>
        </w:rPr>
        <w:t xml:space="preserve">Wellington: Office of the Ombudsmen.  </w:t>
      </w:r>
      <w:r w:rsidRPr="002D7FC7">
        <w:rPr>
          <w:sz w:val="20"/>
          <w:szCs w:val="20"/>
        </w:rPr>
        <w:t>p 88.</w:t>
      </w:r>
    </w:p>
  </w:footnote>
  <w:footnote w:id="18">
    <w:p w:rsidR="00D54A7C" w:rsidRDefault="00D54A7C" w:rsidP="00CE2E47">
      <w:pPr>
        <w:pStyle w:val="FootnoteText"/>
      </w:pPr>
      <w:r>
        <w:rPr>
          <w:rStyle w:val="FootnoteReference"/>
        </w:rPr>
        <w:footnoteRef/>
      </w:r>
      <w:r>
        <w:t xml:space="preserve"> Supra note 1</w:t>
      </w:r>
      <w:r w:rsidR="00C7460B">
        <w:t>7</w:t>
      </w:r>
      <w:r>
        <w:t xml:space="preserve">, p 8.  </w:t>
      </w:r>
    </w:p>
    <w:p w:rsidR="00D54A7C" w:rsidRPr="00415A0E" w:rsidRDefault="00D54A7C" w:rsidP="00CE2E47">
      <w:pPr>
        <w:pStyle w:val="FootnoteText"/>
      </w:pPr>
      <w:r w:rsidRPr="00CF7F49">
        <w:t>‘Inmates affected by mental illness</w:t>
      </w:r>
      <w:r>
        <w:t xml:space="preserve">’, </w:t>
      </w:r>
      <w:r>
        <w:rPr>
          <w:i/>
        </w:rPr>
        <w:t xml:space="preserve">The </w:t>
      </w:r>
      <w:r w:rsidRPr="00CF7F49">
        <w:rPr>
          <w:i/>
        </w:rPr>
        <w:t>Press</w:t>
      </w:r>
      <w:r>
        <w:t xml:space="preserve">, </w:t>
      </w:r>
      <w:r w:rsidRPr="00CF7F49">
        <w:t>6</w:t>
      </w:r>
      <w:r w:rsidR="00C7460B">
        <w:t xml:space="preserve"> June 2008.</w:t>
      </w:r>
      <w:r>
        <w:t xml:space="preserve"> </w:t>
      </w:r>
      <w:hyperlink r:id="rId6" w:history="1">
        <w:r w:rsidRPr="00AC02DB">
          <w:rPr>
            <w:rStyle w:val="Hyperlink"/>
          </w:rPr>
          <w:t>http://www.stuff.co.nz/national/47</w:t>
        </w:r>
        <w:r w:rsidRPr="00AC02DB">
          <w:rPr>
            <w:rStyle w:val="Hyperlink"/>
          </w:rPr>
          <w:t>5</w:t>
        </w:r>
        <w:r w:rsidRPr="00AC02DB">
          <w:rPr>
            <w:rStyle w:val="Hyperlink"/>
          </w:rPr>
          <w:t>761</w:t>
        </w:r>
      </w:hyperlink>
      <w:r w:rsidR="00C7460B">
        <w:t xml:space="preserve"> </w:t>
      </w:r>
      <w:r w:rsidR="00C7460B">
        <w:rPr>
          <w:lang w:val="en-US"/>
        </w:rPr>
        <w:t>(accessed on 20 March 2009)</w:t>
      </w:r>
    </w:p>
  </w:footnote>
  <w:footnote w:id="19">
    <w:p w:rsidR="00D54A7C" w:rsidRPr="00B53EDE" w:rsidRDefault="00D54A7C">
      <w:pPr>
        <w:pStyle w:val="FootnoteText"/>
      </w:pPr>
      <w:r>
        <w:rPr>
          <w:rStyle w:val="FootnoteReference"/>
        </w:rPr>
        <w:footnoteRef/>
      </w:r>
      <w:r>
        <w:t xml:space="preserve"> Controller and Auditor General. </w:t>
      </w:r>
      <w:r w:rsidRPr="008A6CA7">
        <w:t>(March 2008)</w:t>
      </w:r>
      <w:r>
        <w:t xml:space="preserve">. </w:t>
      </w:r>
      <w:r w:rsidRPr="008A6CA7">
        <w:rPr>
          <w:i/>
        </w:rPr>
        <w:t>Menta</w:t>
      </w:r>
      <w:r>
        <w:rPr>
          <w:i/>
        </w:rPr>
        <w:t xml:space="preserve">l Health Services for Prisoners. </w:t>
      </w:r>
      <w:r>
        <w:t xml:space="preserve">Wellington: Officer of the Auditor General.  </w:t>
      </w:r>
    </w:p>
  </w:footnote>
  <w:footnote w:id="20">
    <w:p w:rsidR="00D54A7C" w:rsidRPr="0031268B" w:rsidRDefault="00D54A7C">
      <w:pPr>
        <w:pStyle w:val="FootnoteText"/>
      </w:pPr>
      <w:r>
        <w:rPr>
          <w:rStyle w:val="FootnoteReference"/>
        </w:rPr>
        <w:footnoteRef/>
      </w:r>
      <w:r>
        <w:t xml:space="preserve"> Ibid.</w:t>
      </w:r>
      <w:r w:rsidRPr="008A6CA7">
        <w:rPr>
          <w:i/>
        </w:rPr>
        <w:t xml:space="preserve"> </w:t>
      </w:r>
    </w:p>
  </w:footnote>
  <w:footnote w:id="21">
    <w:p w:rsidR="00D54A7C" w:rsidRPr="00EC0DC7" w:rsidRDefault="00D54A7C">
      <w:pPr>
        <w:pStyle w:val="FootnoteText"/>
      </w:pPr>
      <w:r>
        <w:rPr>
          <w:rStyle w:val="FootnoteReference"/>
        </w:rPr>
        <w:footnoteRef/>
      </w:r>
      <w:r>
        <w:t xml:space="preserve"> </w:t>
      </w:r>
      <w:r w:rsidR="00C7460B">
        <w:t>Supra note 17</w:t>
      </w:r>
      <w:r>
        <w:t xml:space="preserve">, p 9, citing comments made by </w:t>
      </w:r>
      <w:r w:rsidRPr="00FB5BCB">
        <w:t xml:space="preserve">Sandy Simpson, Honorary Clinical Associate Professor and Clinical Director at the Mason Clinic, </w:t>
      </w:r>
      <w:r>
        <w:t xml:space="preserve">in an article published in </w:t>
      </w:r>
      <w:r w:rsidRPr="00B53EDE">
        <w:rPr>
          <w:i/>
        </w:rPr>
        <w:t>Rethinking Crime and Punishment: Newsletter No 35</w:t>
      </w:r>
      <w:r w:rsidRPr="00FB5BCB">
        <w:t>, April 2008</w:t>
      </w:r>
      <w:r>
        <w:t>.</w:t>
      </w:r>
    </w:p>
  </w:footnote>
  <w:footnote w:id="22">
    <w:p w:rsidR="00D54A7C" w:rsidRPr="008F36F0" w:rsidRDefault="00D54A7C" w:rsidP="00C15E7B">
      <w:pPr>
        <w:pStyle w:val="FootnoteText"/>
      </w:pPr>
      <w:r>
        <w:rPr>
          <w:rStyle w:val="FootnoteReference"/>
        </w:rPr>
        <w:footnoteRef/>
      </w:r>
      <w:r>
        <w:t xml:space="preserve"> Ibid. p 9.</w:t>
      </w:r>
    </w:p>
  </w:footnote>
  <w:footnote w:id="23">
    <w:p w:rsidR="00D54A7C" w:rsidRPr="00491FC5" w:rsidRDefault="00D54A7C" w:rsidP="00375D94">
      <w:pPr>
        <w:pStyle w:val="FootnoteText"/>
      </w:pPr>
      <w:r>
        <w:rPr>
          <w:rStyle w:val="FootnoteReference"/>
        </w:rPr>
        <w:footnoteRef/>
      </w:r>
      <w:r>
        <w:t xml:space="preserve"> </w:t>
      </w:r>
      <w:r w:rsidRPr="0029375B">
        <w:rPr>
          <w:lang w:val="en-US"/>
        </w:rPr>
        <w:t>Human Rights Commission</w:t>
      </w:r>
      <w:r>
        <w:rPr>
          <w:lang w:val="en-US"/>
        </w:rPr>
        <w:t>.</w:t>
      </w:r>
      <w:r w:rsidRPr="0029375B">
        <w:rPr>
          <w:lang w:val="en-US"/>
        </w:rPr>
        <w:t xml:space="preserve"> (2007)</w:t>
      </w:r>
      <w:r>
        <w:rPr>
          <w:lang w:val="en-US"/>
        </w:rPr>
        <w:t>.</w:t>
      </w:r>
      <w:r w:rsidRPr="0029375B">
        <w:rPr>
          <w:lang w:val="en-US"/>
        </w:rPr>
        <w:t xml:space="preserve"> </w:t>
      </w:r>
      <w:r w:rsidRPr="0029375B">
        <w:rPr>
          <w:i/>
          <w:lang w:val="en-US"/>
        </w:rPr>
        <w:t>To Be Who I Am / Kia noho au ki t</w:t>
      </w:r>
      <w:r w:rsidRPr="0029375B">
        <w:rPr>
          <w:rFonts w:cs="Arial"/>
          <w:i/>
          <w:lang w:val="en-US"/>
        </w:rPr>
        <w:t>ō</w:t>
      </w:r>
      <w:r w:rsidRPr="0029375B">
        <w:rPr>
          <w:i/>
          <w:lang w:val="en-US"/>
        </w:rPr>
        <w:t>ku an</w:t>
      </w:r>
      <w:r w:rsidRPr="0029375B">
        <w:rPr>
          <w:rFonts w:cs="Arial"/>
          <w:i/>
          <w:lang w:val="en-US"/>
        </w:rPr>
        <w:t>ō</w:t>
      </w:r>
      <w:r w:rsidRPr="0029375B">
        <w:rPr>
          <w:i/>
          <w:lang w:val="en-US"/>
        </w:rPr>
        <w:t xml:space="preserve"> ao</w:t>
      </w:r>
      <w:r>
        <w:rPr>
          <w:lang w:val="en-US"/>
        </w:rPr>
        <w:t>.</w:t>
      </w:r>
      <w:r w:rsidRPr="0029375B">
        <w:rPr>
          <w:lang w:val="en-US"/>
        </w:rPr>
        <w:t xml:space="preserve"> Aucklan</w:t>
      </w:r>
      <w:r>
        <w:rPr>
          <w:lang w:val="en-US"/>
        </w:rPr>
        <w:t>d: Human Rights Commission</w:t>
      </w:r>
    </w:p>
  </w:footnote>
  <w:footnote w:id="24">
    <w:p w:rsidR="00D54A7C" w:rsidRPr="00D257C5" w:rsidRDefault="00D54A7C" w:rsidP="001531EE">
      <w:pPr>
        <w:pStyle w:val="FootnoteText"/>
        <w:ind w:left="180" w:hanging="180"/>
        <w:rPr>
          <w:lang w:val="en-NZ"/>
        </w:rPr>
      </w:pPr>
      <w:r w:rsidRPr="00D257C5">
        <w:rPr>
          <w:rStyle w:val="FootnoteReference"/>
        </w:rPr>
        <w:footnoteRef/>
      </w:r>
      <w:r w:rsidRPr="00D257C5">
        <w:t xml:space="preserve"> </w:t>
      </w:r>
      <w:r w:rsidRPr="00D257C5">
        <w:rPr>
          <w:lang w:val="en-NZ"/>
        </w:rPr>
        <w:t xml:space="preserve"> </w:t>
      </w:r>
      <w:r w:rsidRPr="00684015">
        <w:rPr>
          <w:lang w:val="en-NZ"/>
        </w:rPr>
        <w:t>Department of Corrections</w:t>
      </w:r>
      <w:r>
        <w:rPr>
          <w:lang w:val="en-NZ"/>
        </w:rPr>
        <w:t>.</w:t>
      </w:r>
      <w:r w:rsidRPr="00684015">
        <w:rPr>
          <w:lang w:val="en-NZ"/>
        </w:rPr>
        <w:t xml:space="preserve"> (</w:t>
      </w:r>
      <w:r>
        <w:rPr>
          <w:lang w:val="en-NZ"/>
        </w:rPr>
        <w:t xml:space="preserve">September </w:t>
      </w:r>
      <w:r w:rsidRPr="00684015">
        <w:rPr>
          <w:lang w:val="en-NZ"/>
        </w:rPr>
        <w:t>2007)</w:t>
      </w:r>
      <w:r>
        <w:rPr>
          <w:lang w:val="en-NZ"/>
        </w:rPr>
        <w:t xml:space="preserve">. </w:t>
      </w:r>
      <w:r w:rsidRPr="00684015">
        <w:rPr>
          <w:i/>
          <w:lang w:val="en-NZ"/>
        </w:rPr>
        <w:t>Over-representation of M</w:t>
      </w:r>
      <w:r>
        <w:rPr>
          <w:i/>
          <w:lang w:val="en-NZ"/>
        </w:rPr>
        <w:t>ā</w:t>
      </w:r>
      <w:r w:rsidRPr="00684015">
        <w:rPr>
          <w:i/>
          <w:lang w:val="en-NZ"/>
        </w:rPr>
        <w:t>ori in the criminal justice system: An exploratory report</w:t>
      </w:r>
      <w:r>
        <w:rPr>
          <w:lang w:val="en-NZ"/>
        </w:rPr>
        <w:t>.  Wellington: Department of Corrections.  At p 6</w:t>
      </w:r>
    </w:p>
  </w:footnote>
  <w:footnote w:id="25">
    <w:p w:rsidR="00D54A7C" w:rsidRPr="00684015" w:rsidRDefault="00D54A7C" w:rsidP="001531EE">
      <w:pPr>
        <w:pStyle w:val="FootnoteText"/>
        <w:ind w:left="180" w:hanging="180"/>
        <w:rPr>
          <w:lang w:val="en-NZ"/>
        </w:rPr>
      </w:pPr>
      <w:r w:rsidRPr="00684015">
        <w:rPr>
          <w:rStyle w:val="FootnoteReference"/>
        </w:rPr>
        <w:footnoteRef/>
      </w:r>
      <w:r w:rsidRPr="00684015">
        <w:t xml:space="preserve">  </w:t>
      </w:r>
      <w:r>
        <w:t xml:space="preserve">Ibid. </w:t>
      </w:r>
      <w:r w:rsidRPr="00684015">
        <w:rPr>
          <w:lang w:val="en-NZ"/>
        </w:rPr>
        <w:t xml:space="preserve">at </w:t>
      </w:r>
      <w:r>
        <w:rPr>
          <w:lang w:val="en-NZ"/>
        </w:rPr>
        <w:t xml:space="preserve">p </w:t>
      </w:r>
      <w:r w:rsidRPr="00684015">
        <w:rPr>
          <w:lang w:val="en-NZ"/>
        </w:rPr>
        <w:t>39</w:t>
      </w:r>
    </w:p>
  </w:footnote>
  <w:footnote w:id="26">
    <w:p w:rsidR="00D54A7C" w:rsidRPr="005A5E4F" w:rsidRDefault="00D54A7C">
      <w:pPr>
        <w:pStyle w:val="FootnoteText"/>
      </w:pPr>
      <w:r>
        <w:rPr>
          <w:rStyle w:val="FootnoteReference"/>
        </w:rPr>
        <w:footnoteRef/>
      </w:r>
      <w:r>
        <w:t xml:space="preserve"> Ibid. p 39</w:t>
      </w:r>
    </w:p>
  </w:footnote>
  <w:footnote w:id="27">
    <w:p w:rsidR="00D54A7C" w:rsidRPr="005A5E4F" w:rsidRDefault="00D54A7C">
      <w:pPr>
        <w:pStyle w:val="FootnoteText"/>
        <w:rPr>
          <w:lang w:val="en-US"/>
        </w:rPr>
      </w:pPr>
      <w:r>
        <w:rPr>
          <w:rStyle w:val="FootnoteReference"/>
        </w:rPr>
        <w:footnoteRef/>
      </w:r>
      <w:r>
        <w:t xml:space="preserve"> </w:t>
      </w:r>
      <w:r w:rsidR="00C7460B">
        <w:t>Supra, note 17.</w:t>
      </w:r>
    </w:p>
  </w:footnote>
  <w:footnote w:id="28">
    <w:p w:rsidR="00D54A7C" w:rsidRPr="00C56D44" w:rsidRDefault="00D54A7C" w:rsidP="00327653">
      <w:pPr>
        <w:pStyle w:val="FootnoteText"/>
      </w:pPr>
      <w:r w:rsidRPr="0029375B">
        <w:rPr>
          <w:rStyle w:val="FootnoteReference"/>
        </w:rPr>
        <w:footnoteRef/>
      </w:r>
      <w:r w:rsidRPr="0029375B">
        <w:t xml:space="preserve"> </w:t>
      </w:r>
      <w:r w:rsidRPr="00C56D44">
        <w:t>Department of Corrections</w:t>
      </w:r>
      <w:r w:rsidR="004473DF">
        <w:t xml:space="preserve">. Supra, note 14 at </w:t>
      </w:r>
      <w:r w:rsidRPr="00C56D44">
        <w:rPr>
          <w:lang w:val="en-US"/>
        </w:rPr>
        <w:t>p22</w:t>
      </w:r>
    </w:p>
  </w:footnote>
  <w:footnote w:id="29">
    <w:p w:rsidR="00D54A7C" w:rsidRPr="00C56D44" w:rsidRDefault="00D54A7C" w:rsidP="00F615B6">
      <w:pPr>
        <w:pStyle w:val="FootnoteText"/>
      </w:pPr>
      <w:r w:rsidRPr="00C56D44">
        <w:rPr>
          <w:rStyle w:val="FootnoteReference"/>
        </w:rPr>
        <w:footnoteRef/>
      </w:r>
      <w:r w:rsidRPr="00C56D44">
        <w:t xml:space="preserve"> Ibid.  p 11</w:t>
      </w:r>
    </w:p>
  </w:footnote>
  <w:footnote w:id="30">
    <w:p w:rsidR="00D54A7C" w:rsidRPr="00C56D44" w:rsidRDefault="00D54A7C" w:rsidP="00DF329E">
      <w:pPr>
        <w:rPr>
          <w:sz w:val="20"/>
          <w:szCs w:val="20"/>
        </w:rPr>
      </w:pPr>
      <w:r w:rsidRPr="00C56D44">
        <w:rPr>
          <w:rStyle w:val="FootnoteReference"/>
          <w:sz w:val="20"/>
          <w:szCs w:val="20"/>
        </w:rPr>
        <w:footnoteRef/>
      </w:r>
      <w:r w:rsidRPr="00C56D44">
        <w:rPr>
          <w:sz w:val="20"/>
          <w:szCs w:val="20"/>
        </w:rPr>
        <w:t xml:space="preserve"> These include the Sentencing and Parole Reform Bill (2009), which would provide for a "three strikes" system whereby an automatic life sentence without parole is imposed upon conviction for a third serious offence for persons who have previously received a sentence of five years or more.</w:t>
      </w:r>
    </w:p>
  </w:footnote>
  <w:footnote w:id="31">
    <w:p w:rsidR="00D54A7C" w:rsidRPr="00C56D44" w:rsidRDefault="00D54A7C">
      <w:pPr>
        <w:pStyle w:val="FootnoteText"/>
      </w:pPr>
      <w:r w:rsidRPr="00C56D44">
        <w:rPr>
          <w:rStyle w:val="FootnoteReference"/>
        </w:rPr>
        <w:footnoteRef/>
      </w:r>
      <w:r w:rsidRPr="00C56D44">
        <w:t xml:space="preserve"> Inmates faced with two in a cell, </w:t>
      </w:r>
      <w:r w:rsidRPr="00C56D44">
        <w:rPr>
          <w:i/>
        </w:rPr>
        <w:t>NZ Herald</w:t>
      </w:r>
      <w:r w:rsidRPr="00C56D44">
        <w:t>, 10 March 2009</w:t>
      </w:r>
      <w:r>
        <w:t xml:space="preserve">.  </w:t>
      </w:r>
      <w:r>
        <w:rPr>
          <w:lang w:val="en-US"/>
        </w:rPr>
        <w:t xml:space="preserve">Retrieved on 20 March 2009 from: </w:t>
      </w:r>
      <w:hyperlink r:id="rId7" w:history="1">
        <w:r w:rsidRPr="00C56D44">
          <w:rPr>
            <w:rStyle w:val="Hyperlink"/>
            <w:lang w:val="en-US"/>
          </w:rPr>
          <w:t>http://www.nzherald.co.nz/nz/news/article.cfm?c_id=1&amp;objectid=10560800</w:t>
        </w:r>
      </w:hyperlink>
      <w:r>
        <w:rPr>
          <w:lang w:val="en-US"/>
        </w:rPr>
        <w:t>.</w:t>
      </w:r>
    </w:p>
  </w:footnote>
  <w:footnote w:id="32">
    <w:p w:rsidR="00D54A7C" w:rsidRPr="0084239F" w:rsidRDefault="00D54A7C">
      <w:pPr>
        <w:pStyle w:val="FootnoteText"/>
      </w:pPr>
      <w:r>
        <w:rPr>
          <w:rStyle w:val="FootnoteReference"/>
        </w:rPr>
        <w:footnoteRef/>
      </w:r>
      <w:r>
        <w:t xml:space="preserve"> Department of Corrections, supra note </w:t>
      </w:r>
      <w:r w:rsidR="004473DF">
        <w:t>14</w:t>
      </w:r>
      <w:r>
        <w:t>, p 24.</w:t>
      </w:r>
    </w:p>
  </w:footnote>
  <w:footnote w:id="33">
    <w:p w:rsidR="00D54A7C" w:rsidRPr="0029375B" w:rsidRDefault="00D54A7C" w:rsidP="008E3F11">
      <w:pPr>
        <w:pStyle w:val="FootnoteText"/>
        <w:rPr>
          <w:lang w:val="en-US"/>
        </w:rPr>
      </w:pPr>
      <w:r w:rsidRPr="0029375B">
        <w:rPr>
          <w:rStyle w:val="FootnoteReference"/>
        </w:rPr>
        <w:footnoteRef/>
      </w:r>
      <w:r w:rsidRPr="0029375B">
        <w:t xml:space="preserve"> </w:t>
      </w:r>
      <w:r w:rsidR="004473DF">
        <w:rPr>
          <w:lang w:val="en-US"/>
        </w:rPr>
        <w:t>Supra, note 11</w:t>
      </w:r>
      <w:r w:rsidRPr="0029375B">
        <w:rPr>
          <w:lang w:val="en-US"/>
        </w:rPr>
        <w:t>, at para 13.</w:t>
      </w:r>
    </w:p>
  </w:footnote>
  <w:footnote w:id="34">
    <w:p w:rsidR="004473DF" w:rsidRDefault="00D54A7C" w:rsidP="00997671">
      <w:pPr>
        <w:pStyle w:val="FootnoteText"/>
      </w:pPr>
      <w:r w:rsidRPr="0029375B">
        <w:rPr>
          <w:rStyle w:val="FootnoteReference"/>
        </w:rPr>
        <w:footnoteRef/>
      </w:r>
      <w:r w:rsidRPr="0029375B">
        <w:t xml:space="preserve"> </w:t>
      </w:r>
      <w:r w:rsidR="004473DF">
        <w:t>‘</w:t>
      </w:r>
      <w:r w:rsidRPr="004473DF">
        <w:rPr>
          <w:lang w:val="en-US"/>
        </w:rPr>
        <w:t>Unions fight plan ‘blinded by ideology’</w:t>
      </w:r>
      <w:r w:rsidR="004473DF">
        <w:rPr>
          <w:lang w:val="en-US"/>
        </w:rPr>
        <w:t>’</w:t>
      </w:r>
      <w:r w:rsidRPr="0029375B">
        <w:rPr>
          <w:lang w:val="en-US"/>
        </w:rPr>
        <w:t xml:space="preserve">, </w:t>
      </w:r>
      <w:r w:rsidRPr="004473DF">
        <w:rPr>
          <w:i/>
          <w:lang w:val="en-US"/>
        </w:rPr>
        <w:t>New Zealand Herald</w:t>
      </w:r>
      <w:r w:rsidRPr="0029375B">
        <w:rPr>
          <w:lang w:val="en-US"/>
        </w:rPr>
        <w:t>, 10 March 2009.</w:t>
      </w:r>
      <w:r w:rsidR="004473DF" w:rsidRPr="004473DF">
        <w:t xml:space="preserve"> </w:t>
      </w:r>
    </w:p>
    <w:p w:rsidR="00D54A7C" w:rsidRPr="0029375B" w:rsidRDefault="004473DF" w:rsidP="00997671">
      <w:pPr>
        <w:pStyle w:val="FootnoteText"/>
        <w:rPr>
          <w:lang w:val="en-US"/>
        </w:rPr>
      </w:pPr>
      <w:r w:rsidRPr="0029375B">
        <w:t xml:space="preserve">Public Service Association, Press release 9 March 2009: </w:t>
      </w:r>
      <w:r w:rsidRPr="0029375B">
        <w:rPr>
          <w:i/>
        </w:rPr>
        <w:t xml:space="preserve">Private prisons cost more and provide worse service, </w:t>
      </w:r>
      <w:hyperlink r:id="rId8" w:history="1">
        <w:r w:rsidRPr="0029375B">
          <w:rPr>
            <w:rStyle w:val="Hyperlink"/>
          </w:rPr>
          <w:t>http://www.psa.org.n</w:t>
        </w:r>
        <w:r w:rsidRPr="0029375B">
          <w:rPr>
            <w:rStyle w:val="Hyperlink"/>
          </w:rPr>
          <w:t>z</w:t>
        </w:r>
      </w:hyperlink>
      <w:r w:rsidRPr="0029375B">
        <w:rPr>
          <w:lang w:val="en-US"/>
        </w:rPr>
        <w:t xml:space="preserve">.  </w:t>
      </w:r>
    </w:p>
  </w:footnote>
  <w:footnote w:id="35">
    <w:p w:rsidR="00D54A7C" w:rsidRPr="00542862" w:rsidRDefault="00D54A7C" w:rsidP="00542862">
      <w:pPr>
        <w:pStyle w:val="FootnoteText"/>
        <w:rPr>
          <w:lang w:val="en-US"/>
        </w:rPr>
      </w:pPr>
      <w:r w:rsidRPr="0029375B">
        <w:rPr>
          <w:rStyle w:val="FootnoteReference"/>
        </w:rPr>
        <w:footnoteRef/>
      </w:r>
      <w:r w:rsidRPr="0029375B">
        <w:t xml:space="preserve"> </w:t>
      </w:r>
      <w:r>
        <w:rPr>
          <w:lang w:val="en-US"/>
        </w:rPr>
        <w:t xml:space="preserve">Children’s Commissioner.  (November 2008).  </w:t>
      </w:r>
      <w:r w:rsidRPr="00542862">
        <w:rPr>
          <w:i/>
          <w:lang w:val="en-US"/>
        </w:rPr>
        <w:t>Omnibus Survey Report - One year on: Public attitudes and New Zealand’s child discipline law</w:t>
      </w:r>
      <w:r w:rsidR="00820C97">
        <w:rPr>
          <w:lang w:val="en-US"/>
        </w:rPr>
        <w:t xml:space="preserve">. </w:t>
      </w:r>
    </w:p>
  </w:footnote>
  <w:footnote w:id="36">
    <w:p w:rsidR="00D54A7C" w:rsidRPr="0029375B" w:rsidRDefault="00D54A7C" w:rsidP="00F615B6">
      <w:pPr>
        <w:pStyle w:val="FootnoteText"/>
        <w:rPr>
          <w:lang w:val="en-US"/>
        </w:rPr>
      </w:pPr>
      <w:r w:rsidRPr="0029375B">
        <w:rPr>
          <w:rStyle w:val="FootnoteReference"/>
        </w:rPr>
        <w:footnoteRef/>
      </w:r>
      <w:r w:rsidRPr="0029375B">
        <w:t xml:space="preserve"> </w:t>
      </w:r>
      <w:r>
        <w:rPr>
          <w:lang w:val="en-US"/>
        </w:rPr>
        <w:t xml:space="preserve">United Nations Committee on the Rights of the Child. (2003). </w:t>
      </w:r>
      <w:r>
        <w:rPr>
          <w:i/>
          <w:lang w:val="en-US"/>
        </w:rPr>
        <w:t>Concluding Observations of the Committee on the Rights of the Child: New Zealand</w:t>
      </w:r>
      <w:r>
        <w:rPr>
          <w:lang w:val="en-US"/>
        </w:rPr>
        <w:t>. CRC/C/15/Add.216.  Para 20-21.</w:t>
      </w:r>
    </w:p>
  </w:footnote>
  <w:footnote w:id="37">
    <w:p w:rsidR="00D54A7C" w:rsidRPr="000B4A38" w:rsidRDefault="00D54A7C" w:rsidP="000B4A38">
      <w:pPr>
        <w:pStyle w:val="FootnoteText"/>
      </w:pPr>
      <w:r>
        <w:rPr>
          <w:rStyle w:val="FootnoteReference"/>
        </w:rPr>
        <w:footnoteRef/>
      </w:r>
      <w:r>
        <w:t xml:space="preserve"> For example see: McLaren, K L,. (2000). </w:t>
      </w:r>
      <w:r w:rsidRPr="000B4A38">
        <w:rPr>
          <w:i/>
        </w:rPr>
        <w:t>Tough Is Not Enough – Getting Smart About Youth Crime</w:t>
      </w:r>
      <w:r>
        <w:t>. Wellington: Ministry of Youth Affairs.</w:t>
      </w:r>
    </w:p>
  </w:footnote>
  <w:footnote w:id="38">
    <w:p w:rsidR="00D54A7C" w:rsidRPr="0029375B" w:rsidRDefault="00D54A7C" w:rsidP="00F615B6">
      <w:pPr>
        <w:pStyle w:val="FootnoteText"/>
        <w:rPr>
          <w:lang w:val="en-NZ"/>
        </w:rPr>
      </w:pPr>
      <w:r w:rsidRPr="0029375B">
        <w:rPr>
          <w:rStyle w:val="FootnoteReference"/>
        </w:rPr>
        <w:footnoteRef/>
      </w:r>
      <w:r w:rsidRPr="0029375B">
        <w:t xml:space="preserve"> </w:t>
      </w:r>
      <w:r w:rsidRPr="0029375B">
        <w:rPr>
          <w:lang w:val="en-NZ"/>
        </w:rPr>
        <w:t xml:space="preserve">Clause 350 Immigration Bill 2007 (replicating the present s.149D Immigration Act 1987).  </w:t>
      </w:r>
    </w:p>
  </w:footnote>
  <w:footnote w:id="39">
    <w:p w:rsidR="00FE6F76" w:rsidRPr="00FE6F76" w:rsidRDefault="00FE6F76">
      <w:pPr>
        <w:pStyle w:val="FootnoteText"/>
        <w:rPr>
          <w:i/>
        </w:rPr>
      </w:pPr>
      <w:r>
        <w:rPr>
          <w:rStyle w:val="FootnoteReference"/>
        </w:rPr>
        <w:footnoteRef/>
      </w:r>
      <w:r>
        <w:t xml:space="preserve"> </w:t>
      </w:r>
      <w:r>
        <w:rPr>
          <w:i/>
        </w:rPr>
        <w:t xml:space="preserve">Attorney General v Zaoui </w:t>
      </w:r>
      <w:r w:rsidRPr="00FE6F76">
        <w:t>[2005] NZSC 38</w:t>
      </w:r>
    </w:p>
  </w:footnote>
  <w:footnote w:id="40">
    <w:p w:rsidR="004C4792" w:rsidRPr="004C4792" w:rsidRDefault="004C4792">
      <w:pPr>
        <w:pStyle w:val="FootnoteText"/>
      </w:pPr>
      <w:r>
        <w:rPr>
          <w:rStyle w:val="FootnoteReference"/>
        </w:rPr>
        <w:footnoteRef/>
      </w:r>
      <w:r>
        <w:t xml:space="preserve"> Supra, note 30.</w:t>
      </w:r>
    </w:p>
  </w:footnote>
  <w:footnote w:id="41">
    <w:p w:rsidR="00D54A7C" w:rsidRPr="00117EBE" w:rsidRDefault="00D54A7C" w:rsidP="00FE6C30">
      <w:pPr>
        <w:rPr>
          <w:sz w:val="20"/>
          <w:szCs w:val="20"/>
          <w:lang w:val="en-GB" w:eastAsia="en-GB"/>
        </w:rPr>
      </w:pPr>
      <w:r w:rsidRPr="00117EBE">
        <w:rPr>
          <w:rStyle w:val="FootnoteReference"/>
          <w:sz w:val="20"/>
          <w:szCs w:val="20"/>
        </w:rPr>
        <w:footnoteRef/>
      </w:r>
      <w:r w:rsidRPr="00117EBE">
        <w:rPr>
          <w:sz w:val="20"/>
          <w:szCs w:val="20"/>
        </w:rPr>
        <w:t xml:space="preserve"> </w:t>
      </w:r>
      <w:r w:rsidRPr="00FE6F76">
        <w:rPr>
          <w:i/>
          <w:sz w:val="20"/>
          <w:szCs w:val="20"/>
          <w:lang w:val="en-GB" w:eastAsia="en-GB"/>
        </w:rPr>
        <w:t>Hapimana, Taunoa &amp; Ors v Attorney General</w:t>
      </w:r>
      <w:r w:rsidRPr="00117EBE">
        <w:rPr>
          <w:sz w:val="20"/>
          <w:szCs w:val="20"/>
          <w:lang w:val="en-GB" w:eastAsia="en-GB"/>
        </w:rPr>
        <w:t xml:space="preserve"> [2007] NZSC 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FFFFFF89"/>
    <w:multiLevelType w:val="singleLevel"/>
    <w:tmpl w:val="6BBC9940"/>
    <w:lvl w:ilvl="0">
      <w:start w:val="1"/>
      <w:numFmt w:val="bullet"/>
      <w:pStyle w:val="Bullet"/>
      <w:lvlText w:val=""/>
      <w:lvlJc w:val="left"/>
      <w:pPr>
        <w:tabs>
          <w:tab w:val="num" w:pos="360"/>
        </w:tabs>
        <w:ind w:left="360" w:hanging="360"/>
      </w:pPr>
      <w:rPr>
        <w:rFonts w:ascii="Symbol" w:hAnsi="Symbol" w:hint="default"/>
      </w:rPr>
    </w:lvl>
  </w:abstractNum>
  <w:abstractNum w:abstractNumId="1">
    <w:nsid w:val="1F1A6E2D"/>
    <w:multiLevelType w:val="hybridMultilevel"/>
    <w:tmpl w:val="C7467F98"/>
    <w:lvl w:ilvl="0" w:tplc="74985CBA">
      <w:numFmt w:val="none"/>
      <w:pStyle w:val="Style11ptJustifiedRight-091cm"/>
      <w:lvlText w:val=""/>
      <w:lvlJc w:val="left"/>
      <w:pPr>
        <w:tabs>
          <w:tab w:val="num" w:pos="360"/>
        </w:tabs>
      </w:pPr>
    </w:lvl>
    <w:lvl w:ilvl="1" w:tplc="D548D55E" w:tentative="1">
      <w:start w:val="1"/>
      <w:numFmt w:val="lowerLetter"/>
      <w:lvlText w:val="%2."/>
      <w:lvlJc w:val="left"/>
      <w:pPr>
        <w:tabs>
          <w:tab w:val="num" w:pos="1440"/>
        </w:tabs>
        <w:ind w:left="1440" w:hanging="360"/>
      </w:pPr>
    </w:lvl>
    <w:lvl w:ilvl="2" w:tplc="0EFC4330" w:tentative="1">
      <w:start w:val="1"/>
      <w:numFmt w:val="lowerRoman"/>
      <w:lvlText w:val="%3."/>
      <w:lvlJc w:val="right"/>
      <w:pPr>
        <w:tabs>
          <w:tab w:val="num" w:pos="2160"/>
        </w:tabs>
        <w:ind w:left="2160" w:hanging="180"/>
      </w:pPr>
    </w:lvl>
    <w:lvl w:ilvl="3" w:tplc="01D22E8A" w:tentative="1">
      <w:start w:val="1"/>
      <w:numFmt w:val="decimal"/>
      <w:lvlText w:val="%4."/>
      <w:lvlJc w:val="left"/>
      <w:pPr>
        <w:tabs>
          <w:tab w:val="num" w:pos="2880"/>
        </w:tabs>
        <w:ind w:left="2880" w:hanging="360"/>
      </w:pPr>
    </w:lvl>
    <w:lvl w:ilvl="4" w:tplc="E13A050E" w:tentative="1">
      <w:start w:val="1"/>
      <w:numFmt w:val="lowerLetter"/>
      <w:lvlText w:val="%5."/>
      <w:lvlJc w:val="left"/>
      <w:pPr>
        <w:tabs>
          <w:tab w:val="num" w:pos="3600"/>
        </w:tabs>
        <w:ind w:left="3600" w:hanging="360"/>
      </w:pPr>
    </w:lvl>
    <w:lvl w:ilvl="5" w:tplc="45505916" w:tentative="1">
      <w:start w:val="1"/>
      <w:numFmt w:val="lowerRoman"/>
      <w:lvlText w:val="%6."/>
      <w:lvlJc w:val="right"/>
      <w:pPr>
        <w:tabs>
          <w:tab w:val="num" w:pos="4320"/>
        </w:tabs>
        <w:ind w:left="4320" w:hanging="180"/>
      </w:pPr>
    </w:lvl>
    <w:lvl w:ilvl="6" w:tplc="FA90146C" w:tentative="1">
      <w:start w:val="1"/>
      <w:numFmt w:val="decimal"/>
      <w:lvlText w:val="%7."/>
      <w:lvlJc w:val="left"/>
      <w:pPr>
        <w:tabs>
          <w:tab w:val="num" w:pos="5040"/>
        </w:tabs>
        <w:ind w:left="5040" w:hanging="360"/>
      </w:pPr>
    </w:lvl>
    <w:lvl w:ilvl="7" w:tplc="D12E7742" w:tentative="1">
      <w:start w:val="1"/>
      <w:numFmt w:val="lowerLetter"/>
      <w:lvlText w:val="%8."/>
      <w:lvlJc w:val="left"/>
      <w:pPr>
        <w:tabs>
          <w:tab w:val="num" w:pos="5760"/>
        </w:tabs>
        <w:ind w:left="5760" w:hanging="360"/>
      </w:pPr>
    </w:lvl>
    <w:lvl w:ilvl="8" w:tplc="90E4EFC4" w:tentative="1">
      <w:start w:val="1"/>
      <w:numFmt w:val="lowerRoman"/>
      <w:lvlText w:val="%9."/>
      <w:lvlJc w:val="right"/>
      <w:pPr>
        <w:tabs>
          <w:tab w:val="num" w:pos="6480"/>
        </w:tabs>
        <w:ind w:left="6480" w:hanging="180"/>
      </w:pPr>
    </w:lvl>
  </w:abstractNum>
  <w:abstractNum w:abstractNumId="2">
    <w:nsid w:val="39233832"/>
    <w:multiLevelType w:val="multilevel"/>
    <w:tmpl w:val="9704EB56"/>
    <w:lvl w:ilvl="0">
      <w:start w:val="1"/>
      <w:numFmt w:val="decimal"/>
      <w:pStyle w:val="Heading1"/>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180151D"/>
    <w:multiLevelType w:val="hybridMultilevel"/>
    <w:tmpl w:val="45008FAE"/>
    <w:lvl w:ilvl="0" w:tplc="7D00F6A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stylePaneFormatFilter w:val="3F01"/>
  <w:defaultTabStop w:val="720"/>
  <w:characterSpacingControl w:val="doNotCompress"/>
  <w:footnotePr>
    <w:footnote w:id="-1"/>
    <w:footnote w:id="0"/>
  </w:footnotePr>
  <w:endnotePr>
    <w:endnote w:id="-1"/>
    <w:endnote w:id="0"/>
  </w:endnotePr>
  <w:compat/>
  <w:rsids>
    <w:rsidRoot w:val="009E32EA"/>
    <w:rsid w:val="00001C8D"/>
    <w:rsid w:val="00005DD5"/>
    <w:rsid w:val="00013F1C"/>
    <w:rsid w:val="000148FC"/>
    <w:rsid w:val="00014CB9"/>
    <w:rsid w:val="00015B32"/>
    <w:rsid w:val="000160A5"/>
    <w:rsid w:val="000224B5"/>
    <w:rsid w:val="000255B4"/>
    <w:rsid w:val="00026F65"/>
    <w:rsid w:val="00032A45"/>
    <w:rsid w:val="00034E0C"/>
    <w:rsid w:val="00037522"/>
    <w:rsid w:val="0004130B"/>
    <w:rsid w:val="00041E51"/>
    <w:rsid w:val="00041EB1"/>
    <w:rsid w:val="00043C98"/>
    <w:rsid w:val="00052AB3"/>
    <w:rsid w:val="000542A0"/>
    <w:rsid w:val="00054450"/>
    <w:rsid w:val="000602A4"/>
    <w:rsid w:val="000620D9"/>
    <w:rsid w:val="00062A4F"/>
    <w:rsid w:val="000662FE"/>
    <w:rsid w:val="000716BE"/>
    <w:rsid w:val="00085F15"/>
    <w:rsid w:val="00086B9E"/>
    <w:rsid w:val="000A1468"/>
    <w:rsid w:val="000A2055"/>
    <w:rsid w:val="000A2158"/>
    <w:rsid w:val="000A4A3D"/>
    <w:rsid w:val="000A6A7E"/>
    <w:rsid w:val="000A7928"/>
    <w:rsid w:val="000B11CD"/>
    <w:rsid w:val="000B4A38"/>
    <w:rsid w:val="000B6B20"/>
    <w:rsid w:val="000C2843"/>
    <w:rsid w:val="000C5ECA"/>
    <w:rsid w:val="000C67DE"/>
    <w:rsid w:val="000D09D5"/>
    <w:rsid w:val="000D7842"/>
    <w:rsid w:val="000E7BA8"/>
    <w:rsid w:val="000F53B3"/>
    <w:rsid w:val="000F770B"/>
    <w:rsid w:val="0011223A"/>
    <w:rsid w:val="00112B95"/>
    <w:rsid w:val="00113766"/>
    <w:rsid w:val="00115773"/>
    <w:rsid w:val="001164D1"/>
    <w:rsid w:val="00117EBE"/>
    <w:rsid w:val="0012112A"/>
    <w:rsid w:val="00122A9E"/>
    <w:rsid w:val="001245E3"/>
    <w:rsid w:val="00125259"/>
    <w:rsid w:val="00126E8B"/>
    <w:rsid w:val="00143AB2"/>
    <w:rsid w:val="0014671A"/>
    <w:rsid w:val="00146917"/>
    <w:rsid w:val="00151980"/>
    <w:rsid w:val="00151C4D"/>
    <w:rsid w:val="00152012"/>
    <w:rsid w:val="001531EE"/>
    <w:rsid w:val="0015361F"/>
    <w:rsid w:val="00157743"/>
    <w:rsid w:val="001613B6"/>
    <w:rsid w:val="00161AA3"/>
    <w:rsid w:val="00163371"/>
    <w:rsid w:val="00164F9F"/>
    <w:rsid w:val="00165D2C"/>
    <w:rsid w:val="0016607B"/>
    <w:rsid w:val="00166AE2"/>
    <w:rsid w:val="00167585"/>
    <w:rsid w:val="00171167"/>
    <w:rsid w:val="00181A0C"/>
    <w:rsid w:val="00190995"/>
    <w:rsid w:val="00191303"/>
    <w:rsid w:val="00193C3F"/>
    <w:rsid w:val="001A3F68"/>
    <w:rsid w:val="001A6048"/>
    <w:rsid w:val="001B0F49"/>
    <w:rsid w:val="001B4EC6"/>
    <w:rsid w:val="001C60C8"/>
    <w:rsid w:val="001C6C7A"/>
    <w:rsid w:val="001D0A55"/>
    <w:rsid w:val="001D4AF7"/>
    <w:rsid w:val="001E1F88"/>
    <w:rsid w:val="001E2A80"/>
    <w:rsid w:val="002001BE"/>
    <w:rsid w:val="00200A7F"/>
    <w:rsid w:val="00202733"/>
    <w:rsid w:val="00211330"/>
    <w:rsid w:val="00211A51"/>
    <w:rsid w:val="00213450"/>
    <w:rsid w:val="00217AE7"/>
    <w:rsid w:val="00223C78"/>
    <w:rsid w:val="00225CDB"/>
    <w:rsid w:val="0022615D"/>
    <w:rsid w:val="002272B8"/>
    <w:rsid w:val="00231B54"/>
    <w:rsid w:val="00234E6E"/>
    <w:rsid w:val="00237AB4"/>
    <w:rsid w:val="0024356C"/>
    <w:rsid w:val="00244D30"/>
    <w:rsid w:val="002455AC"/>
    <w:rsid w:val="002464E2"/>
    <w:rsid w:val="002561AA"/>
    <w:rsid w:val="0026403E"/>
    <w:rsid w:val="00264BC0"/>
    <w:rsid w:val="0027783A"/>
    <w:rsid w:val="00285725"/>
    <w:rsid w:val="002859D7"/>
    <w:rsid w:val="00285D92"/>
    <w:rsid w:val="00287E80"/>
    <w:rsid w:val="00287F3C"/>
    <w:rsid w:val="0029375B"/>
    <w:rsid w:val="00296DBD"/>
    <w:rsid w:val="002A23C5"/>
    <w:rsid w:val="002B17FC"/>
    <w:rsid w:val="002B1D05"/>
    <w:rsid w:val="002C0904"/>
    <w:rsid w:val="002C435D"/>
    <w:rsid w:val="002C460A"/>
    <w:rsid w:val="002D3EC7"/>
    <w:rsid w:val="002D6E22"/>
    <w:rsid w:val="002D7FC7"/>
    <w:rsid w:val="002E339C"/>
    <w:rsid w:val="002E7907"/>
    <w:rsid w:val="002F3988"/>
    <w:rsid w:val="00300D87"/>
    <w:rsid w:val="0031268B"/>
    <w:rsid w:val="003139F3"/>
    <w:rsid w:val="00313C99"/>
    <w:rsid w:val="00327653"/>
    <w:rsid w:val="0033309C"/>
    <w:rsid w:val="00334194"/>
    <w:rsid w:val="00341F31"/>
    <w:rsid w:val="00342ADA"/>
    <w:rsid w:val="0034710C"/>
    <w:rsid w:val="00347B67"/>
    <w:rsid w:val="00352A78"/>
    <w:rsid w:val="0035582C"/>
    <w:rsid w:val="00355F4A"/>
    <w:rsid w:val="00361BEE"/>
    <w:rsid w:val="00363834"/>
    <w:rsid w:val="00364EFB"/>
    <w:rsid w:val="003650B2"/>
    <w:rsid w:val="003716DE"/>
    <w:rsid w:val="00371A04"/>
    <w:rsid w:val="003740F5"/>
    <w:rsid w:val="00375265"/>
    <w:rsid w:val="00375D94"/>
    <w:rsid w:val="00382237"/>
    <w:rsid w:val="003839FF"/>
    <w:rsid w:val="0038531C"/>
    <w:rsid w:val="00390E78"/>
    <w:rsid w:val="003A3CA0"/>
    <w:rsid w:val="003A58BD"/>
    <w:rsid w:val="003B2CBE"/>
    <w:rsid w:val="003B53EA"/>
    <w:rsid w:val="003C1268"/>
    <w:rsid w:val="003C4E6C"/>
    <w:rsid w:val="003D13B3"/>
    <w:rsid w:val="003D337D"/>
    <w:rsid w:val="003D65B9"/>
    <w:rsid w:val="003E0C92"/>
    <w:rsid w:val="003E13C9"/>
    <w:rsid w:val="003E3473"/>
    <w:rsid w:val="003E6387"/>
    <w:rsid w:val="003E78CA"/>
    <w:rsid w:val="003F3C22"/>
    <w:rsid w:val="003F3DEF"/>
    <w:rsid w:val="00406148"/>
    <w:rsid w:val="00407D1B"/>
    <w:rsid w:val="004130B5"/>
    <w:rsid w:val="00413675"/>
    <w:rsid w:val="00413D15"/>
    <w:rsid w:val="00415A0E"/>
    <w:rsid w:val="00417913"/>
    <w:rsid w:val="00420104"/>
    <w:rsid w:val="00425782"/>
    <w:rsid w:val="00430D67"/>
    <w:rsid w:val="004325DB"/>
    <w:rsid w:val="004348F0"/>
    <w:rsid w:val="0044347F"/>
    <w:rsid w:val="004473DF"/>
    <w:rsid w:val="00466383"/>
    <w:rsid w:val="00466C36"/>
    <w:rsid w:val="004715F1"/>
    <w:rsid w:val="004729C9"/>
    <w:rsid w:val="00472B4C"/>
    <w:rsid w:val="00473FE6"/>
    <w:rsid w:val="00474CCA"/>
    <w:rsid w:val="00475506"/>
    <w:rsid w:val="00483A1A"/>
    <w:rsid w:val="00486265"/>
    <w:rsid w:val="00487DF9"/>
    <w:rsid w:val="00491FC5"/>
    <w:rsid w:val="004922A4"/>
    <w:rsid w:val="0049669E"/>
    <w:rsid w:val="00497219"/>
    <w:rsid w:val="004A3809"/>
    <w:rsid w:val="004A47BD"/>
    <w:rsid w:val="004B4248"/>
    <w:rsid w:val="004C3AC0"/>
    <w:rsid w:val="004C4792"/>
    <w:rsid w:val="004C4F12"/>
    <w:rsid w:val="004D0198"/>
    <w:rsid w:val="004D6111"/>
    <w:rsid w:val="004E31D1"/>
    <w:rsid w:val="004E4006"/>
    <w:rsid w:val="004E553A"/>
    <w:rsid w:val="004F0CF9"/>
    <w:rsid w:val="004F18B7"/>
    <w:rsid w:val="004F2E5A"/>
    <w:rsid w:val="004F76C4"/>
    <w:rsid w:val="00505485"/>
    <w:rsid w:val="00506272"/>
    <w:rsid w:val="00507834"/>
    <w:rsid w:val="005114E9"/>
    <w:rsid w:val="00513F71"/>
    <w:rsid w:val="0051472F"/>
    <w:rsid w:val="005236CA"/>
    <w:rsid w:val="00530537"/>
    <w:rsid w:val="00534CD1"/>
    <w:rsid w:val="00542862"/>
    <w:rsid w:val="00545CF9"/>
    <w:rsid w:val="00550AFB"/>
    <w:rsid w:val="00552621"/>
    <w:rsid w:val="00555B77"/>
    <w:rsid w:val="00556878"/>
    <w:rsid w:val="005623A4"/>
    <w:rsid w:val="0056560C"/>
    <w:rsid w:val="00565F73"/>
    <w:rsid w:val="00567C9E"/>
    <w:rsid w:val="0057273E"/>
    <w:rsid w:val="0058075F"/>
    <w:rsid w:val="0059068C"/>
    <w:rsid w:val="00592D51"/>
    <w:rsid w:val="00593CB7"/>
    <w:rsid w:val="00593CF6"/>
    <w:rsid w:val="0059511C"/>
    <w:rsid w:val="005955F1"/>
    <w:rsid w:val="00596606"/>
    <w:rsid w:val="005A1B85"/>
    <w:rsid w:val="005A2C83"/>
    <w:rsid w:val="005A3A51"/>
    <w:rsid w:val="005A3B5F"/>
    <w:rsid w:val="005A5E4F"/>
    <w:rsid w:val="005A7BFA"/>
    <w:rsid w:val="005B148E"/>
    <w:rsid w:val="005B2BA0"/>
    <w:rsid w:val="005B5ABC"/>
    <w:rsid w:val="005B77F6"/>
    <w:rsid w:val="005C3128"/>
    <w:rsid w:val="005D08FB"/>
    <w:rsid w:val="005F3377"/>
    <w:rsid w:val="005F6846"/>
    <w:rsid w:val="00600123"/>
    <w:rsid w:val="00606833"/>
    <w:rsid w:val="00612769"/>
    <w:rsid w:val="00614E98"/>
    <w:rsid w:val="00616B23"/>
    <w:rsid w:val="00622B81"/>
    <w:rsid w:val="006253BA"/>
    <w:rsid w:val="0062786B"/>
    <w:rsid w:val="00630219"/>
    <w:rsid w:val="00635C3F"/>
    <w:rsid w:val="00642E7E"/>
    <w:rsid w:val="006437BB"/>
    <w:rsid w:val="006448AB"/>
    <w:rsid w:val="006464FF"/>
    <w:rsid w:val="00652B07"/>
    <w:rsid w:val="00660897"/>
    <w:rsid w:val="00674F1F"/>
    <w:rsid w:val="0068257D"/>
    <w:rsid w:val="00685B7D"/>
    <w:rsid w:val="00685C61"/>
    <w:rsid w:val="006A5D71"/>
    <w:rsid w:val="006A6D15"/>
    <w:rsid w:val="006B26B3"/>
    <w:rsid w:val="006C20E2"/>
    <w:rsid w:val="006C3428"/>
    <w:rsid w:val="006C7176"/>
    <w:rsid w:val="006D1B6C"/>
    <w:rsid w:val="006D4D68"/>
    <w:rsid w:val="006D4F76"/>
    <w:rsid w:val="006D6462"/>
    <w:rsid w:val="006E6E4A"/>
    <w:rsid w:val="006E71F0"/>
    <w:rsid w:val="006F19D9"/>
    <w:rsid w:val="006F4312"/>
    <w:rsid w:val="006F5EC2"/>
    <w:rsid w:val="006F6172"/>
    <w:rsid w:val="006F73F7"/>
    <w:rsid w:val="007073E4"/>
    <w:rsid w:val="0070789F"/>
    <w:rsid w:val="00720DA8"/>
    <w:rsid w:val="00727CD4"/>
    <w:rsid w:val="0073031D"/>
    <w:rsid w:val="007307B4"/>
    <w:rsid w:val="00734769"/>
    <w:rsid w:val="007415C4"/>
    <w:rsid w:val="00741A5E"/>
    <w:rsid w:val="0074658B"/>
    <w:rsid w:val="0074764D"/>
    <w:rsid w:val="00747CDD"/>
    <w:rsid w:val="00757785"/>
    <w:rsid w:val="007622FD"/>
    <w:rsid w:val="0076525E"/>
    <w:rsid w:val="00772601"/>
    <w:rsid w:val="0077532B"/>
    <w:rsid w:val="00783BA1"/>
    <w:rsid w:val="0078645A"/>
    <w:rsid w:val="00787306"/>
    <w:rsid w:val="007A40FC"/>
    <w:rsid w:val="007B0CC6"/>
    <w:rsid w:val="007B6CBB"/>
    <w:rsid w:val="007C3031"/>
    <w:rsid w:val="007C58AE"/>
    <w:rsid w:val="007D1E7B"/>
    <w:rsid w:val="007D2B8B"/>
    <w:rsid w:val="007E0781"/>
    <w:rsid w:val="007E0E4E"/>
    <w:rsid w:val="007E10B2"/>
    <w:rsid w:val="007E77BF"/>
    <w:rsid w:val="007F04EE"/>
    <w:rsid w:val="007F0705"/>
    <w:rsid w:val="007F41CF"/>
    <w:rsid w:val="007F4D05"/>
    <w:rsid w:val="007F636E"/>
    <w:rsid w:val="008069E7"/>
    <w:rsid w:val="008069F6"/>
    <w:rsid w:val="00807B78"/>
    <w:rsid w:val="008101A8"/>
    <w:rsid w:val="00811CDC"/>
    <w:rsid w:val="00820C97"/>
    <w:rsid w:val="00833001"/>
    <w:rsid w:val="00833ADB"/>
    <w:rsid w:val="0084239F"/>
    <w:rsid w:val="00842F7E"/>
    <w:rsid w:val="00844AD1"/>
    <w:rsid w:val="00846893"/>
    <w:rsid w:val="008508C0"/>
    <w:rsid w:val="008525C7"/>
    <w:rsid w:val="00860CF6"/>
    <w:rsid w:val="0086228C"/>
    <w:rsid w:val="00862AEB"/>
    <w:rsid w:val="00862FD9"/>
    <w:rsid w:val="00864416"/>
    <w:rsid w:val="00866259"/>
    <w:rsid w:val="00870F6C"/>
    <w:rsid w:val="00871B6F"/>
    <w:rsid w:val="008805D3"/>
    <w:rsid w:val="00882E53"/>
    <w:rsid w:val="008853AE"/>
    <w:rsid w:val="008A4464"/>
    <w:rsid w:val="008A6CA7"/>
    <w:rsid w:val="008B1DE6"/>
    <w:rsid w:val="008B4753"/>
    <w:rsid w:val="008C142F"/>
    <w:rsid w:val="008C5985"/>
    <w:rsid w:val="008D5E2D"/>
    <w:rsid w:val="008D791C"/>
    <w:rsid w:val="008E3F11"/>
    <w:rsid w:val="008F36F0"/>
    <w:rsid w:val="008F532D"/>
    <w:rsid w:val="008F5652"/>
    <w:rsid w:val="00901C07"/>
    <w:rsid w:val="009034A9"/>
    <w:rsid w:val="00904AC5"/>
    <w:rsid w:val="00905D50"/>
    <w:rsid w:val="0091164A"/>
    <w:rsid w:val="00916327"/>
    <w:rsid w:val="00916E8F"/>
    <w:rsid w:val="00920170"/>
    <w:rsid w:val="00921A51"/>
    <w:rsid w:val="00927AB1"/>
    <w:rsid w:val="00947FD7"/>
    <w:rsid w:val="0095006D"/>
    <w:rsid w:val="0095027F"/>
    <w:rsid w:val="00950EB6"/>
    <w:rsid w:val="00951C55"/>
    <w:rsid w:val="009644F3"/>
    <w:rsid w:val="00966317"/>
    <w:rsid w:val="009704E2"/>
    <w:rsid w:val="00971B69"/>
    <w:rsid w:val="00972A05"/>
    <w:rsid w:val="00972ACC"/>
    <w:rsid w:val="00977BAB"/>
    <w:rsid w:val="009870BD"/>
    <w:rsid w:val="00992744"/>
    <w:rsid w:val="00997413"/>
    <w:rsid w:val="00997595"/>
    <w:rsid w:val="00997671"/>
    <w:rsid w:val="009B0164"/>
    <w:rsid w:val="009B3636"/>
    <w:rsid w:val="009C472B"/>
    <w:rsid w:val="009D2857"/>
    <w:rsid w:val="009D338B"/>
    <w:rsid w:val="009D5D79"/>
    <w:rsid w:val="009E32EA"/>
    <w:rsid w:val="009E6B4C"/>
    <w:rsid w:val="009F1435"/>
    <w:rsid w:val="00A00101"/>
    <w:rsid w:val="00A06A23"/>
    <w:rsid w:val="00A102C2"/>
    <w:rsid w:val="00A1252C"/>
    <w:rsid w:val="00A154FB"/>
    <w:rsid w:val="00A20EEB"/>
    <w:rsid w:val="00A21D0A"/>
    <w:rsid w:val="00A27C51"/>
    <w:rsid w:val="00A31829"/>
    <w:rsid w:val="00A33A80"/>
    <w:rsid w:val="00A350B7"/>
    <w:rsid w:val="00A36D9C"/>
    <w:rsid w:val="00A41E1E"/>
    <w:rsid w:val="00A43674"/>
    <w:rsid w:val="00A50D86"/>
    <w:rsid w:val="00A552FF"/>
    <w:rsid w:val="00A63BA2"/>
    <w:rsid w:val="00A63EEF"/>
    <w:rsid w:val="00A6462A"/>
    <w:rsid w:val="00A711AF"/>
    <w:rsid w:val="00A776EA"/>
    <w:rsid w:val="00A807CA"/>
    <w:rsid w:val="00A8120A"/>
    <w:rsid w:val="00A82C91"/>
    <w:rsid w:val="00A85598"/>
    <w:rsid w:val="00A87D28"/>
    <w:rsid w:val="00A91E51"/>
    <w:rsid w:val="00A921DF"/>
    <w:rsid w:val="00A93363"/>
    <w:rsid w:val="00A95404"/>
    <w:rsid w:val="00A97ADE"/>
    <w:rsid w:val="00AA1C7D"/>
    <w:rsid w:val="00AA273A"/>
    <w:rsid w:val="00AA322C"/>
    <w:rsid w:val="00AC02DB"/>
    <w:rsid w:val="00AC338B"/>
    <w:rsid w:val="00AC54D8"/>
    <w:rsid w:val="00AE1AD8"/>
    <w:rsid w:val="00AE3FA1"/>
    <w:rsid w:val="00AE7597"/>
    <w:rsid w:val="00AF46FB"/>
    <w:rsid w:val="00AF5B81"/>
    <w:rsid w:val="00B014EE"/>
    <w:rsid w:val="00B01C11"/>
    <w:rsid w:val="00B03E65"/>
    <w:rsid w:val="00B1452F"/>
    <w:rsid w:val="00B31407"/>
    <w:rsid w:val="00B33312"/>
    <w:rsid w:val="00B339FA"/>
    <w:rsid w:val="00B34203"/>
    <w:rsid w:val="00B43CE1"/>
    <w:rsid w:val="00B4793F"/>
    <w:rsid w:val="00B47C0A"/>
    <w:rsid w:val="00B5040A"/>
    <w:rsid w:val="00B53EDE"/>
    <w:rsid w:val="00B567DA"/>
    <w:rsid w:val="00B60755"/>
    <w:rsid w:val="00B60CFA"/>
    <w:rsid w:val="00B65E0C"/>
    <w:rsid w:val="00B71A3B"/>
    <w:rsid w:val="00B7260D"/>
    <w:rsid w:val="00B73ACA"/>
    <w:rsid w:val="00B73FA8"/>
    <w:rsid w:val="00B76034"/>
    <w:rsid w:val="00B802F0"/>
    <w:rsid w:val="00B81F25"/>
    <w:rsid w:val="00B936CA"/>
    <w:rsid w:val="00B9654C"/>
    <w:rsid w:val="00BA5B5E"/>
    <w:rsid w:val="00BA7C85"/>
    <w:rsid w:val="00BB10F6"/>
    <w:rsid w:val="00BB1249"/>
    <w:rsid w:val="00BB7148"/>
    <w:rsid w:val="00BC1501"/>
    <w:rsid w:val="00BC370E"/>
    <w:rsid w:val="00BC3FFE"/>
    <w:rsid w:val="00BC4490"/>
    <w:rsid w:val="00BC53AA"/>
    <w:rsid w:val="00BD1FE4"/>
    <w:rsid w:val="00BD3570"/>
    <w:rsid w:val="00BD4216"/>
    <w:rsid w:val="00BD5F3F"/>
    <w:rsid w:val="00BE0D53"/>
    <w:rsid w:val="00BE1EDD"/>
    <w:rsid w:val="00BE2421"/>
    <w:rsid w:val="00BE3320"/>
    <w:rsid w:val="00BE6339"/>
    <w:rsid w:val="00BE7BDF"/>
    <w:rsid w:val="00BF063C"/>
    <w:rsid w:val="00BF4211"/>
    <w:rsid w:val="00BF5E46"/>
    <w:rsid w:val="00C045A2"/>
    <w:rsid w:val="00C106CD"/>
    <w:rsid w:val="00C15E7B"/>
    <w:rsid w:val="00C165A1"/>
    <w:rsid w:val="00C174F6"/>
    <w:rsid w:val="00C213A5"/>
    <w:rsid w:val="00C358AD"/>
    <w:rsid w:val="00C379E2"/>
    <w:rsid w:val="00C4004C"/>
    <w:rsid w:val="00C44C92"/>
    <w:rsid w:val="00C51B0A"/>
    <w:rsid w:val="00C55534"/>
    <w:rsid w:val="00C5625B"/>
    <w:rsid w:val="00C56D44"/>
    <w:rsid w:val="00C64298"/>
    <w:rsid w:val="00C657E4"/>
    <w:rsid w:val="00C7237F"/>
    <w:rsid w:val="00C72CD4"/>
    <w:rsid w:val="00C73A52"/>
    <w:rsid w:val="00C7460B"/>
    <w:rsid w:val="00C756F1"/>
    <w:rsid w:val="00C81E8B"/>
    <w:rsid w:val="00C90C3B"/>
    <w:rsid w:val="00C9139F"/>
    <w:rsid w:val="00C925AA"/>
    <w:rsid w:val="00C974CE"/>
    <w:rsid w:val="00C978BF"/>
    <w:rsid w:val="00CA01A2"/>
    <w:rsid w:val="00CA3677"/>
    <w:rsid w:val="00CA4544"/>
    <w:rsid w:val="00CA4636"/>
    <w:rsid w:val="00CA5B57"/>
    <w:rsid w:val="00CB0336"/>
    <w:rsid w:val="00CB24C6"/>
    <w:rsid w:val="00CB297B"/>
    <w:rsid w:val="00CB37F1"/>
    <w:rsid w:val="00CB650E"/>
    <w:rsid w:val="00CC7E88"/>
    <w:rsid w:val="00CD2905"/>
    <w:rsid w:val="00CD2AAD"/>
    <w:rsid w:val="00CD3A54"/>
    <w:rsid w:val="00CE013F"/>
    <w:rsid w:val="00CE2E47"/>
    <w:rsid w:val="00CE7BEE"/>
    <w:rsid w:val="00CF140C"/>
    <w:rsid w:val="00CF7F49"/>
    <w:rsid w:val="00D02050"/>
    <w:rsid w:val="00D05C7F"/>
    <w:rsid w:val="00D07A56"/>
    <w:rsid w:val="00D13280"/>
    <w:rsid w:val="00D15164"/>
    <w:rsid w:val="00D154C3"/>
    <w:rsid w:val="00D15A27"/>
    <w:rsid w:val="00D21D37"/>
    <w:rsid w:val="00D253B6"/>
    <w:rsid w:val="00D26C86"/>
    <w:rsid w:val="00D27836"/>
    <w:rsid w:val="00D33083"/>
    <w:rsid w:val="00D3595E"/>
    <w:rsid w:val="00D37773"/>
    <w:rsid w:val="00D40FB0"/>
    <w:rsid w:val="00D51238"/>
    <w:rsid w:val="00D54A7C"/>
    <w:rsid w:val="00D60BE0"/>
    <w:rsid w:val="00D61AA1"/>
    <w:rsid w:val="00D61CA8"/>
    <w:rsid w:val="00D6796D"/>
    <w:rsid w:val="00D74D17"/>
    <w:rsid w:val="00D83D9C"/>
    <w:rsid w:val="00D84B1D"/>
    <w:rsid w:val="00D86BEF"/>
    <w:rsid w:val="00D86C71"/>
    <w:rsid w:val="00D914CC"/>
    <w:rsid w:val="00D914E7"/>
    <w:rsid w:val="00D925A0"/>
    <w:rsid w:val="00D971A1"/>
    <w:rsid w:val="00DA0053"/>
    <w:rsid w:val="00DA14A4"/>
    <w:rsid w:val="00DA1E3D"/>
    <w:rsid w:val="00DA5C05"/>
    <w:rsid w:val="00DC0FCC"/>
    <w:rsid w:val="00DC1082"/>
    <w:rsid w:val="00DC1FAF"/>
    <w:rsid w:val="00DC2D0B"/>
    <w:rsid w:val="00DC3518"/>
    <w:rsid w:val="00DC48F4"/>
    <w:rsid w:val="00DC5DC0"/>
    <w:rsid w:val="00DD46DB"/>
    <w:rsid w:val="00DE082C"/>
    <w:rsid w:val="00DE2338"/>
    <w:rsid w:val="00DE45AB"/>
    <w:rsid w:val="00DE5B63"/>
    <w:rsid w:val="00DE716F"/>
    <w:rsid w:val="00DF329E"/>
    <w:rsid w:val="00DF38E7"/>
    <w:rsid w:val="00DF6715"/>
    <w:rsid w:val="00DF73D4"/>
    <w:rsid w:val="00E070ED"/>
    <w:rsid w:val="00E14D7D"/>
    <w:rsid w:val="00E25CB7"/>
    <w:rsid w:val="00E3096F"/>
    <w:rsid w:val="00E32C2D"/>
    <w:rsid w:val="00E34C0B"/>
    <w:rsid w:val="00E35DF4"/>
    <w:rsid w:val="00E36A3A"/>
    <w:rsid w:val="00E46A4B"/>
    <w:rsid w:val="00E5232F"/>
    <w:rsid w:val="00E52EAE"/>
    <w:rsid w:val="00E56511"/>
    <w:rsid w:val="00E56A99"/>
    <w:rsid w:val="00E625C2"/>
    <w:rsid w:val="00E62AA2"/>
    <w:rsid w:val="00E639AE"/>
    <w:rsid w:val="00E64440"/>
    <w:rsid w:val="00E7422D"/>
    <w:rsid w:val="00E74F4A"/>
    <w:rsid w:val="00E831F3"/>
    <w:rsid w:val="00E86E34"/>
    <w:rsid w:val="00E91219"/>
    <w:rsid w:val="00E92BF4"/>
    <w:rsid w:val="00E93A73"/>
    <w:rsid w:val="00E95BA6"/>
    <w:rsid w:val="00EA377E"/>
    <w:rsid w:val="00EA748F"/>
    <w:rsid w:val="00EB193D"/>
    <w:rsid w:val="00EC0DC7"/>
    <w:rsid w:val="00EC1BC9"/>
    <w:rsid w:val="00ED70CE"/>
    <w:rsid w:val="00EE6C19"/>
    <w:rsid w:val="00EF40B7"/>
    <w:rsid w:val="00EF7A2A"/>
    <w:rsid w:val="00EF7BDE"/>
    <w:rsid w:val="00F021C6"/>
    <w:rsid w:val="00F02699"/>
    <w:rsid w:val="00F0444C"/>
    <w:rsid w:val="00F11A57"/>
    <w:rsid w:val="00F11B08"/>
    <w:rsid w:val="00F1240B"/>
    <w:rsid w:val="00F1291A"/>
    <w:rsid w:val="00F13913"/>
    <w:rsid w:val="00F149F6"/>
    <w:rsid w:val="00F17F22"/>
    <w:rsid w:val="00F21BA4"/>
    <w:rsid w:val="00F23E2A"/>
    <w:rsid w:val="00F24A4B"/>
    <w:rsid w:val="00F31D38"/>
    <w:rsid w:val="00F3620D"/>
    <w:rsid w:val="00F36B30"/>
    <w:rsid w:val="00F36BB5"/>
    <w:rsid w:val="00F441B3"/>
    <w:rsid w:val="00F47DA3"/>
    <w:rsid w:val="00F503F6"/>
    <w:rsid w:val="00F50ACB"/>
    <w:rsid w:val="00F568D4"/>
    <w:rsid w:val="00F615B6"/>
    <w:rsid w:val="00F65ADD"/>
    <w:rsid w:val="00F664FC"/>
    <w:rsid w:val="00F67E1B"/>
    <w:rsid w:val="00F72279"/>
    <w:rsid w:val="00F81293"/>
    <w:rsid w:val="00F830AC"/>
    <w:rsid w:val="00FB6F8C"/>
    <w:rsid w:val="00FC0A7A"/>
    <w:rsid w:val="00FC1525"/>
    <w:rsid w:val="00FC1633"/>
    <w:rsid w:val="00FC3429"/>
    <w:rsid w:val="00FC7D1D"/>
    <w:rsid w:val="00FD27AB"/>
    <w:rsid w:val="00FE416D"/>
    <w:rsid w:val="00FE5561"/>
    <w:rsid w:val="00FE6C30"/>
    <w:rsid w:val="00FE6F76"/>
    <w:rsid w:val="00FE72D2"/>
    <w:rsid w:val="00FF43AA"/>
    <w:rsid w:val="00FF45A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5B6"/>
    <w:rPr>
      <w:rFonts w:ascii="Arial" w:hAnsi="Arial"/>
      <w:sz w:val="24"/>
      <w:szCs w:val="24"/>
      <w:lang w:val="en-AU" w:eastAsia="en-US"/>
    </w:rPr>
  </w:style>
  <w:style w:type="paragraph" w:styleId="Heading1">
    <w:name w:val="heading 1"/>
    <w:basedOn w:val="Normal"/>
    <w:next w:val="Normal"/>
    <w:autoRedefine/>
    <w:qFormat/>
    <w:rsid w:val="000542A0"/>
    <w:pPr>
      <w:keepNext/>
      <w:numPr>
        <w:numId w:val="3"/>
      </w:numPr>
      <w:tabs>
        <w:tab w:val="clear" w:pos="720"/>
        <w:tab w:val="num" w:pos="540"/>
      </w:tabs>
      <w:spacing w:before="240" w:after="60"/>
      <w:ind w:left="540" w:hanging="540"/>
      <w:outlineLvl w:val="0"/>
    </w:pPr>
    <w:rPr>
      <w:rFonts w:cs="Arial"/>
      <w:b/>
      <w:bCs/>
      <w:kern w:val="32"/>
      <w:sz w:val="28"/>
      <w:szCs w:val="28"/>
      <w:lang w:val="en-NZ" w:eastAsia="en-NZ"/>
    </w:rPr>
  </w:style>
  <w:style w:type="paragraph" w:styleId="Heading2">
    <w:name w:val="heading 2"/>
    <w:basedOn w:val="Normal"/>
    <w:next w:val="Normal"/>
    <w:autoRedefine/>
    <w:qFormat/>
    <w:rsid w:val="00BA5B5E"/>
    <w:pPr>
      <w:keepNext/>
      <w:spacing w:before="240" w:after="60"/>
      <w:outlineLvl w:val="1"/>
    </w:pPr>
    <w:rPr>
      <w:rFonts w:cs="Arial"/>
      <w:b/>
      <w:bCs/>
      <w:iCs/>
      <w:lang w:val="en-GB" w:eastAsia="en-GB"/>
    </w:rPr>
  </w:style>
  <w:style w:type="paragraph" w:styleId="Heading3">
    <w:name w:val="heading 3"/>
    <w:basedOn w:val="Normal"/>
    <w:next w:val="Normal"/>
    <w:qFormat/>
    <w:rsid w:val="00BA5B5E"/>
    <w:pPr>
      <w:keepNext/>
      <w:spacing w:before="240" w:after="60"/>
      <w:outlineLvl w:val="2"/>
    </w:pPr>
    <w:rPr>
      <w:rFonts w:cs="Arial"/>
      <w:b/>
      <w:bCs/>
      <w:i/>
      <w:szCs w:val="26"/>
    </w:rPr>
  </w:style>
  <w:style w:type="paragraph" w:styleId="Heading5">
    <w:name w:val="heading 5"/>
    <w:basedOn w:val="Normal"/>
    <w:next w:val="Normal"/>
    <w:qFormat/>
    <w:rsid w:val="00E91219"/>
    <w:pPr>
      <w:spacing w:before="240" w:after="60"/>
      <w:outlineLvl w:val="4"/>
    </w:pPr>
    <w:rPr>
      <w:b/>
      <w:bCs/>
      <w:i/>
      <w:i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E32EA"/>
    <w:rPr>
      <w:sz w:val="20"/>
      <w:szCs w:val="20"/>
    </w:rPr>
  </w:style>
  <w:style w:type="character" w:styleId="FootnoteReference">
    <w:name w:val="footnote reference"/>
    <w:basedOn w:val="DefaultParagraphFont"/>
    <w:semiHidden/>
    <w:rsid w:val="009E32EA"/>
    <w:rPr>
      <w:vertAlign w:val="superscript"/>
    </w:rPr>
  </w:style>
  <w:style w:type="paragraph" w:customStyle="1" w:styleId="Bullet">
    <w:name w:val="Bullet"/>
    <w:basedOn w:val="ListBullet"/>
    <w:rsid w:val="00C44C92"/>
    <w:pPr>
      <w:spacing w:after="60"/>
    </w:pPr>
    <w:rPr>
      <w:szCs w:val="20"/>
      <w:lang w:val="en-NZ" w:eastAsia="en-NZ"/>
    </w:rPr>
  </w:style>
  <w:style w:type="paragraph" w:styleId="ListBullet">
    <w:name w:val="List Bullet"/>
    <w:basedOn w:val="Normal"/>
    <w:rsid w:val="00C44C92"/>
    <w:pPr>
      <w:numPr>
        <w:numId w:val="1"/>
      </w:numPr>
    </w:pPr>
  </w:style>
  <w:style w:type="paragraph" w:styleId="NormalWeb">
    <w:name w:val="Normal (Web)"/>
    <w:basedOn w:val="Normal"/>
    <w:rsid w:val="008C5985"/>
    <w:pPr>
      <w:spacing w:before="100" w:beforeAutospacing="1" w:after="240"/>
    </w:pPr>
    <w:rPr>
      <w:lang w:val="en-GB" w:eastAsia="en-GB"/>
    </w:rPr>
  </w:style>
  <w:style w:type="paragraph" w:styleId="TOC1">
    <w:name w:val="toc 1"/>
    <w:basedOn w:val="Normal"/>
    <w:next w:val="Normal"/>
    <w:autoRedefine/>
    <w:uiPriority w:val="39"/>
    <w:rsid w:val="000542A0"/>
    <w:pPr>
      <w:tabs>
        <w:tab w:val="left" w:pos="0"/>
        <w:tab w:val="right" w:leader="dot" w:pos="8296"/>
      </w:tabs>
      <w:ind w:left="540" w:hanging="540"/>
    </w:pPr>
  </w:style>
  <w:style w:type="paragraph" w:styleId="TOC2">
    <w:name w:val="toc 2"/>
    <w:basedOn w:val="Normal"/>
    <w:next w:val="Normal"/>
    <w:autoRedefine/>
    <w:uiPriority w:val="39"/>
    <w:rsid w:val="00862AEB"/>
    <w:pPr>
      <w:tabs>
        <w:tab w:val="right" w:leader="dot" w:pos="8296"/>
      </w:tabs>
      <w:ind w:left="540"/>
    </w:pPr>
  </w:style>
  <w:style w:type="character" w:styleId="Hyperlink">
    <w:name w:val="Hyperlink"/>
    <w:basedOn w:val="DefaultParagraphFont"/>
    <w:uiPriority w:val="99"/>
    <w:rsid w:val="0077532B"/>
    <w:rPr>
      <w:color w:val="0000FF"/>
      <w:u w:val="single"/>
    </w:rPr>
  </w:style>
  <w:style w:type="paragraph" w:styleId="BodyText">
    <w:name w:val="Body Text"/>
    <w:basedOn w:val="Normal"/>
    <w:rsid w:val="00E56A99"/>
    <w:pPr>
      <w:spacing w:after="320" w:line="280" w:lineRule="exact"/>
    </w:pPr>
    <w:rPr>
      <w:sz w:val="20"/>
      <w:lang w:val="en-NZ" w:eastAsia="en-GB"/>
    </w:rPr>
  </w:style>
  <w:style w:type="table" w:styleId="TableGrid">
    <w:name w:val="Table Grid"/>
    <w:basedOn w:val="TableNormal"/>
    <w:rsid w:val="00966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33A80"/>
    <w:pPr>
      <w:tabs>
        <w:tab w:val="center" w:pos="4153"/>
        <w:tab w:val="right" w:pos="8306"/>
      </w:tabs>
    </w:pPr>
  </w:style>
  <w:style w:type="character" w:styleId="PageNumber">
    <w:name w:val="page number"/>
    <w:basedOn w:val="DefaultParagraphFont"/>
    <w:rsid w:val="00A33A80"/>
  </w:style>
  <w:style w:type="character" w:styleId="FollowedHyperlink">
    <w:name w:val="FollowedHyperlink"/>
    <w:basedOn w:val="DefaultParagraphFont"/>
    <w:rsid w:val="003E6387"/>
    <w:rPr>
      <w:color w:val="800080"/>
      <w:u w:val="single"/>
    </w:rPr>
  </w:style>
  <w:style w:type="character" w:styleId="Strong">
    <w:name w:val="Strong"/>
    <w:basedOn w:val="DefaultParagraphFont"/>
    <w:qFormat/>
    <w:rsid w:val="00844AD1"/>
    <w:rPr>
      <w:b/>
      <w:bCs/>
    </w:rPr>
  </w:style>
  <w:style w:type="paragraph" w:styleId="DocumentMap">
    <w:name w:val="Document Map"/>
    <w:basedOn w:val="Normal"/>
    <w:link w:val="DocumentMapChar"/>
    <w:rsid w:val="00550AFB"/>
    <w:rPr>
      <w:rFonts w:ascii="Tahoma" w:hAnsi="Tahoma" w:cs="Tahoma"/>
      <w:sz w:val="16"/>
      <w:szCs w:val="16"/>
    </w:rPr>
  </w:style>
  <w:style w:type="character" w:customStyle="1" w:styleId="DocumentMapChar">
    <w:name w:val="Document Map Char"/>
    <w:basedOn w:val="DefaultParagraphFont"/>
    <w:link w:val="DocumentMap"/>
    <w:rsid w:val="00550AFB"/>
    <w:rPr>
      <w:rFonts w:ascii="Tahoma" w:hAnsi="Tahoma" w:cs="Tahoma"/>
      <w:sz w:val="16"/>
      <w:szCs w:val="16"/>
      <w:lang w:val="en-AU"/>
    </w:rPr>
  </w:style>
  <w:style w:type="paragraph" w:customStyle="1" w:styleId="BodyCopy">
    <w:name w:val="Body Copy"/>
    <w:basedOn w:val="Normal"/>
    <w:autoRedefine/>
    <w:rsid w:val="00472B4C"/>
    <w:pPr>
      <w:widowControl w:val="0"/>
      <w:tabs>
        <w:tab w:val="left" w:pos="4118"/>
        <w:tab w:val="left" w:pos="7384"/>
      </w:tabs>
      <w:suppressAutoHyphens/>
      <w:autoSpaceDE w:val="0"/>
      <w:autoSpaceDN w:val="0"/>
      <w:adjustRightInd w:val="0"/>
      <w:ind w:left="1080"/>
      <w:jc w:val="both"/>
      <w:textAlignment w:val="center"/>
    </w:pPr>
    <w:rPr>
      <w:color w:val="000000"/>
      <w:sz w:val="20"/>
      <w:szCs w:val="20"/>
      <w:lang w:val="en-GB"/>
    </w:rPr>
  </w:style>
  <w:style w:type="paragraph" w:customStyle="1" w:styleId="Quotes">
    <w:name w:val="Quotes"/>
    <w:basedOn w:val="Normal"/>
    <w:rsid w:val="000148FC"/>
    <w:pPr>
      <w:widowControl w:val="0"/>
      <w:suppressAutoHyphens/>
      <w:autoSpaceDE w:val="0"/>
      <w:autoSpaceDN w:val="0"/>
      <w:adjustRightInd w:val="0"/>
      <w:spacing w:line="280" w:lineRule="atLeast"/>
      <w:textAlignment w:val="center"/>
    </w:pPr>
    <w:rPr>
      <w:rFonts w:ascii="MyriadPro-It" w:hAnsi="MyriadPro-It"/>
      <w:i/>
      <w:color w:val="003A6D"/>
      <w:sz w:val="20"/>
      <w:szCs w:val="20"/>
      <w:lang w:val="en-GB"/>
    </w:rPr>
  </w:style>
  <w:style w:type="paragraph" w:styleId="TOC3">
    <w:name w:val="toc 3"/>
    <w:basedOn w:val="Normal"/>
    <w:next w:val="Normal"/>
    <w:autoRedefine/>
    <w:semiHidden/>
    <w:rsid w:val="00862AEB"/>
    <w:pPr>
      <w:tabs>
        <w:tab w:val="right" w:leader="dot" w:pos="8296"/>
      </w:tabs>
      <w:ind w:left="900"/>
    </w:pPr>
  </w:style>
  <w:style w:type="paragraph" w:customStyle="1" w:styleId="Style11ptJustifiedRight-091cm">
    <w:name w:val="Style 11 pt Justified Right:  -0.91 cm"/>
    <w:basedOn w:val="Normal"/>
    <w:autoRedefine/>
    <w:rsid w:val="00E070ED"/>
    <w:pPr>
      <w:numPr>
        <w:numId w:val="4"/>
      </w:numPr>
      <w:ind w:right="-514"/>
      <w:jc w:val="both"/>
    </w:pPr>
    <w:rPr>
      <w:sz w:val="22"/>
      <w:szCs w:val="20"/>
    </w:rPr>
  </w:style>
  <w:style w:type="paragraph" w:styleId="Header">
    <w:name w:val="header"/>
    <w:basedOn w:val="Normal"/>
    <w:rsid w:val="00A91E5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255335362">
      <w:bodyDiv w:val="1"/>
      <w:marLeft w:val="0"/>
      <w:marRight w:val="0"/>
      <w:marTop w:val="0"/>
      <w:marBottom w:val="0"/>
      <w:divBdr>
        <w:top w:val="none" w:sz="0" w:space="0" w:color="auto"/>
        <w:left w:val="none" w:sz="0" w:space="0" w:color="auto"/>
        <w:bottom w:val="none" w:sz="0" w:space="0" w:color="auto"/>
        <w:right w:val="none" w:sz="0" w:space="0" w:color="auto"/>
      </w:divBdr>
      <w:divsChild>
        <w:div w:id="1383670927">
          <w:marLeft w:val="0"/>
          <w:marRight w:val="0"/>
          <w:marTop w:val="0"/>
          <w:marBottom w:val="0"/>
          <w:divBdr>
            <w:top w:val="none" w:sz="0" w:space="0" w:color="auto"/>
            <w:left w:val="single" w:sz="8" w:space="0" w:color="C9C9C9"/>
            <w:bottom w:val="none" w:sz="0" w:space="0" w:color="auto"/>
            <w:right w:val="single" w:sz="8" w:space="0" w:color="C9C9C9"/>
          </w:divBdr>
          <w:divsChild>
            <w:div w:id="1322780808">
              <w:marLeft w:val="-300"/>
              <w:marRight w:val="-300"/>
              <w:marTop w:val="0"/>
              <w:marBottom w:val="0"/>
              <w:divBdr>
                <w:top w:val="none" w:sz="0" w:space="0" w:color="auto"/>
                <w:left w:val="none" w:sz="0" w:space="0" w:color="auto"/>
                <w:bottom w:val="none" w:sz="0" w:space="0" w:color="auto"/>
                <w:right w:val="none" w:sz="0" w:space="0" w:color="auto"/>
              </w:divBdr>
              <w:divsChild>
                <w:div w:id="953055786">
                  <w:marLeft w:val="5200"/>
                  <w:marRight w:val="5200"/>
                  <w:marTop w:val="0"/>
                  <w:marBottom w:val="0"/>
                  <w:divBdr>
                    <w:top w:val="none" w:sz="0" w:space="0" w:color="auto"/>
                    <w:left w:val="none" w:sz="0" w:space="0" w:color="auto"/>
                    <w:bottom w:val="none" w:sz="0" w:space="0" w:color="auto"/>
                    <w:right w:val="none" w:sz="0" w:space="0" w:color="auto"/>
                  </w:divBdr>
                  <w:divsChild>
                    <w:div w:id="1938097854">
                      <w:marLeft w:val="0"/>
                      <w:marRight w:val="0"/>
                      <w:marTop w:val="0"/>
                      <w:marBottom w:val="0"/>
                      <w:divBdr>
                        <w:top w:val="none" w:sz="0" w:space="0" w:color="auto"/>
                        <w:left w:val="none" w:sz="0" w:space="0" w:color="auto"/>
                        <w:bottom w:val="none" w:sz="0" w:space="0" w:color="auto"/>
                        <w:right w:val="none" w:sz="0" w:space="0" w:color="auto"/>
                      </w:divBdr>
                      <w:divsChild>
                        <w:div w:id="4360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1367">
      <w:bodyDiv w:val="1"/>
      <w:marLeft w:val="0"/>
      <w:marRight w:val="0"/>
      <w:marTop w:val="0"/>
      <w:marBottom w:val="0"/>
      <w:divBdr>
        <w:top w:val="none" w:sz="0" w:space="0" w:color="auto"/>
        <w:left w:val="none" w:sz="0" w:space="0" w:color="auto"/>
        <w:bottom w:val="none" w:sz="0" w:space="0" w:color="auto"/>
        <w:right w:val="none" w:sz="0" w:space="0" w:color="auto"/>
      </w:divBdr>
      <w:divsChild>
        <w:div w:id="675111943">
          <w:marLeft w:val="0"/>
          <w:marRight w:val="0"/>
          <w:marTop w:val="0"/>
          <w:marBottom w:val="0"/>
          <w:divBdr>
            <w:top w:val="none" w:sz="0" w:space="0" w:color="auto"/>
            <w:left w:val="single" w:sz="6" w:space="0" w:color="C9C9C9"/>
            <w:bottom w:val="none" w:sz="0" w:space="0" w:color="auto"/>
            <w:right w:val="single" w:sz="6" w:space="0" w:color="C9C9C9"/>
          </w:divBdr>
          <w:divsChild>
            <w:div w:id="1901671519">
              <w:marLeft w:val="-263"/>
              <w:marRight w:val="-263"/>
              <w:marTop w:val="0"/>
              <w:marBottom w:val="0"/>
              <w:divBdr>
                <w:top w:val="none" w:sz="0" w:space="0" w:color="auto"/>
                <w:left w:val="none" w:sz="0" w:space="0" w:color="auto"/>
                <w:bottom w:val="none" w:sz="0" w:space="0" w:color="auto"/>
                <w:right w:val="none" w:sz="0" w:space="0" w:color="auto"/>
              </w:divBdr>
              <w:divsChild>
                <w:div w:id="264045908">
                  <w:marLeft w:val="4566"/>
                  <w:marRight w:val="4566"/>
                  <w:marTop w:val="0"/>
                  <w:marBottom w:val="0"/>
                  <w:divBdr>
                    <w:top w:val="none" w:sz="0" w:space="0" w:color="auto"/>
                    <w:left w:val="none" w:sz="0" w:space="0" w:color="auto"/>
                    <w:bottom w:val="none" w:sz="0" w:space="0" w:color="auto"/>
                    <w:right w:val="none" w:sz="0" w:space="0" w:color="auto"/>
                  </w:divBdr>
                </w:div>
              </w:divsChild>
            </w:div>
          </w:divsChild>
        </w:div>
      </w:divsChild>
    </w:div>
    <w:div w:id="320888991">
      <w:bodyDiv w:val="1"/>
      <w:marLeft w:val="0"/>
      <w:marRight w:val="0"/>
      <w:marTop w:val="0"/>
      <w:marBottom w:val="0"/>
      <w:divBdr>
        <w:top w:val="none" w:sz="0" w:space="0" w:color="auto"/>
        <w:left w:val="none" w:sz="0" w:space="0" w:color="auto"/>
        <w:bottom w:val="none" w:sz="0" w:space="0" w:color="auto"/>
        <w:right w:val="none" w:sz="0" w:space="0" w:color="auto"/>
      </w:divBdr>
      <w:divsChild>
        <w:div w:id="1172529232">
          <w:marLeft w:val="0"/>
          <w:marRight w:val="0"/>
          <w:marTop w:val="0"/>
          <w:marBottom w:val="0"/>
          <w:divBdr>
            <w:top w:val="none" w:sz="0" w:space="0" w:color="auto"/>
            <w:left w:val="none" w:sz="0" w:space="0" w:color="auto"/>
            <w:bottom w:val="none" w:sz="0" w:space="0" w:color="auto"/>
            <w:right w:val="none" w:sz="0" w:space="0" w:color="auto"/>
          </w:divBdr>
          <w:divsChild>
            <w:div w:id="1174805471">
              <w:marLeft w:val="3161"/>
              <w:marRight w:val="0"/>
              <w:marTop w:val="263"/>
              <w:marBottom w:val="0"/>
              <w:divBdr>
                <w:top w:val="none" w:sz="0" w:space="0" w:color="auto"/>
                <w:left w:val="none" w:sz="0" w:space="0" w:color="auto"/>
                <w:bottom w:val="none" w:sz="0" w:space="0" w:color="auto"/>
                <w:right w:val="none" w:sz="0" w:space="0" w:color="auto"/>
              </w:divBdr>
              <w:divsChild>
                <w:div w:id="18040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9064">
      <w:bodyDiv w:val="1"/>
      <w:marLeft w:val="0"/>
      <w:marRight w:val="0"/>
      <w:marTop w:val="0"/>
      <w:marBottom w:val="0"/>
      <w:divBdr>
        <w:top w:val="none" w:sz="0" w:space="0" w:color="auto"/>
        <w:left w:val="none" w:sz="0" w:space="0" w:color="auto"/>
        <w:bottom w:val="none" w:sz="0" w:space="0" w:color="auto"/>
        <w:right w:val="none" w:sz="0" w:space="0" w:color="auto"/>
      </w:divBdr>
      <w:divsChild>
        <w:div w:id="1702168077">
          <w:marLeft w:val="0"/>
          <w:marRight w:val="0"/>
          <w:marTop w:val="0"/>
          <w:marBottom w:val="0"/>
          <w:divBdr>
            <w:top w:val="none" w:sz="0" w:space="0" w:color="auto"/>
            <w:left w:val="none" w:sz="0" w:space="0" w:color="auto"/>
            <w:bottom w:val="none" w:sz="0" w:space="0" w:color="auto"/>
            <w:right w:val="none" w:sz="0" w:space="0" w:color="auto"/>
          </w:divBdr>
          <w:divsChild>
            <w:div w:id="275721655">
              <w:marLeft w:val="0"/>
              <w:marRight w:val="0"/>
              <w:marTop w:val="0"/>
              <w:marBottom w:val="0"/>
              <w:divBdr>
                <w:top w:val="none" w:sz="0" w:space="0" w:color="auto"/>
                <w:left w:val="none" w:sz="0" w:space="0" w:color="auto"/>
                <w:bottom w:val="none" w:sz="0" w:space="0" w:color="auto"/>
                <w:right w:val="none" w:sz="0" w:space="0" w:color="auto"/>
              </w:divBdr>
            </w:div>
            <w:div w:id="781193343">
              <w:marLeft w:val="0"/>
              <w:marRight w:val="0"/>
              <w:marTop w:val="0"/>
              <w:marBottom w:val="0"/>
              <w:divBdr>
                <w:top w:val="none" w:sz="0" w:space="0" w:color="auto"/>
                <w:left w:val="none" w:sz="0" w:space="0" w:color="auto"/>
                <w:bottom w:val="none" w:sz="0" w:space="0" w:color="auto"/>
                <w:right w:val="none" w:sz="0" w:space="0" w:color="auto"/>
              </w:divBdr>
            </w:div>
            <w:div w:id="1214122559">
              <w:marLeft w:val="0"/>
              <w:marRight w:val="0"/>
              <w:marTop w:val="0"/>
              <w:marBottom w:val="0"/>
              <w:divBdr>
                <w:top w:val="none" w:sz="0" w:space="0" w:color="auto"/>
                <w:left w:val="none" w:sz="0" w:space="0" w:color="auto"/>
                <w:bottom w:val="none" w:sz="0" w:space="0" w:color="auto"/>
                <w:right w:val="none" w:sz="0" w:space="0" w:color="auto"/>
              </w:divBdr>
            </w:div>
            <w:div w:id="14428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4767">
      <w:bodyDiv w:val="1"/>
      <w:marLeft w:val="0"/>
      <w:marRight w:val="0"/>
      <w:marTop w:val="0"/>
      <w:marBottom w:val="0"/>
      <w:divBdr>
        <w:top w:val="none" w:sz="0" w:space="0" w:color="auto"/>
        <w:left w:val="none" w:sz="0" w:space="0" w:color="auto"/>
        <w:bottom w:val="none" w:sz="0" w:space="0" w:color="auto"/>
        <w:right w:val="none" w:sz="0" w:space="0" w:color="auto"/>
      </w:divBdr>
      <w:divsChild>
        <w:div w:id="1900088469">
          <w:marLeft w:val="0"/>
          <w:marRight w:val="0"/>
          <w:marTop w:val="0"/>
          <w:marBottom w:val="0"/>
          <w:divBdr>
            <w:top w:val="none" w:sz="0" w:space="0" w:color="auto"/>
            <w:left w:val="none" w:sz="0" w:space="0" w:color="auto"/>
            <w:bottom w:val="none" w:sz="0" w:space="0" w:color="auto"/>
            <w:right w:val="none" w:sz="0" w:space="0" w:color="auto"/>
          </w:divBdr>
          <w:divsChild>
            <w:div w:id="9466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7610">
      <w:bodyDiv w:val="1"/>
      <w:marLeft w:val="0"/>
      <w:marRight w:val="0"/>
      <w:marTop w:val="0"/>
      <w:marBottom w:val="0"/>
      <w:divBdr>
        <w:top w:val="none" w:sz="0" w:space="0" w:color="auto"/>
        <w:left w:val="none" w:sz="0" w:space="0" w:color="auto"/>
        <w:bottom w:val="none" w:sz="0" w:space="0" w:color="auto"/>
        <w:right w:val="none" w:sz="0" w:space="0" w:color="auto"/>
      </w:divBdr>
      <w:divsChild>
        <w:div w:id="202447513">
          <w:marLeft w:val="0"/>
          <w:marRight w:val="0"/>
          <w:marTop w:val="0"/>
          <w:marBottom w:val="0"/>
          <w:divBdr>
            <w:top w:val="none" w:sz="0" w:space="0" w:color="auto"/>
            <w:left w:val="none" w:sz="0" w:space="0" w:color="auto"/>
            <w:bottom w:val="none" w:sz="0" w:space="0" w:color="auto"/>
            <w:right w:val="none" w:sz="0" w:space="0" w:color="auto"/>
          </w:divBdr>
          <w:divsChild>
            <w:div w:id="1650790618">
              <w:marLeft w:val="3161"/>
              <w:marRight w:val="0"/>
              <w:marTop w:val="263"/>
              <w:marBottom w:val="0"/>
              <w:divBdr>
                <w:top w:val="none" w:sz="0" w:space="0" w:color="auto"/>
                <w:left w:val="none" w:sz="0" w:space="0" w:color="auto"/>
                <w:bottom w:val="none" w:sz="0" w:space="0" w:color="auto"/>
                <w:right w:val="none" w:sz="0" w:space="0" w:color="auto"/>
              </w:divBdr>
              <w:divsChild>
                <w:div w:id="688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11156">
      <w:bodyDiv w:val="1"/>
      <w:marLeft w:val="0"/>
      <w:marRight w:val="0"/>
      <w:marTop w:val="0"/>
      <w:marBottom w:val="0"/>
      <w:divBdr>
        <w:top w:val="none" w:sz="0" w:space="0" w:color="auto"/>
        <w:left w:val="none" w:sz="0" w:space="0" w:color="auto"/>
        <w:bottom w:val="none" w:sz="0" w:space="0" w:color="auto"/>
        <w:right w:val="none" w:sz="0" w:space="0" w:color="auto"/>
      </w:divBdr>
      <w:divsChild>
        <w:div w:id="854996231">
          <w:marLeft w:val="0"/>
          <w:marRight w:val="0"/>
          <w:marTop w:val="0"/>
          <w:marBottom w:val="0"/>
          <w:divBdr>
            <w:top w:val="none" w:sz="0" w:space="0" w:color="auto"/>
            <w:left w:val="none" w:sz="0" w:space="0" w:color="auto"/>
            <w:bottom w:val="none" w:sz="0" w:space="0" w:color="auto"/>
            <w:right w:val="none" w:sz="0" w:space="0" w:color="auto"/>
          </w:divBdr>
          <w:divsChild>
            <w:div w:id="758870008">
              <w:marLeft w:val="0"/>
              <w:marRight w:val="0"/>
              <w:marTop w:val="0"/>
              <w:marBottom w:val="0"/>
              <w:divBdr>
                <w:top w:val="none" w:sz="0" w:space="0" w:color="auto"/>
                <w:left w:val="none" w:sz="0" w:space="0" w:color="auto"/>
                <w:bottom w:val="none" w:sz="0" w:space="0" w:color="auto"/>
                <w:right w:val="none" w:sz="0" w:space="0" w:color="auto"/>
              </w:divBdr>
              <w:divsChild>
                <w:div w:id="16007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01024">
      <w:bodyDiv w:val="1"/>
      <w:marLeft w:val="0"/>
      <w:marRight w:val="0"/>
      <w:marTop w:val="0"/>
      <w:marBottom w:val="0"/>
      <w:divBdr>
        <w:top w:val="none" w:sz="0" w:space="0" w:color="auto"/>
        <w:left w:val="none" w:sz="0" w:space="0" w:color="auto"/>
        <w:bottom w:val="none" w:sz="0" w:space="0" w:color="auto"/>
        <w:right w:val="none" w:sz="0" w:space="0" w:color="auto"/>
      </w:divBdr>
      <w:divsChild>
        <w:div w:id="1059014150">
          <w:marLeft w:val="0"/>
          <w:marRight w:val="0"/>
          <w:marTop w:val="0"/>
          <w:marBottom w:val="0"/>
          <w:divBdr>
            <w:top w:val="none" w:sz="0" w:space="0" w:color="auto"/>
            <w:left w:val="none" w:sz="0" w:space="0" w:color="auto"/>
            <w:bottom w:val="none" w:sz="0" w:space="0" w:color="auto"/>
            <w:right w:val="none" w:sz="0" w:space="0" w:color="auto"/>
          </w:divBdr>
          <w:divsChild>
            <w:div w:id="349525400">
              <w:marLeft w:val="0"/>
              <w:marRight w:val="0"/>
              <w:marTop w:val="0"/>
              <w:marBottom w:val="0"/>
              <w:divBdr>
                <w:top w:val="none" w:sz="0" w:space="0" w:color="auto"/>
                <w:left w:val="none" w:sz="0" w:space="0" w:color="auto"/>
                <w:bottom w:val="none" w:sz="0" w:space="0" w:color="auto"/>
                <w:right w:val="none" w:sz="0" w:space="0" w:color="auto"/>
              </w:divBdr>
              <w:divsChild>
                <w:div w:id="1033068895">
                  <w:marLeft w:val="0"/>
                  <w:marRight w:val="0"/>
                  <w:marTop w:val="0"/>
                  <w:marBottom w:val="0"/>
                  <w:divBdr>
                    <w:top w:val="none" w:sz="0" w:space="0" w:color="auto"/>
                    <w:left w:val="none" w:sz="0" w:space="0" w:color="auto"/>
                    <w:bottom w:val="none" w:sz="0" w:space="0" w:color="auto"/>
                    <w:right w:val="none" w:sz="0" w:space="0" w:color="auto"/>
                  </w:divBdr>
                  <w:divsChild>
                    <w:div w:id="1568106712">
                      <w:marLeft w:val="0"/>
                      <w:marRight w:val="0"/>
                      <w:marTop w:val="0"/>
                      <w:marBottom w:val="0"/>
                      <w:divBdr>
                        <w:top w:val="none" w:sz="0" w:space="0" w:color="auto"/>
                        <w:left w:val="none" w:sz="0" w:space="0" w:color="auto"/>
                        <w:bottom w:val="none" w:sz="0" w:space="0" w:color="auto"/>
                        <w:right w:val="none" w:sz="0" w:space="0" w:color="auto"/>
                      </w:divBdr>
                      <w:divsChild>
                        <w:div w:id="10029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rc.co.nz"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psa.org.nz/newsroom/mediareleases/09-03-09/Private_prisons_cost_more_and_provide_worse_service.aspx" TargetMode="External"/><Relationship Id="rId3" Type="http://schemas.openxmlformats.org/officeDocument/2006/relationships/hyperlink" Target="http://www.converge.org.nz/pma/tasertrial.pdf" TargetMode="External"/><Relationship Id="rId7" Type="http://schemas.openxmlformats.org/officeDocument/2006/relationships/hyperlink" Target="http://www.nzherald.co.nz/nz/news/article.cfm?c_id=1&amp;objectid=10560800" TargetMode="External"/><Relationship Id="rId2" Type="http://schemas.openxmlformats.org/officeDocument/2006/relationships/hyperlink" Target="http://www.hrc.co.nz/report/actionplan/0foreword.html" TargetMode="External"/><Relationship Id="rId1" Type="http://schemas.openxmlformats.org/officeDocument/2006/relationships/hyperlink" Target="http://www.hrc.co.nz/report/" TargetMode="External"/><Relationship Id="rId6" Type="http://schemas.openxmlformats.org/officeDocument/2006/relationships/hyperlink" Target="http://www.stuff.co.nz/national/475761" TargetMode="External"/><Relationship Id="rId5" Type="http://schemas.openxmlformats.org/officeDocument/2006/relationships/hyperlink" Target="http://www.corrections.govt.nz" TargetMode="External"/><Relationship Id="rId4" Type="http://schemas.openxmlformats.org/officeDocument/2006/relationships/hyperlink" Target="http://www.police.govt.nz/resources/2006/taser-trial/download-taser-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6874</Words>
  <Characters>39184</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Introduction </vt:lpstr>
    </vt:vector>
  </TitlesOfParts>
  <Company>Human Rights Commission</Company>
  <LinksUpToDate>false</LinksUpToDate>
  <CharactersWithSpaces>45967</CharactersWithSpaces>
  <SharedDoc>false</SharedDoc>
  <HLinks>
    <vt:vector size="246" baseType="variant">
      <vt:variant>
        <vt:i4>1507341</vt:i4>
      </vt:variant>
      <vt:variant>
        <vt:i4>195</vt:i4>
      </vt:variant>
      <vt:variant>
        <vt:i4>0</vt:i4>
      </vt:variant>
      <vt:variant>
        <vt:i4>5</vt:i4>
      </vt:variant>
      <vt:variant>
        <vt:lpwstr>http://www.hrc.co.nz/</vt:lpwstr>
      </vt:variant>
      <vt:variant>
        <vt:lpwstr/>
      </vt:variant>
      <vt:variant>
        <vt:i4>1245237</vt:i4>
      </vt:variant>
      <vt:variant>
        <vt:i4>188</vt:i4>
      </vt:variant>
      <vt:variant>
        <vt:i4>0</vt:i4>
      </vt:variant>
      <vt:variant>
        <vt:i4>5</vt:i4>
      </vt:variant>
      <vt:variant>
        <vt:lpwstr/>
      </vt:variant>
      <vt:variant>
        <vt:lpwstr>_Toc225333161</vt:lpwstr>
      </vt:variant>
      <vt:variant>
        <vt:i4>1245237</vt:i4>
      </vt:variant>
      <vt:variant>
        <vt:i4>182</vt:i4>
      </vt:variant>
      <vt:variant>
        <vt:i4>0</vt:i4>
      </vt:variant>
      <vt:variant>
        <vt:i4>5</vt:i4>
      </vt:variant>
      <vt:variant>
        <vt:lpwstr/>
      </vt:variant>
      <vt:variant>
        <vt:lpwstr>_Toc225333160</vt:lpwstr>
      </vt:variant>
      <vt:variant>
        <vt:i4>1048629</vt:i4>
      </vt:variant>
      <vt:variant>
        <vt:i4>176</vt:i4>
      </vt:variant>
      <vt:variant>
        <vt:i4>0</vt:i4>
      </vt:variant>
      <vt:variant>
        <vt:i4>5</vt:i4>
      </vt:variant>
      <vt:variant>
        <vt:lpwstr/>
      </vt:variant>
      <vt:variant>
        <vt:lpwstr>_Toc225333159</vt:lpwstr>
      </vt:variant>
      <vt:variant>
        <vt:i4>1048629</vt:i4>
      </vt:variant>
      <vt:variant>
        <vt:i4>170</vt:i4>
      </vt:variant>
      <vt:variant>
        <vt:i4>0</vt:i4>
      </vt:variant>
      <vt:variant>
        <vt:i4>5</vt:i4>
      </vt:variant>
      <vt:variant>
        <vt:lpwstr/>
      </vt:variant>
      <vt:variant>
        <vt:lpwstr>_Toc225333158</vt:lpwstr>
      </vt:variant>
      <vt:variant>
        <vt:i4>1048629</vt:i4>
      </vt:variant>
      <vt:variant>
        <vt:i4>164</vt:i4>
      </vt:variant>
      <vt:variant>
        <vt:i4>0</vt:i4>
      </vt:variant>
      <vt:variant>
        <vt:i4>5</vt:i4>
      </vt:variant>
      <vt:variant>
        <vt:lpwstr/>
      </vt:variant>
      <vt:variant>
        <vt:lpwstr>_Toc225333157</vt:lpwstr>
      </vt:variant>
      <vt:variant>
        <vt:i4>1048629</vt:i4>
      </vt:variant>
      <vt:variant>
        <vt:i4>158</vt:i4>
      </vt:variant>
      <vt:variant>
        <vt:i4>0</vt:i4>
      </vt:variant>
      <vt:variant>
        <vt:i4>5</vt:i4>
      </vt:variant>
      <vt:variant>
        <vt:lpwstr/>
      </vt:variant>
      <vt:variant>
        <vt:lpwstr>_Toc225333156</vt:lpwstr>
      </vt:variant>
      <vt:variant>
        <vt:i4>1048629</vt:i4>
      </vt:variant>
      <vt:variant>
        <vt:i4>152</vt:i4>
      </vt:variant>
      <vt:variant>
        <vt:i4>0</vt:i4>
      </vt:variant>
      <vt:variant>
        <vt:i4>5</vt:i4>
      </vt:variant>
      <vt:variant>
        <vt:lpwstr/>
      </vt:variant>
      <vt:variant>
        <vt:lpwstr>_Toc225333155</vt:lpwstr>
      </vt:variant>
      <vt:variant>
        <vt:i4>1048629</vt:i4>
      </vt:variant>
      <vt:variant>
        <vt:i4>146</vt:i4>
      </vt:variant>
      <vt:variant>
        <vt:i4>0</vt:i4>
      </vt:variant>
      <vt:variant>
        <vt:i4>5</vt:i4>
      </vt:variant>
      <vt:variant>
        <vt:lpwstr/>
      </vt:variant>
      <vt:variant>
        <vt:lpwstr>_Toc225333154</vt:lpwstr>
      </vt:variant>
      <vt:variant>
        <vt:i4>1048629</vt:i4>
      </vt:variant>
      <vt:variant>
        <vt:i4>140</vt:i4>
      </vt:variant>
      <vt:variant>
        <vt:i4>0</vt:i4>
      </vt:variant>
      <vt:variant>
        <vt:i4>5</vt:i4>
      </vt:variant>
      <vt:variant>
        <vt:lpwstr/>
      </vt:variant>
      <vt:variant>
        <vt:lpwstr>_Toc225333153</vt:lpwstr>
      </vt:variant>
      <vt:variant>
        <vt:i4>1048629</vt:i4>
      </vt:variant>
      <vt:variant>
        <vt:i4>134</vt:i4>
      </vt:variant>
      <vt:variant>
        <vt:i4>0</vt:i4>
      </vt:variant>
      <vt:variant>
        <vt:i4>5</vt:i4>
      </vt:variant>
      <vt:variant>
        <vt:lpwstr/>
      </vt:variant>
      <vt:variant>
        <vt:lpwstr>_Toc225333152</vt:lpwstr>
      </vt:variant>
      <vt:variant>
        <vt:i4>1048629</vt:i4>
      </vt:variant>
      <vt:variant>
        <vt:i4>128</vt:i4>
      </vt:variant>
      <vt:variant>
        <vt:i4>0</vt:i4>
      </vt:variant>
      <vt:variant>
        <vt:i4>5</vt:i4>
      </vt:variant>
      <vt:variant>
        <vt:lpwstr/>
      </vt:variant>
      <vt:variant>
        <vt:lpwstr>_Toc225333151</vt:lpwstr>
      </vt:variant>
      <vt:variant>
        <vt:i4>1048629</vt:i4>
      </vt:variant>
      <vt:variant>
        <vt:i4>122</vt:i4>
      </vt:variant>
      <vt:variant>
        <vt:i4>0</vt:i4>
      </vt:variant>
      <vt:variant>
        <vt:i4>5</vt:i4>
      </vt:variant>
      <vt:variant>
        <vt:lpwstr/>
      </vt:variant>
      <vt:variant>
        <vt:lpwstr>_Toc225333150</vt:lpwstr>
      </vt:variant>
      <vt:variant>
        <vt:i4>1114165</vt:i4>
      </vt:variant>
      <vt:variant>
        <vt:i4>116</vt:i4>
      </vt:variant>
      <vt:variant>
        <vt:i4>0</vt:i4>
      </vt:variant>
      <vt:variant>
        <vt:i4>5</vt:i4>
      </vt:variant>
      <vt:variant>
        <vt:lpwstr/>
      </vt:variant>
      <vt:variant>
        <vt:lpwstr>_Toc225333149</vt:lpwstr>
      </vt:variant>
      <vt:variant>
        <vt:i4>1114165</vt:i4>
      </vt:variant>
      <vt:variant>
        <vt:i4>110</vt:i4>
      </vt:variant>
      <vt:variant>
        <vt:i4>0</vt:i4>
      </vt:variant>
      <vt:variant>
        <vt:i4>5</vt:i4>
      </vt:variant>
      <vt:variant>
        <vt:lpwstr/>
      </vt:variant>
      <vt:variant>
        <vt:lpwstr>_Toc225333148</vt:lpwstr>
      </vt:variant>
      <vt:variant>
        <vt:i4>1114165</vt:i4>
      </vt:variant>
      <vt:variant>
        <vt:i4>104</vt:i4>
      </vt:variant>
      <vt:variant>
        <vt:i4>0</vt:i4>
      </vt:variant>
      <vt:variant>
        <vt:i4>5</vt:i4>
      </vt:variant>
      <vt:variant>
        <vt:lpwstr/>
      </vt:variant>
      <vt:variant>
        <vt:lpwstr>_Toc225333147</vt:lpwstr>
      </vt:variant>
      <vt:variant>
        <vt:i4>1114165</vt:i4>
      </vt:variant>
      <vt:variant>
        <vt:i4>98</vt:i4>
      </vt:variant>
      <vt:variant>
        <vt:i4>0</vt:i4>
      </vt:variant>
      <vt:variant>
        <vt:i4>5</vt:i4>
      </vt:variant>
      <vt:variant>
        <vt:lpwstr/>
      </vt:variant>
      <vt:variant>
        <vt:lpwstr>_Toc225333146</vt:lpwstr>
      </vt:variant>
      <vt:variant>
        <vt:i4>1114165</vt:i4>
      </vt:variant>
      <vt:variant>
        <vt:i4>92</vt:i4>
      </vt:variant>
      <vt:variant>
        <vt:i4>0</vt:i4>
      </vt:variant>
      <vt:variant>
        <vt:i4>5</vt:i4>
      </vt:variant>
      <vt:variant>
        <vt:lpwstr/>
      </vt:variant>
      <vt:variant>
        <vt:lpwstr>_Toc225333145</vt:lpwstr>
      </vt:variant>
      <vt:variant>
        <vt:i4>1114165</vt:i4>
      </vt:variant>
      <vt:variant>
        <vt:i4>86</vt:i4>
      </vt:variant>
      <vt:variant>
        <vt:i4>0</vt:i4>
      </vt:variant>
      <vt:variant>
        <vt:i4>5</vt:i4>
      </vt:variant>
      <vt:variant>
        <vt:lpwstr/>
      </vt:variant>
      <vt:variant>
        <vt:lpwstr>_Toc225333144</vt:lpwstr>
      </vt:variant>
      <vt:variant>
        <vt:i4>1114165</vt:i4>
      </vt:variant>
      <vt:variant>
        <vt:i4>80</vt:i4>
      </vt:variant>
      <vt:variant>
        <vt:i4>0</vt:i4>
      </vt:variant>
      <vt:variant>
        <vt:i4>5</vt:i4>
      </vt:variant>
      <vt:variant>
        <vt:lpwstr/>
      </vt:variant>
      <vt:variant>
        <vt:lpwstr>_Toc225333143</vt:lpwstr>
      </vt:variant>
      <vt:variant>
        <vt:i4>1114165</vt:i4>
      </vt:variant>
      <vt:variant>
        <vt:i4>74</vt:i4>
      </vt:variant>
      <vt:variant>
        <vt:i4>0</vt:i4>
      </vt:variant>
      <vt:variant>
        <vt:i4>5</vt:i4>
      </vt:variant>
      <vt:variant>
        <vt:lpwstr/>
      </vt:variant>
      <vt:variant>
        <vt:lpwstr>_Toc225333142</vt:lpwstr>
      </vt:variant>
      <vt:variant>
        <vt:i4>1114165</vt:i4>
      </vt:variant>
      <vt:variant>
        <vt:i4>68</vt:i4>
      </vt:variant>
      <vt:variant>
        <vt:i4>0</vt:i4>
      </vt:variant>
      <vt:variant>
        <vt:i4>5</vt:i4>
      </vt:variant>
      <vt:variant>
        <vt:lpwstr/>
      </vt:variant>
      <vt:variant>
        <vt:lpwstr>_Toc225333141</vt:lpwstr>
      </vt:variant>
      <vt:variant>
        <vt:i4>1114165</vt:i4>
      </vt:variant>
      <vt:variant>
        <vt:i4>62</vt:i4>
      </vt:variant>
      <vt:variant>
        <vt:i4>0</vt:i4>
      </vt:variant>
      <vt:variant>
        <vt:i4>5</vt:i4>
      </vt:variant>
      <vt:variant>
        <vt:lpwstr/>
      </vt:variant>
      <vt:variant>
        <vt:lpwstr>_Toc225333140</vt:lpwstr>
      </vt:variant>
      <vt:variant>
        <vt:i4>1441845</vt:i4>
      </vt:variant>
      <vt:variant>
        <vt:i4>56</vt:i4>
      </vt:variant>
      <vt:variant>
        <vt:i4>0</vt:i4>
      </vt:variant>
      <vt:variant>
        <vt:i4>5</vt:i4>
      </vt:variant>
      <vt:variant>
        <vt:lpwstr/>
      </vt:variant>
      <vt:variant>
        <vt:lpwstr>_Toc225333139</vt:lpwstr>
      </vt:variant>
      <vt:variant>
        <vt:i4>1441845</vt:i4>
      </vt:variant>
      <vt:variant>
        <vt:i4>50</vt:i4>
      </vt:variant>
      <vt:variant>
        <vt:i4>0</vt:i4>
      </vt:variant>
      <vt:variant>
        <vt:i4>5</vt:i4>
      </vt:variant>
      <vt:variant>
        <vt:lpwstr/>
      </vt:variant>
      <vt:variant>
        <vt:lpwstr>_Toc225333138</vt:lpwstr>
      </vt:variant>
      <vt:variant>
        <vt:i4>1441845</vt:i4>
      </vt:variant>
      <vt:variant>
        <vt:i4>44</vt:i4>
      </vt:variant>
      <vt:variant>
        <vt:i4>0</vt:i4>
      </vt:variant>
      <vt:variant>
        <vt:i4>5</vt:i4>
      </vt:variant>
      <vt:variant>
        <vt:lpwstr/>
      </vt:variant>
      <vt:variant>
        <vt:lpwstr>_Toc225333137</vt:lpwstr>
      </vt:variant>
      <vt:variant>
        <vt:i4>1441845</vt:i4>
      </vt:variant>
      <vt:variant>
        <vt:i4>38</vt:i4>
      </vt:variant>
      <vt:variant>
        <vt:i4>0</vt:i4>
      </vt:variant>
      <vt:variant>
        <vt:i4>5</vt:i4>
      </vt:variant>
      <vt:variant>
        <vt:lpwstr/>
      </vt:variant>
      <vt:variant>
        <vt:lpwstr>_Toc225333136</vt:lpwstr>
      </vt:variant>
      <vt:variant>
        <vt:i4>1441845</vt:i4>
      </vt:variant>
      <vt:variant>
        <vt:i4>32</vt:i4>
      </vt:variant>
      <vt:variant>
        <vt:i4>0</vt:i4>
      </vt:variant>
      <vt:variant>
        <vt:i4>5</vt:i4>
      </vt:variant>
      <vt:variant>
        <vt:lpwstr/>
      </vt:variant>
      <vt:variant>
        <vt:lpwstr>_Toc225333135</vt:lpwstr>
      </vt:variant>
      <vt:variant>
        <vt:i4>1441845</vt:i4>
      </vt:variant>
      <vt:variant>
        <vt:i4>26</vt:i4>
      </vt:variant>
      <vt:variant>
        <vt:i4>0</vt:i4>
      </vt:variant>
      <vt:variant>
        <vt:i4>5</vt:i4>
      </vt:variant>
      <vt:variant>
        <vt:lpwstr/>
      </vt:variant>
      <vt:variant>
        <vt:lpwstr>_Toc225333134</vt:lpwstr>
      </vt:variant>
      <vt:variant>
        <vt:i4>1441845</vt:i4>
      </vt:variant>
      <vt:variant>
        <vt:i4>20</vt:i4>
      </vt:variant>
      <vt:variant>
        <vt:i4>0</vt:i4>
      </vt:variant>
      <vt:variant>
        <vt:i4>5</vt:i4>
      </vt:variant>
      <vt:variant>
        <vt:lpwstr/>
      </vt:variant>
      <vt:variant>
        <vt:lpwstr>_Toc225333133</vt:lpwstr>
      </vt:variant>
      <vt:variant>
        <vt:i4>1441845</vt:i4>
      </vt:variant>
      <vt:variant>
        <vt:i4>14</vt:i4>
      </vt:variant>
      <vt:variant>
        <vt:i4>0</vt:i4>
      </vt:variant>
      <vt:variant>
        <vt:i4>5</vt:i4>
      </vt:variant>
      <vt:variant>
        <vt:lpwstr/>
      </vt:variant>
      <vt:variant>
        <vt:lpwstr>_Toc225333132</vt:lpwstr>
      </vt:variant>
      <vt:variant>
        <vt:i4>1441845</vt:i4>
      </vt:variant>
      <vt:variant>
        <vt:i4>8</vt:i4>
      </vt:variant>
      <vt:variant>
        <vt:i4>0</vt:i4>
      </vt:variant>
      <vt:variant>
        <vt:i4>5</vt:i4>
      </vt:variant>
      <vt:variant>
        <vt:lpwstr/>
      </vt:variant>
      <vt:variant>
        <vt:lpwstr>_Toc225333131</vt:lpwstr>
      </vt:variant>
      <vt:variant>
        <vt:i4>1441845</vt:i4>
      </vt:variant>
      <vt:variant>
        <vt:i4>2</vt:i4>
      </vt:variant>
      <vt:variant>
        <vt:i4>0</vt:i4>
      </vt:variant>
      <vt:variant>
        <vt:i4>5</vt:i4>
      </vt:variant>
      <vt:variant>
        <vt:lpwstr/>
      </vt:variant>
      <vt:variant>
        <vt:lpwstr>_Toc225333130</vt:lpwstr>
      </vt:variant>
      <vt:variant>
        <vt:i4>6422547</vt:i4>
      </vt:variant>
      <vt:variant>
        <vt:i4>21</vt:i4>
      </vt:variant>
      <vt:variant>
        <vt:i4>0</vt:i4>
      </vt:variant>
      <vt:variant>
        <vt:i4>5</vt:i4>
      </vt:variant>
      <vt:variant>
        <vt:lpwstr>http://www.psa.org.nz/newsroom/mediareleases/09-03-09/Private_prisons_cost_more_and_provide_worse_service.aspx</vt:lpwstr>
      </vt:variant>
      <vt:variant>
        <vt:lpwstr/>
      </vt:variant>
      <vt:variant>
        <vt:i4>4784181</vt:i4>
      </vt:variant>
      <vt:variant>
        <vt:i4>18</vt:i4>
      </vt:variant>
      <vt:variant>
        <vt:i4>0</vt:i4>
      </vt:variant>
      <vt:variant>
        <vt:i4>5</vt:i4>
      </vt:variant>
      <vt:variant>
        <vt:lpwstr>http://www.nzherald.co.nz/nz/news/article.cfm?c_id=1&amp;objectid=10560800</vt:lpwstr>
      </vt:variant>
      <vt:variant>
        <vt:lpwstr/>
      </vt:variant>
      <vt:variant>
        <vt:i4>7733375</vt:i4>
      </vt:variant>
      <vt:variant>
        <vt:i4>15</vt:i4>
      </vt:variant>
      <vt:variant>
        <vt:i4>0</vt:i4>
      </vt:variant>
      <vt:variant>
        <vt:i4>5</vt:i4>
      </vt:variant>
      <vt:variant>
        <vt:lpwstr>http://www.stuff.co.nz/national/475761</vt:lpwstr>
      </vt:variant>
      <vt:variant>
        <vt:lpwstr/>
      </vt:variant>
      <vt:variant>
        <vt:i4>7471218</vt:i4>
      </vt:variant>
      <vt:variant>
        <vt:i4>12</vt:i4>
      </vt:variant>
      <vt:variant>
        <vt:i4>0</vt:i4>
      </vt:variant>
      <vt:variant>
        <vt:i4>5</vt:i4>
      </vt:variant>
      <vt:variant>
        <vt:lpwstr>http://www.corrections.govt.nz/</vt:lpwstr>
      </vt:variant>
      <vt:variant>
        <vt:lpwstr/>
      </vt:variant>
      <vt:variant>
        <vt:i4>4325459</vt:i4>
      </vt:variant>
      <vt:variant>
        <vt:i4>9</vt:i4>
      </vt:variant>
      <vt:variant>
        <vt:i4>0</vt:i4>
      </vt:variant>
      <vt:variant>
        <vt:i4>5</vt:i4>
      </vt:variant>
      <vt:variant>
        <vt:lpwstr>http://www.police.govt.nz/resources/2006/taser-trial/download-taser-reports.html</vt:lpwstr>
      </vt:variant>
      <vt:variant>
        <vt:lpwstr/>
      </vt:variant>
      <vt:variant>
        <vt:i4>1114192</vt:i4>
      </vt:variant>
      <vt:variant>
        <vt:i4>6</vt:i4>
      </vt:variant>
      <vt:variant>
        <vt:i4>0</vt:i4>
      </vt:variant>
      <vt:variant>
        <vt:i4>5</vt:i4>
      </vt:variant>
      <vt:variant>
        <vt:lpwstr>http://www.converge.org.nz/pma/tasertrial.pdf</vt:lpwstr>
      </vt:variant>
      <vt:variant>
        <vt:lpwstr/>
      </vt:variant>
      <vt:variant>
        <vt:i4>1704019</vt:i4>
      </vt:variant>
      <vt:variant>
        <vt:i4>3</vt:i4>
      </vt:variant>
      <vt:variant>
        <vt:i4>0</vt:i4>
      </vt:variant>
      <vt:variant>
        <vt:i4>5</vt:i4>
      </vt:variant>
      <vt:variant>
        <vt:lpwstr>http://www.hrc.co.nz/report/actionplan/0foreword.html</vt:lpwstr>
      </vt:variant>
      <vt:variant>
        <vt:lpwstr/>
      </vt:variant>
      <vt:variant>
        <vt:i4>4718684</vt:i4>
      </vt:variant>
      <vt:variant>
        <vt:i4>0</vt:i4>
      </vt:variant>
      <vt:variant>
        <vt:i4>0</vt:i4>
      </vt:variant>
      <vt:variant>
        <vt:i4>5</vt:i4>
      </vt:variant>
      <vt:variant>
        <vt:lpwstr>http://www.hrc.co.nz/report/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JessicaN</dc:creator>
  <cp:lastModifiedBy>Henning Borchers</cp:lastModifiedBy>
  <cp:revision>2</cp:revision>
  <cp:lastPrinted>2009-03-20T05:01:00Z</cp:lastPrinted>
  <dcterms:created xsi:type="dcterms:W3CDTF">2014-12-16T20:42:00Z</dcterms:created>
  <dcterms:modified xsi:type="dcterms:W3CDTF">2014-12-16T20:42:00Z</dcterms:modified>
</cp:coreProperties>
</file>