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0AD1" w14:textId="77777777" w:rsidR="00E30A28" w:rsidRPr="0009348F" w:rsidRDefault="00E30A28" w:rsidP="00E30A28">
      <w:pPr>
        <w:rPr>
          <w:rFonts w:cs="Calibri"/>
          <w:lang w:val="en-GB"/>
        </w:rPr>
      </w:pPr>
      <w:bookmarkStart w:id="0" w:name="_GoBack"/>
      <w:bookmarkEnd w:id="0"/>
      <w:r w:rsidRPr="0009348F">
        <w:rPr>
          <w:noProof/>
        </w:rPr>
        <w:drawing>
          <wp:anchor distT="0" distB="0" distL="114300" distR="114300" simplePos="0" relativeHeight="251659264" behindDoc="1" locked="1" layoutInCell="1" allowOverlap="1" wp14:anchorId="56D44B83" wp14:editId="2961D4CE">
            <wp:simplePos x="0" y="0"/>
            <wp:positionH relativeFrom="page">
              <wp:posOffset>4838700</wp:posOffset>
            </wp:positionH>
            <wp:positionV relativeFrom="page">
              <wp:posOffset>650875</wp:posOffset>
            </wp:positionV>
            <wp:extent cx="2127250" cy="719455"/>
            <wp:effectExtent l="0" t="0" r="6350" b="4445"/>
            <wp:wrapTight wrapText="bothSides">
              <wp:wrapPolygon edited="0">
                <wp:start x="0" y="0"/>
                <wp:lineTo x="0" y="21162"/>
                <wp:lineTo x="21471" y="21162"/>
                <wp:lineTo x="21471" y="0"/>
                <wp:lineTo x="0" y="0"/>
              </wp:wrapPolygon>
            </wp:wrapTight>
            <wp:docPr id="4" name="Picture 4" descr="WCM_Leg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M_Lega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r="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D0C4" w14:textId="77777777" w:rsidR="00E30A28" w:rsidRPr="0009348F" w:rsidRDefault="00E30A28" w:rsidP="00E30A28">
      <w:pPr>
        <w:rPr>
          <w:rFonts w:cs="Calibri"/>
          <w:b/>
          <w:sz w:val="24"/>
          <w:lang w:val="en-GB"/>
        </w:rPr>
      </w:pPr>
    </w:p>
    <w:p w14:paraId="2969A4B4" w14:textId="77777777" w:rsidR="00E30A28" w:rsidRPr="0009348F" w:rsidRDefault="00E30A28" w:rsidP="00E30A28">
      <w:pPr>
        <w:rPr>
          <w:rFonts w:cs="Calibri"/>
          <w:b/>
          <w:sz w:val="24"/>
          <w:lang w:val="en-GB"/>
        </w:rPr>
      </w:pPr>
    </w:p>
    <w:p w14:paraId="54E05B64" w14:textId="77777777" w:rsidR="00E30A28" w:rsidRPr="0009348F" w:rsidRDefault="00E30A28" w:rsidP="00E30A28">
      <w:pPr>
        <w:rPr>
          <w:rFonts w:cs="Calibri"/>
          <w:b/>
          <w:i/>
          <w:sz w:val="24"/>
          <w:lang w:val="en-GB"/>
        </w:rPr>
      </w:pPr>
      <w:r w:rsidRPr="0009348F">
        <w:rPr>
          <w:rFonts w:cs="Calibri"/>
          <w:b/>
          <w:sz w:val="24"/>
          <w:lang w:val="en-GB"/>
        </w:rPr>
        <w:t>The UNGP Protect, Respect and Remedy Framework as a Best Practice Model for Dispute Resolution in the Context of Natural Disasters</w:t>
      </w:r>
    </w:p>
    <w:p w14:paraId="3E1EE88A" w14:textId="77777777" w:rsidR="00E30A28" w:rsidRPr="0009348F" w:rsidRDefault="00E30A28" w:rsidP="00E30A28">
      <w:pPr>
        <w:spacing w:after="0" w:line="240" w:lineRule="auto"/>
        <w:jc w:val="center"/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30A28" w:rsidRPr="0009348F" w14:paraId="1FBCD7B8" w14:textId="77777777" w:rsidTr="004D61B3">
        <w:trPr>
          <w:trHeight w:val="429"/>
        </w:trPr>
        <w:tc>
          <w:tcPr>
            <w:tcW w:w="9924" w:type="dxa"/>
          </w:tcPr>
          <w:p w14:paraId="42CBCE79" w14:textId="77777777" w:rsidR="00E30A28" w:rsidRPr="0009348F" w:rsidRDefault="00E30A28" w:rsidP="004D61B3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09348F">
              <w:rPr>
                <w:rFonts w:cs="Calibri"/>
                <w:b/>
                <w:lang w:val="en-GB"/>
              </w:rPr>
              <w:t>SUMMARY OF KEY ISSUES FROM PREVIOUS UPR CYCLES</w:t>
            </w:r>
          </w:p>
        </w:tc>
      </w:tr>
      <w:tr w:rsidR="00E30A28" w:rsidRPr="0009348F" w14:paraId="32E78F69" w14:textId="77777777" w:rsidTr="004D61B3">
        <w:trPr>
          <w:trHeight w:val="836"/>
        </w:trPr>
        <w:tc>
          <w:tcPr>
            <w:tcW w:w="9924" w:type="dxa"/>
          </w:tcPr>
          <w:p w14:paraId="2AAC6691" w14:textId="77777777" w:rsidR="00E30A28" w:rsidRPr="0009348F" w:rsidRDefault="00E30A28" w:rsidP="004D61B3">
            <w:pPr>
              <w:tabs>
                <w:tab w:val="left" w:pos="1483"/>
              </w:tabs>
              <w:spacing w:after="0" w:line="240" w:lineRule="auto"/>
              <w:rPr>
                <w:rFonts w:cs="Calibri"/>
                <w:lang w:val="en-GB"/>
              </w:rPr>
            </w:pPr>
            <w:r w:rsidRPr="0009348F">
              <w:rPr>
                <w:rFonts w:cs="Calibri"/>
                <w:lang w:val="en-GB"/>
              </w:rPr>
              <w:t xml:space="preserve">“Speed up the rebuilding and compensation process in the aftermath of the Canterbury earthquakes </w:t>
            </w:r>
            <w:proofErr w:type="gramStart"/>
            <w:r w:rsidRPr="0009348F">
              <w:rPr>
                <w:rFonts w:cs="Calibri"/>
                <w:lang w:val="en-GB"/>
              </w:rPr>
              <w:t>“ (</w:t>
            </w:r>
            <w:proofErr w:type="gramEnd"/>
            <w:r w:rsidRPr="0009348F">
              <w:rPr>
                <w:rFonts w:cs="Calibri"/>
                <w:lang w:val="en-GB"/>
              </w:rPr>
              <w:t xml:space="preserve">Germany).  “Facilitate the realization of economic, social and cultural rights through the reconstruction of the areas affected by earthquakes in 2010 and 2011” (Algeria).  </w:t>
            </w:r>
          </w:p>
        </w:tc>
      </w:tr>
    </w:tbl>
    <w:p w14:paraId="7875749A" w14:textId="77777777" w:rsidR="00E30A28" w:rsidRPr="0009348F" w:rsidRDefault="00E30A28" w:rsidP="00E30A28">
      <w:pPr>
        <w:spacing w:after="0" w:line="240" w:lineRule="auto"/>
        <w:jc w:val="center"/>
        <w:rPr>
          <w:rFonts w:cs="Calibri"/>
          <w:lang w:val="en-GB"/>
        </w:rPr>
      </w:pPr>
    </w:p>
    <w:p w14:paraId="4D072065" w14:textId="77777777" w:rsidR="00E30A28" w:rsidRPr="0009348F" w:rsidRDefault="00E30A28" w:rsidP="00E30A28">
      <w:pPr>
        <w:spacing w:after="0" w:line="240" w:lineRule="auto"/>
        <w:jc w:val="center"/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30A28" w:rsidRPr="0009348F" w14:paraId="3A22511D" w14:textId="77777777" w:rsidTr="004D61B3">
        <w:trPr>
          <w:trHeight w:val="352"/>
        </w:trPr>
        <w:tc>
          <w:tcPr>
            <w:tcW w:w="9924" w:type="dxa"/>
          </w:tcPr>
          <w:p w14:paraId="2572A4A0" w14:textId="77777777" w:rsidR="00E30A28" w:rsidRPr="0009348F" w:rsidRDefault="00E30A28" w:rsidP="004D61B3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09348F">
              <w:rPr>
                <w:rFonts w:cs="Calibri"/>
                <w:b/>
                <w:lang w:val="en-GB"/>
              </w:rPr>
              <w:t>NATIONAL FRAMEWORK</w:t>
            </w:r>
          </w:p>
        </w:tc>
      </w:tr>
      <w:tr w:rsidR="00E30A28" w:rsidRPr="0009348F" w14:paraId="63FE6027" w14:textId="77777777" w:rsidTr="004D61B3">
        <w:trPr>
          <w:trHeight w:val="489"/>
        </w:trPr>
        <w:tc>
          <w:tcPr>
            <w:tcW w:w="9924" w:type="dxa"/>
          </w:tcPr>
          <w:p w14:paraId="518E87D9" w14:textId="77777777" w:rsidR="00E30A28" w:rsidRPr="0009348F" w:rsidRDefault="00E30A28" w:rsidP="004D61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09348F">
              <w:rPr>
                <w:rFonts w:cs="Calibri"/>
                <w:lang w:val="en-GB"/>
              </w:rPr>
              <w:t xml:space="preserve">EQC’s obligations are governed by the Earthquake Commission Act 1993.  The obligations of private insurers are governed by contracts of insurance which typically provided for full insurance cover.  </w:t>
            </w:r>
            <w:r w:rsidR="006F31F1">
              <w:rPr>
                <w:rFonts w:cs="Calibri"/>
                <w:lang w:val="en-GB"/>
              </w:rPr>
              <w:t>I</w:t>
            </w:r>
            <w:r w:rsidRPr="0009348F">
              <w:rPr>
                <w:rFonts w:cs="Calibri"/>
                <w:lang w:val="en-GB"/>
              </w:rPr>
              <w:t xml:space="preserve">nsurers </w:t>
            </w:r>
            <w:r w:rsidR="006F31F1">
              <w:rPr>
                <w:rFonts w:cs="Calibri"/>
                <w:lang w:val="en-GB"/>
              </w:rPr>
              <w:t>are subject to self-regulation and are generally expected to</w:t>
            </w:r>
            <w:r w:rsidRPr="0009348F">
              <w:rPr>
                <w:rFonts w:cs="Calibri"/>
                <w:lang w:val="en-GB"/>
              </w:rPr>
              <w:t xml:space="preserve"> comply wi</w:t>
            </w:r>
            <w:r w:rsidR="006F31F1">
              <w:rPr>
                <w:rFonts w:cs="Calibri"/>
                <w:lang w:val="en-GB"/>
              </w:rPr>
              <w:t>th the Fair Insurance Code 2016.</w:t>
            </w:r>
          </w:p>
        </w:tc>
      </w:tr>
    </w:tbl>
    <w:p w14:paraId="30BBAD95" w14:textId="77777777" w:rsidR="00E30A28" w:rsidRPr="0009348F" w:rsidRDefault="00E30A28" w:rsidP="00E30A28">
      <w:pPr>
        <w:spacing w:after="0" w:line="240" w:lineRule="auto"/>
        <w:jc w:val="center"/>
        <w:rPr>
          <w:rFonts w:cs="Calibri"/>
          <w:lang w:val="en-GB"/>
        </w:rPr>
      </w:pPr>
    </w:p>
    <w:p w14:paraId="2AFEF8CF" w14:textId="77777777" w:rsidR="00E30A28" w:rsidRPr="0009348F" w:rsidRDefault="00E30A28" w:rsidP="00E30A28">
      <w:pPr>
        <w:spacing w:after="0" w:line="240" w:lineRule="auto"/>
        <w:jc w:val="center"/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000"/>
      </w:tblGrid>
      <w:tr w:rsidR="00E30A28" w:rsidRPr="0009348F" w14:paraId="59AAE81F" w14:textId="77777777" w:rsidTr="004D61B3">
        <w:trPr>
          <w:trHeight w:val="369"/>
        </w:trPr>
        <w:tc>
          <w:tcPr>
            <w:tcW w:w="4924" w:type="dxa"/>
            <w:tcBorders>
              <w:bottom w:val="single" w:sz="4" w:space="0" w:color="auto"/>
              <w:right w:val="nil"/>
            </w:tcBorders>
          </w:tcPr>
          <w:p w14:paraId="129BE236" w14:textId="77777777" w:rsidR="00E30A28" w:rsidRPr="0009348F" w:rsidRDefault="00E30A28" w:rsidP="004D61B3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09348F">
              <w:rPr>
                <w:rFonts w:cs="Calibri"/>
                <w:b/>
                <w:lang w:val="en-GB"/>
              </w:rPr>
              <w:t>CHALLENGES</w:t>
            </w:r>
          </w:p>
        </w:tc>
        <w:tc>
          <w:tcPr>
            <w:tcW w:w="5000" w:type="dxa"/>
            <w:tcBorders>
              <w:left w:val="nil"/>
              <w:bottom w:val="single" w:sz="4" w:space="0" w:color="auto"/>
            </w:tcBorders>
          </w:tcPr>
          <w:p w14:paraId="0141F043" w14:textId="77777777" w:rsidR="00E30A28" w:rsidRPr="0009348F" w:rsidRDefault="00E30A28" w:rsidP="004D61B3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09348F">
              <w:rPr>
                <w:rFonts w:cs="Calibri"/>
                <w:b/>
                <w:lang w:val="en-GB"/>
              </w:rPr>
              <w:t>IMPACT</w:t>
            </w:r>
          </w:p>
        </w:tc>
      </w:tr>
      <w:tr w:rsidR="00E30A28" w:rsidRPr="0009348F" w14:paraId="3352EA2B" w14:textId="77777777" w:rsidTr="004D61B3">
        <w:trPr>
          <w:trHeight w:val="1089"/>
        </w:trPr>
        <w:tc>
          <w:tcPr>
            <w:tcW w:w="4924" w:type="dxa"/>
            <w:tcBorders>
              <w:right w:val="nil"/>
            </w:tcBorders>
          </w:tcPr>
          <w:p w14:paraId="0C97C66E" w14:textId="77777777" w:rsidR="00E30A28" w:rsidRPr="0009348F" w:rsidRDefault="00E30A28" w:rsidP="004D61B3">
            <w:pPr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>Critical human rights challenges include:</w:t>
            </w:r>
          </w:p>
          <w:p w14:paraId="35A42EBF" w14:textId="77777777" w:rsidR="00E30A28" w:rsidRPr="0009348F" w:rsidRDefault="00E30A28" w:rsidP="004D61B3">
            <w:pPr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76A2257B" w14:textId="77777777" w:rsidR="00E30A28" w:rsidRPr="0009348F" w:rsidRDefault="00E30A28" w:rsidP="00E30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>Failure to provide any legal aid to affected people who have commenced or will commence earthquake related litigation in the court system.</w:t>
            </w:r>
          </w:p>
          <w:p w14:paraId="4584E68E" w14:textId="77777777" w:rsidR="00E30A28" w:rsidRPr="0009348F" w:rsidRDefault="00E30A28" w:rsidP="004D61B3">
            <w:pPr>
              <w:pStyle w:val="ListParagraph"/>
              <w:rPr>
                <w:rFonts w:cs="Calibri"/>
                <w:i/>
                <w:lang w:val="en-GB"/>
              </w:rPr>
            </w:pPr>
          </w:p>
          <w:p w14:paraId="168DADA1" w14:textId="77777777" w:rsidR="00E30A28" w:rsidRPr="0009348F" w:rsidRDefault="00E30A28" w:rsidP="00E30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>Failure to establishing a bespoke earthquake claims tribunal.</w:t>
            </w:r>
          </w:p>
          <w:p w14:paraId="544ABD5F" w14:textId="77777777" w:rsidR="00E30A28" w:rsidRPr="0009348F" w:rsidRDefault="00E30A28" w:rsidP="004D61B3">
            <w:pPr>
              <w:pStyle w:val="ListParagraph"/>
              <w:rPr>
                <w:rFonts w:cs="Calibri"/>
                <w:i/>
                <w:lang w:val="en-GB"/>
              </w:rPr>
            </w:pPr>
          </w:p>
          <w:p w14:paraId="524FD514" w14:textId="77777777" w:rsidR="00E30A28" w:rsidRDefault="00E30A28" w:rsidP="00E30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>Failure to address the inherent imbalance in power between affected people and their insurers.</w:t>
            </w:r>
          </w:p>
          <w:p w14:paraId="5BAE4BDC" w14:textId="77777777" w:rsidR="00B6374B" w:rsidRPr="00B6374B" w:rsidRDefault="00B6374B" w:rsidP="00B6374B">
            <w:pPr>
              <w:pStyle w:val="ListParagraph"/>
              <w:rPr>
                <w:rFonts w:cs="Calibri"/>
                <w:i/>
                <w:lang w:val="en-GB"/>
              </w:rPr>
            </w:pPr>
          </w:p>
          <w:p w14:paraId="48A130D4" w14:textId="77777777" w:rsidR="00E30A28" w:rsidRPr="0009348F" w:rsidRDefault="00E30A28" w:rsidP="00E30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 xml:space="preserve">Failure to codify and strengthen the insurers’ duty of good faith. </w:t>
            </w:r>
          </w:p>
          <w:p w14:paraId="6ADB2328" w14:textId="77777777" w:rsidR="00E30A28" w:rsidRPr="0009348F" w:rsidRDefault="00E30A28" w:rsidP="004D61B3">
            <w:pPr>
              <w:spacing w:after="0" w:line="240" w:lineRule="auto"/>
              <w:rPr>
                <w:rFonts w:cs="Calibri"/>
                <w:lang w:eastAsia="fr-CH"/>
              </w:rPr>
            </w:pPr>
          </w:p>
          <w:p w14:paraId="73E0B62E" w14:textId="77777777" w:rsidR="00E30A28" w:rsidRPr="0009348F" w:rsidRDefault="00E30A28" w:rsidP="004D61B3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</w:p>
        </w:tc>
        <w:tc>
          <w:tcPr>
            <w:tcW w:w="5000" w:type="dxa"/>
            <w:tcBorders>
              <w:left w:val="nil"/>
            </w:tcBorders>
          </w:tcPr>
          <w:p w14:paraId="0EB9FE45" w14:textId="77777777" w:rsidR="00B6374B" w:rsidRDefault="00E30A28" w:rsidP="004D61B3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 xml:space="preserve">Legal aid is necessary for earthquake claims because the resources of EQC and insurers are far greater than the resources of ordinary people.  </w:t>
            </w:r>
            <w:r w:rsidR="00B6374B">
              <w:rPr>
                <w:rFonts w:cs="Calibri"/>
                <w:i/>
                <w:lang w:val="en-GB"/>
              </w:rPr>
              <w:t>T</w:t>
            </w:r>
            <w:r w:rsidRPr="0009348F">
              <w:rPr>
                <w:rFonts w:cs="Calibri"/>
                <w:i/>
                <w:lang w:val="en-GB"/>
              </w:rPr>
              <w:t xml:space="preserve">here is such an imbalance of power </w:t>
            </w:r>
            <w:r w:rsidR="00B6374B">
              <w:rPr>
                <w:rFonts w:cs="Calibri"/>
                <w:i/>
                <w:lang w:val="en-GB"/>
              </w:rPr>
              <w:t xml:space="preserve">between affected people and their insurers.  </w:t>
            </w:r>
          </w:p>
          <w:p w14:paraId="105C64C7" w14:textId="77777777" w:rsidR="00B6374B" w:rsidRDefault="00B6374B" w:rsidP="004D61B3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</w:p>
          <w:p w14:paraId="4392D340" w14:textId="77777777" w:rsidR="00B6374B" w:rsidRDefault="00E30A28" w:rsidP="004D61B3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 xml:space="preserve">A key problem for affected people has been the lack of affordable and timely access to an independent decision-maker. </w:t>
            </w:r>
          </w:p>
          <w:p w14:paraId="72BF177D" w14:textId="77777777" w:rsidR="00E30A28" w:rsidRPr="0009348F" w:rsidRDefault="00E30A28" w:rsidP="004D61B3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 xml:space="preserve"> </w:t>
            </w:r>
          </w:p>
          <w:p w14:paraId="27F4FD10" w14:textId="77777777" w:rsidR="00E30A28" w:rsidRPr="0009348F" w:rsidRDefault="00E30A28" w:rsidP="004D61B3">
            <w:pPr>
              <w:tabs>
                <w:tab w:val="left" w:pos="3857"/>
              </w:tabs>
              <w:spacing w:after="0" w:line="240" w:lineRule="auto"/>
              <w:rPr>
                <w:rFonts w:cs="Calibri"/>
                <w:i/>
                <w:lang w:val="en-GB"/>
              </w:rPr>
            </w:pPr>
            <w:r w:rsidRPr="0009348F">
              <w:rPr>
                <w:rFonts w:cs="Calibri"/>
                <w:i/>
                <w:lang w:val="en-GB"/>
              </w:rPr>
              <w:t xml:space="preserve">As discussed above, there is an undeniable imbalance in power between insurers and affected people.  In other </w:t>
            </w:r>
            <w:r w:rsidR="00B6374B">
              <w:rPr>
                <w:rFonts w:cs="Calibri"/>
                <w:i/>
                <w:lang w:val="en-GB"/>
              </w:rPr>
              <w:t xml:space="preserve">similar </w:t>
            </w:r>
            <w:r w:rsidRPr="0009348F">
              <w:rPr>
                <w:rFonts w:cs="Calibri"/>
                <w:i/>
                <w:lang w:val="en-GB"/>
              </w:rPr>
              <w:t>contexts this is recognised and address</w:t>
            </w:r>
            <w:r w:rsidR="00B6374B">
              <w:rPr>
                <w:rFonts w:cs="Calibri"/>
                <w:i/>
                <w:lang w:val="en-GB"/>
              </w:rPr>
              <w:t xml:space="preserve">ed.  For example, in employment </w:t>
            </w:r>
            <w:r w:rsidRPr="0009348F">
              <w:rPr>
                <w:rFonts w:cs="Calibri"/>
                <w:i/>
                <w:lang w:val="en-GB"/>
              </w:rPr>
              <w:t>legislation</w:t>
            </w:r>
            <w:r w:rsidR="00B6374B">
              <w:rPr>
                <w:rFonts w:cs="Calibri"/>
                <w:i/>
                <w:lang w:val="en-GB"/>
              </w:rPr>
              <w:t>, the need</w:t>
            </w:r>
            <w:r w:rsidRPr="0009348F">
              <w:rPr>
                <w:rFonts w:cs="Calibri"/>
                <w:i/>
                <w:lang w:val="en-GB"/>
              </w:rPr>
              <w:t xml:space="preserve"> to acknowledge and address the inherent inequality and power in employment relationships</w:t>
            </w:r>
            <w:r w:rsidR="00B6374B">
              <w:rPr>
                <w:rFonts w:cs="Calibri"/>
                <w:i/>
                <w:lang w:val="en-GB"/>
              </w:rPr>
              <w:t xml:space="preserve"> is expressly acknowledged and </w:t>
            </w:r>
            <w:r w:rsidRPr="0009348F">
              <w:rPr>
                <w:rFonts w:cs="Calibri"/>
                <w:i/>
                <w:lang w:val="en-GB"/>
              </w:rPr>
              <w:t xml:space="preserve">the duty of good faith requires parties to an employment relationship to be active and constructive in establishing and maintaining a productive employment relationship.  If an employer breaches the duty, it </w:t>
            </w:r>
            <w:proofErr w:type="gramStart"/>
            <w:r w:rsidRPr="0009348F">
              <w:rPr>
                <w:rFonts w:cs="Calibri"/>
                <w:i/>
                <w:lang w:val="en-GB"/>
              </w:rPr>
              <w:t>has to</w:t>
            </w:r>
            <w:proofErr w:type="gramEnd"/>
            <w:r w:rsidRPr="0009348F">
              <w:rPr>
                <w:rFonts w:cs="Calibri"/>
                <w:i/>
                <w:lang w:val="en-GB"/>
              </w:rPr>
              <w:t xml:space="preserve"> pay more in remedies to affected employees.  There </w:t>
            </w:r>
            <w:proofErr w:type="gramStart"/>
            <w:r w:rsidRPr="0009348F">
              <w:rPr>
                <w:rFonts w:cs="Calibri"/>
                <w:i/>
                <w:lang w:val="en-GB"/>
              </w:rPr>
              <w:t>is</w:t>
            </w:r>
            <w:proofErr w:type="gramEnd"/>
            <w:r w:rsidRPr="0009348F">
              <w:rPr>
                <w:rFonts w:cs="Calibri"/>
                <w:i/>
                <w:lang w:val="en-GB"/>
              </w:rPr>
              <w:t xml:space="preserve"> no reason why </w:t>
            </w:r>
            <w:r w:rsidR="00B6374B">
              <w:rPr>
                <w:rFonts w:cs="Calibri"/>
                <w:i/>
                <w:lang w:val="en-GB"/>
              </w:rPr>
              <w:t>similar measures</w:t>
            </w:r>
            <w:r w:rsidRPr="0009348F">
              <w:rPr>
                <w:rFonts w:cs="Calibri"/>
                <w:i/>
                <w:lang w:val="en-GB"/>
              </w:rPr>
              <w:t xml:space="preserve"> should not be extended to insurance l</w:t>
            </w:r>
            <w:r w:rsidR="00B6374B">
              <w:rPr>
                <w:rFonts w:cs="Calibri"/>
                <w:i/>
                <w:lang w:val="en-GB"/>
              </w:rPr>
              <w:t>egislation</w:t>
            </w:r>
            <w:r w:rsidRPr="0009348F">
              <w:rPr>
                <w:rFonts w:cs="Calibri"/>
                <w:i/>
                <w:lang w:val="en-GB"/>
              </w:rPr>
              <w:t xml:space="preserve">  </w:t>
            </w:r>
          </w:p>
          <w:p w14:paraId="7C9D22F4" w14:textId="77777777" w:rsidR="00E30A28" w:rsidRPr="00B6374B" w:rsidRDefault="00E30A28" w:rsidP="004D61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lang w:eastAsia="fr-CH"/>
              </w:rPr>
            </w:pPr>
          </w:p>
        </w:tc>
      </w:tr>
    </w:tbl>
    <w:p w14:paraId="0EEE5375" w14:textId="77777777" w:rsidR="00E30A28" w:rsidRPr="0009348F" w:rsidRDefault="00E30A28" w:rsidP="00E30A28">
      <w:pPr>
        <w:tabs>
          <w:tab w:val="left" w:pos="3857"/>
        </w:tabs>
        <w:rPr>
          <w:rFonts w:cs="Calibri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30A28" w:rsidRPr="0009348F" w14:paraId="0D2A93C7" w14:textId="77777777" w:rsidTr="004D61B3">
        <w:trPr>
          <w:trHeight w:val="387"/>
        </w:trPr>
        <w:tc>
          <w:tcPr>
            <w:tcW w:w="9924" w:type="dxa"/>
          </w:tcPr>
          <w:p w14:paraId="68046F31" w14:textId="77777777" w:rsidR="00E30A28" w:rsidRPr="0009348F" w:rsidRDefault="00E30A28" w:rsidP="004D61B3">
            <w:pPr>
              <w:tabs>
                <w:tab w:val="left" w:pos="3857"/>
              </w:tabs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  <w:r w:rsidRPr="0009348F">
              <w:rPr>
                <w:rFonts w:cs="Calibri"/>
                <w:lang w:val="en-GB"/>
              </w:rPr>
              <w:lastRenderedPageBreak/>
              <w:br w:type="page"/>
            </w:r>
            <w:r w:rsidRPr="0009348F">
              <w:rPr>
                <w:rFonts w:cs="Calibri"/>
                <w:b/>
                <w:lang w:val="en-GB"/>
              </w:rPr>
              <w:t>RECOMMENDATIONS</w:t>
            </w:r>
          </w:p>
        </w:tc>
      </w:tr>
      <w:tr w:rsidR="00E30A28" w:rsidRPr="0009348F" w14:paraId="620AF85B" w14:textId="77777777" w:rsidTr="004D61B3">
        <w:trPr>
          <w:trHeight w:val="705"/>
        </w:trPr>
        <w:tc>
          <w:tcPr>
            <w:tcW w:w="9924" w:type="dxa"/>
          </w:tcPr>
          <w:p w14:paraId="3573FF21" w14:textId="77777777" w:rsidR="00E30A28" w:rsidRPr="0009348F" w:rsidRDefault="00E30A28" w:rsidP="004D61B3">
            <w:pPr>
              <w:spacing w:after="160" w:line="259" w:lineRule="auto"/>
            </w:pPr>
            <w:r w:rsidRPr="0009348F">
              <w:t xml:space="preserve">WCM Legal </w:t>
            </w:r>
            <w:proofErr w:type="spellStart"/>
            <w:proofErr w:type="gramStart"/>
            <w:r w:rsidRPr="0009348F">
              <w:t>recommends</w:t>
            </w:r>
            <w:proofErr w:type="spellEnd"/>
            <w:r w:rsidRPr="0009348F">
              <w:t xml:space="preserve">  </w:t>
            </w:r>
            <w:proofErr w:type="spellStart"/>
            <w:r w:rsidRPr="0009348F">
              <w:t>that</w:t>
            </w:r>
            <w:proofErr w:type="spellEnd"/>
            <w:proofErr w:type="gramEnd"/>
            <w:r w:rsidRPr="0009348F">
              <w:t xml:space="preserve"> the New Zealand </w:t>
            </w:r>
            <w:proofErr w:type="spellStart"/>
            <w:r w:rsidRPr="0009348F">
              <w:t>government</w:t>
            </w:r>
            <w:proofErr w:type="spellEnd"/>
            <w:r w:rsidRPr="0009348F">
              <w:t xml:space="preserve"> must:</w:t>
            </w:r>
          </w:p>
          <w:p w14:paraId="3E0F538E" w14:textId="77777777" w:rsidR="00E30A28" w:rsidRPr="0009348F" w:rsidRDefault="00E30A28" w:rsidP="004D61B3">
            <w:pPr>
              <w:pStyle w:val="ListParagraph"/>
            </w:pPr>
          </w:p>
          <w:p w14:paraId="6D053BC2" w14:textId="77777777" w:rsidR="00E30A28" w:rsidRPr="0009348F" w:rsidRDefault="00E30A28" w:rsidP="00E30A28">
            <w:pPr>
              <w:pStyle w:val="ListParagraph"/>
              <w:numPr>
                <w:ilvl w:val="1"/>
                <w:numId w:val="3"/>
              </w:numPr>
              <w:spacing w:after="160" w:line="259" w:lineRule="auto"/>
            </w:pPr>
            <w:proofErr w:type="spellStart"/>
            <w:r w:rsidRPr="0009348F">
              <w:t>Provide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legal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aid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urgently</w:t>
            </w:r>
            <w:proofErr w:type="spellEnd"/>
            <w:r w:rsidRPr="0009348F">
              <w:t xml:space="preserve"> to all Canterbury </w:t>
            </w:r>
            <w:proofErr w:type="spellStart"/>
            <w:r w:rsidRPr="0009348F">
              <w:t>earthquake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claimants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who</w:t>
            </w:r>
            <w:proofErr w:type="spellEnd"/>
            <w:r w:rsidRPr="0009348F">
              <w:t xml:space="preserve"> have </w:t>
            </w:r>
            <w:proofErr w:type="spellStart"/>
            <w:r w:rsidRPr="0009348F">
              <w:t>commenced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litigation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against</w:t>
            </w:r>
            <w:proofErr w:type="spellEnd"/>
            <w:r w:rsidRPr="0009348F">
              <w:t xml:space="preserve"> EQC and </w:t>
            </w:r>
            <w:proofErr w:type="spellStart"/>
            <w:r w:rsidRPr="0009348F">
              <w:t>insurers</w:t>
            </w:r>
            <w:proofErr w:type="spellEnd"/>
            <w:r w:rsidRPr="0009348F">
              <w:t>.</w:t>
            </w:r>
          </w:p>
          <w:p w14:paraId="7CD2851F" w14:textId="77777777" w:rsidR="00E30A28" w:rsidRPr="0009348F" w:rsidRDefault="00E30A28" w:rsidP="004D61B3">
            <w:pPr>
              <w:pStyle w:val="ListParagraph"/>
            </w:pPr>
          </w:p>
          <w:p w14:paraId="3349FC03" w14:textId="77777777" w:rsidR="00E30A28" w:rsidRPr="0009348F" w:rsidRDefault="00E30A28" w:rsidP="00E30A28">
            <w:pPr>
              <w:pStyle w:val="ListParagraph"/>
              <w:numPr>
                <w:ilvl w:val="1"/>
                <w:numId w:val="3"/>
              </w:numPr>
              <w:spacing w:after="160" w:line="259" w:lineRule="auto"/>
            </w:pPr>
            <w:proofErr w:type="spellStart"/>
            <w:r w:rsidRPr="0009348F">
              <w:t>Provide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affected</w:t>
            </w:r>
            <w:proofErr w:type="spellEnd"/>
            <w:r w:rsidRPr="0009348F">
              <w:t xml:space="preserve"> people </w:t>
            </w:r>
            <w:proofErr w:type="spellStart"/>
            <w:r w:rsidRPr="0009348F">
              <w:t>with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unrestricted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access</w:t>
            </w:r>
            <w:proofErr w:type="spellEnd"/>
            <w:r w:rsidRPr="0009348F">
              <w:t xml:space="preserve"> to </w:t>
            </w:r>
            <w:proofErr w:type="spellStart"/>
            <w:r w:rsidRPr="0009348F">
              <w:t>mediation</w:t>
            </w:r>
            <w:proofErr w:type="spellEnd"/>
            <w:r w:rsidRPr="0009348F">
              <w:t xml:space="preserve"> and </w:t>
            </w:r>
            <w:proofErr w:type="spellStart"/>
            <w:r w:rsidRPr="0009348F">
              <w:t>other</w:t>
            </w:r>
            <w:proofErr w:type="spellEnd"/>
            <w:r w:rsidRPr="0009348F">
              <w:t xml:space="preserve"> ADR services.</w:t>
            </w:r>
          </w:p>
          <w:p w14:paraId="3855BB68" w14:textId="77777777" w:rsidR="00E30A28" w:rsidRPr="0009348F" w:rsidRDefault="00E30A28" w:rsidP="004D61B3">
            <w:pPr>
              <w:pStyle w:val="ListParagraph"/>
            </w:pPr>
          </w:p>
          <w:p w14:paraId="4C036716" w14:textId="77777777" w:rsidR="00E30A28" w:rsidRPr="0009348F" w:rsidRDefault="00E30A28" w:rsidP="00E30A28">
            <w:pPr>
              <w:pStyle w:val="ListParagraph"/>
              <w:numPr>
                <w:ilvl w:val="1"/>
                <w:numId w:val="3"/>
              </w:numPr>
              <w:spacing w:after="160" w:line="259" w:lineRule="auto"/>
            </w:pPr>
            <w:proofErr w:type="spellStart"/>
            <w:r w:rsidRPr="0009348F">
              <w:t>Ensure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that</w:t>
            </w:r>
            <w:proofErr w:type="spellEnd"/>
            <w:r w:rsidRPr="0009348F">
              <w:t xml:space="preserve"> the </w:t>
            </w:r>
            <w:proofErr w:type="spellStart"/>
            <w:r w:rsidRPr="0009348F">
              <w:t>duty</w:t>
            </w:r>
            <w:proofErr w:type="spellEnd"/>
            <w:r w:rsidRPr="0009348F">
              <w:t xml:space="preserve"> of good </w:t>
            </w:r>
            <w:proofErr w:type="spellStart"/>
            <w:r w:rsidRPr="0009348F">
              <w:t>faith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is</w:t>
            </w:r>
            <w:proofErr w:type="spellEnd"/>
            <w:r w:rsidRPr="0009348F">
              <w:t xml:space="preserve"> </w:t>
            </w:r>
            <w:proofErr w:type="spellStart"/>
            <w:r w:rsidRPr="0009348F">
              <w:t>codified</w:t>
            </w:r>
            <w:proofErr w:type="spellEnd"/>
            <w:r w:rsidRPr="0009348F">
              <w:t xml:space="preserve"> and </w:t>
            </w:r>
            <w:proofErr w:type="spellStart"/>
            <w:r w:rsidRPr="0009348F">
              <w:t>strengthened</w:t>
            </w:r>
            <w:proofErr w:type="spellEnd"/>
            <w:r w:rsidRPr="0009348F">
              <w:t xml:space="preserve"> in </w:t>
            </w:r>
            <w:proofErr w:type="spellStart"/>
            <w:r w:rsidR="00B6374B">
              <w:t>insurance</w:t>
            </w:r>
            <w:proofErr w:type="spellEnd"/>
            <w:r w:rsidR="00B6374B">
              <w:t xml:space="preserve"> </w:t>
            </w:r>
            <w:proofErr w:type="spellStart"/>
            <w:r w:rsidRPr="0009348F">
              <w:t>legislation</w:t>
            </w:r>
            <w:proofErr w:type="spellEnd"/>
            <w:r w:rsidRPr="0009348F">
              <w:t>.</w:t>
            </w:r>
          </w:p>
          <w:p w14:paraId="39969CD2" w14:textId="77777777" w:rsidR="00E30A28" w:rsidRPr="0009348F" w:rsidRDefault="00E30A28" w:rsidP="004D61B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i/>
                <w:lang w:val="en-GB"/>
              </w:rPr>
            </w:pPr>
          </w:p>
        </w:tc>
      </w:tr>
    </w:tbl>
    <w:p w14:paraId="59E6B39E" w14:textId="77777777" w:rsidR="00E30A28" w:rsidRPr="0009348F" w:rsidRDefault="00E30A28" w:rsidP="00E30A28">
      <w:pPr>
        <w:spacing w:after="160" w:line="259" w:lineRule="auto"/>
        <w:rPr>
          <w:rFonts w:cs="Calibri"/>
          <w:lang w:val="en-GB"/>
        </w:rPr>
      </w:pPr>
    </w:p>
    <w:p w14:paraId="02859835" w14:textId="77777777" w:rsidR="00E30A28" w:rsidRPr="0009348F" w:rsidRDefault="00E30A28" w:rsidP="00E30A28">
      <w:pPr>
        <w:tabs>
          <w:tab w:val="left" w:pos="3857"/>
        </w:tabs>
        <w:rPr>
          <w:rFonts w:cs="Calibri"/>
          <w:lang w:val="en-GB"/>
        </w:rPr>
      </w:pPr>
      <w:r w:rsidRPr="0009348F">
        <w:rPr>
          <w:rFonts w:cs="Calibri"/>
          <w:lang w:val="en-GB"/>
        </w:rPr>
        <w:t>References/sources:</w:t>
      </w:r>
    </w:p>
    <w:p w14:paraId="5A2CDAA1" w14:textId="77777777" w:rsidR="00E30A28" w:rsidRPr="0009348F" w:rsidRDefault="00E30A28" w:rsidP="00E30A28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09348F">
        <w:rPr>
          <w:rFonts w:cs="Calibri"/>
          <w:lang w:val="en-GB"/>
        </w:rPr>
        <w:t>Employment Relations Act 2000.</w:t>
      </w:r>
    </w:p>
    <w:p w14:paraId="05CC473C" w14:textId="77777777" w:rsidR="00E30A28" w:rsidRPr="0009348F" w:rsidRDefault="00E30A28" w:rsidP="00E30A28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09348F">
        <w:rPr>
          <w:rFonts w:cs="Calibri"/>
          <w:lang w:val="en-GB"/>
        </w:rPr>
        <w:t>United Nations “Guiding Principles on Business and Human Rights: Implementing the United Nations ‘Protect, Respect and Remedy’ Framework” (United Nations, New York and Geneva, 2011).</w:t>
      </w:r>
    </w:p>
    <w:p w14:paraId="08D56CC4" w14:textId="77777777" w:rsidR="00E30A28" w:rsidRPr="0009348F" w:rsidRDefault="00E30A28" w:rsidP="00E30A28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09348F">
        <w:rPr>
          <w:rFonts w:cs="Calibri"/>
          <w:lang w:val="en-GB"/>
        </w:rPr>
        <w:t>Earthquake Commission Act 1993.</w:t>
      </w:r>
    </w:p>
    <w:p w14:paraId="7EBA55DE" w14:textId="77777777" w:rsidR="00E30A28" w:rsidRPr="0009348F" w:rsidRDefault="00E30A28" w:rsidP="00E30A28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09348F">
        <w:rPr>
          <w:rFonts w:cs="Calibri"/>
          <w:lang w:val="en-GB"/>
        </w:rPr>
        <w:t>Fair Insurance Code 2016.</w:t>
      </w:r>
    </w:p>
    <w:p w14:paraId="4D7D2E78" w14:textId="77777777" w:rsidR="00E30A28" w:rsidRPr="0009348F" w:rsidRDefault="00E30A28" w:rsidP="00E30A28">
      <w:pPr>
        <w:pStyle w:val="ListParagraph"/>
        <w:numPr>
          <w:ilvl w:val="0"/>
          <w:numId w:val="2"/>
        </w:numPr>
        <w:tabs>
          <w:tab w:val="left" w:pos="3857"/>
        </w:tabs>
        <w:rPr>
          <w:rFonts w:cs="Calibri"/>
          <w:lang w:val="en-GB"/>
        </w:rPr>
      </w:pPr>
      <w:r w:rsidRPr="0009348F">
        <w:rPr>
          <w:rFonts w:cs="Calibri"/>
          <w:lang w:val="en-GB"/>
        </w:rPr>
        <w:t xml:space="preserve">United Nations Economic and Social </w:t>
      </w:r>
      <w:proofErr w:type="gramStart"/>
      <w:r w:rsidRPr="0009348F">
        <w:rPr>
          <w:rFonts w:cs="Calibri"/>
          <w:lang w:val="en-GB"/>
        </w:rPr>
        <w:t xml:space="preserve">Council  </w:t>
      </w:r>
      <w:r w:rsidRPr="0009348F">
        <w:rPr>
          <w:rFonts w:cs="Calibri"/>
          <w:i/>
          <w:lang w:val="en-GB"/>
        </w:rPr>
        <w:t>Concluding</w:t>
      </w:r>
      <w:proofErr w:type="gramEnd"/>
      <w:r w:rsidRPr="0009348F">
        <w:rPr>
          <w:rFonts w:cs="Calibri"/>
          <w:i/>
          <w:lang w:val="en-GB"/>
        </w:rPr>
        <w:t xml:space="preserve"> Observations on the Fourth Periodic Report of New Zealand</w:t>
      </w:r>
      <w:r w:rsidRPr="0009348F">
        <w:rPr>
          <w:rFonts w:cs="Calibri"/>
          <w:lang w:val="en-GB"/>
        </w:rPr>
        <w:t xml:space="preserve"> (United Nations, E/C.12/NZL/CO/4, May 2018).</w:t>
      </w:r>
    </w:p>
    <w:p w14:paraId="566C7F25" w14:textId="77777777" w:rsidR="00E30A28" w:rsidRPr="00DA2540" w:rsidRDefault="00E30A28" w:rsidP="00E30A28">
      <w:pPr>
        <w:tabs>
          <w:tab w:val="left" w:pos="3857"/>
        </w:tabs>
        <w:rPr>
          <w:rFonts w:cs="Calibri"/>
          <w:lang w:val="en-GB"/>
        </w:rPr>
      </w:pPr>
    </w:p>
    <w:p w14:paraId="1B568835" w14:textId="77777777" w:rsidR="00E30A28" w:rsidRDefault="00E30A28" w:rsidP="00E30A28"/>
    <w:p w14:paraId="61B423F5" w14:textId="77777777" w:rsidR="003A71C2" w:rsidRDefault="003A71C2"/>
    <w:sectPr w:rsidR="003A71C2" w:rsidSect="000805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53E9" w14:textId="77777777" w:rsidR="006264C9" w:rsidRDefault="006264C9" w:rsidP="00E30A28">
      <w:pPr>
        <w:spacing w:after="0" w:line="240" w:lineRule="auto"/>
      </w:pPr>
      <w:r>
        <w:separator/>
      </w:r>
    </w:p>
  </w:endnote>
  <w:endnote w:type="continuationSeparator" w:id="0">
    <w:p w14:paraId="720A2F5C" w14:textId="77777777" w:rsidR="006264C9" w:rsidRDefault="006264C9" w:rsidP="00E3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65D2" w14:textId="77777777" w:rsidR="00051CBF" w:rsidRPr="00442659" w:rsidRDefault="006264C9">
    <w:pPr>
      <w:pStyle w:val="Footer"/>
      <w:pBdr>
        <w:top w:val="thinThickSmallGap" w:sz="24" w:space="1" w:color="622423"/>
      </w:pBdr>
      <w:rPr>
        <w:sz w:val="20"/>
      </w:rPr>
    </w:pPr>
    <w:r w:rsidRPr="00442659">
      <w:rPr>
        <w:sz w:val="20"/>
      </w:rPr>
      <w:t>NAME</w:t>
    </w:r>
    <w:r w:rsidRPr="00442659">
      <w:rPr>
        <w:sz w:val="20"/>
      </w:rPr>
      <w:tab/>
    </w:r>
    <w:r w:rsidRPr="00442659">
      <w:rPr>
        <w:sz w:val="20"/>
      </w:rPr>
      <w:tab/>
      <w:t>FACTSHEET 1</w:t>
    </w:r>
  </w:p>
  <w:p w14:paraId="108118B6" w14:textId="77777777" w:rsidR="00051CBF" w:rsidRDefault="00146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B21D" w14:textId="77777777" w:rsidR="006264C9" w:rsidRDefault="006264C9" w:rsidP="00E30A28">
      <w:pPr>
        <w:spacing w:after="0" w:line="240" w:lineRule="auto"/>
      </w:pPr>
      <w:r>
        <w:separator/>
      </w:r>
    </w:p>
  </w:footnote>
  <w:footnote w:type="continuationSeparator" w:id="0">
    <w:p w14:paraId="5854171F" w14:textId="77777777" w:rsidR="006264C9" w:rsidRDefault="006264C9" w:rsidP="00E3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3CF" w14:textId="77777777" w:rsidR="006973D8" w:rsidRPr="00442659" w:rsidRDefault="006264C9">
    <w:pPr>
      <w:pStyle w:val="Header"/>
      <w:rPr>
        <w:b/>
        <w:lang w:val="en-GB"/>
      </w:rPr>
    </w:pPr>
    <w:r w:rsidRPr="00442659">
      <w:rPr>
        <w:b/>
        <w:lang w:val="en-GB"/>
      </w:rPr>
      <w:t>FACTSHEET – UPR 201</w:t>
    </w:r>
    <w:r>
      <w:rPr>
        <w:b/>
        <w:lang w:val="en-GB"/>
      </w:rPr>
      <w:t>8</w:t>
    </w:r>
    <w:r w:rsidRPr="00442659">
      <w:rPr>
        <w:b/>
        <w:lang w:val="en-GB"/>
      </w:rPr>
      <w:t xml:space="preserve"> – </w:t>
    </w:r>
    <w:r>
      <w:rPr>
        <w:b/>
        <w:lang w:val="en-GB"/>
      </w:rPr>
      <w:t>New Zealand</w:t>
    </w:r>
    <w:r w:rsidRPr="00442659">
      <w:rPr>
        <w:b/>
        <w:lang w:val="en-GB"/>
      </w:rPr>
      <w:tab/>
    </w:r>
    <w:r w:rsidRPr="00442659">
      <w:rPr>
        <w:b/>
        <w:lang w:val="en-GB"/>
      </w:rPr>
      <w:tab/>
    </w:r>
    <w:r>
      <w:rPr>
        <w:b/>
        <w:lang w:val="en-GB"/>
      </w:rPr>
      <w:t>John Goddard WCM Legal</w:t>
    </w:r>
  </w:p>
  <w:p w14:paraId="539C6DFC" w14:textId="77777777" w:rsidR="00051CBF" w:rsidRPr="00442659" w:rsidRDefault="006264C9">
    <w:pPr>
      <w:pStyle w:val="Header"/>
      <w:rPr>
        <w:b/>
      </w:rPr>
    </w:pPr>
    <w:r w:rsidRPr="00442659">
      <w:rPr>
        <w:b/>
      </w:rPr>
      <w:t>3rd CYCLE UNIVERSAL PERIODIC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B11"/>
    <w:multiLevelType w:val="hybridMultilevel"/>
    <w:tmpl w:val="963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527B"/>
    <w:multiLevelType w:val="hybridMultilevel"/>
    <w:tmpl w:val="7F68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0ECC"/>
    <w:multiLevelType w:val="hybridMultilevel"/>
    <w:tmpl w:val="D3D64AD2"/>
    <w:lvl w:ilvl="0" w:tplc="EF1A3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28"/>
    <w:rsid w:val="00146B05"/>
    <w:rsid w:val="003A71C2"/>
    <w:rsid w:val="006264C9"/>
    <w:rsid w:val="006F31F1"/>
    <w:rsid w:val="00B6374B"/>
    <w:rsid w:val="00E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BE1E"/>
  <w15:chartTrackingRefBased/>
  <w15:docId w15:val="{876B1BAA-CB83-4384-ABD6-5522EBB8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A28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28"/>
    <w:rPr>
      <w:rFonts w:ascii="Calibri" w:eastAsia="Calibri" w:hAnsi="Calibri" w:cs="Times New Roman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E3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28"/>
    <w:rPr>
      <w:rFonts w:ascii="Calibri" w:eastAsia="Calibri" w:hAnsi="Calibri" w:cs="Times New Roman"/>
      <w:lang w:val="fr-CH"/>
    </w:rPr>
  </w:style>
  <w:style w:type="paragraph" w:styleId="ListParagraph">
    <w:name w:val="List Paragraph"/>
    <w:basedOn w:val="Normal"/>
    <w:uiPriority w:val="34"/>
    <w:qFormat/>
    <w:rsid w:val="00E30A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0A2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A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Goddard</dc:creator>
  <cp:keywords/>
  <dc:description/>
  <cp:lastModifiedBy>Eleanor Vermunt</cp:lastModifiedBy>
  <cp:revision>2</cp:revision>
  <dcterms:created xsi:type="dcterms:W3CDTF">2018-10-29T21:20:00Z</dcterms:created>
  <dcterms:modified xsi:type="dcterms:W3CDTF">2018-10-29T21:20:00Z</dcterms:modified>
</cp:coreProperties>
</file>