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4D63" w14:textId="77777777" w:rsidR="006151CF" w:rsidRPr="00F85BB9" w:rsidRDefault="006151CF" w:rsidP="006151CF">
      <w:pPr>
        <w:rPr>
          <w:rFonts w:cs="Calibri"/>
          <w:lang w:val="en-GB"/>
        </w:rPr>
      </w:pPr>
      <w:bookmarkStart w:id="0" w:name="_GoBack"/>
      <w:bookmarkEnd w:id="0"/>
      <w:r w:rsidRPr="00F85BB9">
        <w:rPr>
          <w:noProof/>
        </w:rPr>
        <w:drawing>
          <wp:anchor distT="0" distB="0" distL="114300" distR="114300" simplePos="0" relativeHeight="251659264" behindDoc="1" locked="1" layoutInCell="1" allowOverlap="1" wp14:anchorId="5D3937F2" wp14:editId="77242603">
            <wp:simplePos x="0" y="0"/>
            <wp:positionH relativeFrom="page">
              <wp:posOffset>4838700</wp:posOffset>
            </wp:positionH>
            <wp:positionV relativeFrom="page">
              <wp:posOffset>650875</wp:posOffset>
            </wp:positionV>
            <wp:extent cx="2127250" cy="719455"/>
            <wp:effectExtent l="0" t="0" r="6350" b="4445"/>
            <wp:wrapTight wrapText="bothSides">
              <wp:wrapPolygon edited="0">
                <wp:start x="0" y="0"/>
                <wp:lineTo x="0" y="21162"/>
                <wp:lineTo x="21471" y="21162"/>
                <wp:lineTo x="21471" y="0"/>
                <wp:lineTo x="0" y="0"/>
              </wp:wrapPolygon>
            </wp:wrapTight>
            <wp:docPr id="4" name="Picture 4" descr="WCM_Leg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M_Legal_Logo"/>
                    <pic:cNvPicPr>
                      <a:picLocks noChangeAspect="1" noChangeArrowheads="1"/>
                    </pic:cNvPicPr>
                  </pic:nvPicPr>
                  <pic:blipFill>
                    <a:blip r:embed="rId7" cstate="print">
                      <a:extLst>
                        <a:ext uri="{28A0092B-C50C-407E-A947-70E740481C1C}">
                          <a14:useLocalDpi xmlns:a14="http://schemas.microsoft.com/office/drawing/2010/main" val="0"/>
                        </a:ext>
                      </a:extLst>
                    </a:blip>
                    <a:srcRect l="3535" r="2962"/>
                    <a:stretch>
                      <a:fillRect/>
                    </a:stretch>
                  </pic:blipFill>
                  <pic:spPr bwMode="auto">
                    <a:xfrm>
                      <a:off x="0" y="0"/>
                      <a:ext cx="21272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DCF51" w14:textId="77777777" w:rsidR="006151CF" w:rsidRPr="00F85BB9" w:rsidRDefault="006151CF" w:rsidP="006151CF">
      <w:pPr>
        <w:rPr>
          <w:rFonts w:cs="Calibri"/>
          <w:b/>
          <w:sz w:val="24"/>
          <w:lang w:val="en-GB"/>
        </w:rPr>
      </w:pPr>
    </w:p>
    <w:p w14:paraId="2597361C" w14:textId="77777777" w:rsidR="006151CF" w:rsidRPr="00F85BB9" w:rsidRDefault="006151CF" w:rsidP="006151CF">
      <w:pPr>
        <w:rPr>
          <w:rFonts w:cs="Calibri"/>
          <w:b/>
          <w:i/>
          <w:sz w:val="24"/>
          <w:lang w:val="en-GB"/>
        </w:rPr>
      </w:pPr>
      <w:r w:rsidRPr="00F85BB9">
        <w:rPr>
          <w:rFonts w:cs="Calibri"/>
          <w:b/>
          <w:sz w:val="24"/>
          <w:lang w:val="en-GB"/>
        </w:rPr>
        <w:t>The UNGP Protect, Respect and Remedy Framework as a Best Practice Model for Dispute Resolution for Tokelau</w:t>
      </w:r>
    </w:p>
    <w:p w14:paraId="3503A84A" w14:textId="77777777" w:rsidR="006151CF" w:rsidRPr="00F85BB9" w:rsidRDefault="006151CF" w:rsidP="006151CF">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51CF" w:rsidRPr="00F85BB9" w14:paraId="2922BCBF" w14:textId="77777777" w:rsidTr="004D61B3">
        <w:trPr>
          <w:trHeight w:val="429"/>
        </w:trPr>
        <w:tc>
          <w:tcPr>
            <w:tcW w:w="9924" w:type="dxa"/>
          </w:tcPr>
          <w:p w14:paraId="685BE9BC" w14:textId="77777777" w:rsidR="006151CF" w:rsidRPr="00F85BB9" w:rsidRDefault="006151CF" w:rsidP="004D61B3">
            <w:pPr>
              <w:spacing w:after="0" w:line="240" w:lineRule="auto"/>
              <w:jc w:val="center"/>
              <w:rPr>
                <w:rFonts w:cs="Calibri"/>
                <w:b/>
                <w:lang w:val="en-GB"/>
              </w:rPr>
            </w:pPr>
            <w:r w:rsidRPr="00F85BB9">
              <w:rPr>
                <w:rFonts w:cs="Calibri"/>
                <w:b/>
                <w:lang w:val="en-GB"/>
              </w:rPr>
              <w:t>SUMMARY OF KEY ISSUES FROM PREVIOUS UPR CYCLES</w:t>
            </w:r>
          </w:p>
        </w:tc>
      </w:tr>
      <w:tr w:rsidR="006151CF" w:rsidRPr="00F85BB9" w14:paraId="5325F6A9" w14:textId="77777777" w:rsidTr="004D61B3">
        <w:trPr>
          <w:trHeight w:val="836"/>
        </w:trPr>
        <w:tc>
          <w:tcPr>
            <w:tcW w:w="9924" w:type="dxa"/>
          </w:tcPr>
          <w:p w14:paraId="34AFB0FF" w14:textId="77777777" w:rsidR="006151CF" w:rsidRPr="00F85BB9" w:rsidRDefault="006151CF" w:rsidP="004D61B3">
            <w:pPr>
              <w:tabs>
                <w:tab w:val="left" w:pos="1483"/>
              </w:tabs>
              <w:spacing w:after="0" w:line="240" w:lineRule="auto"/>
              <w:rPr>
                <w:rFonts w:cs="Calibri"/>
                <w:lang w:val="en-GB"/>
              </w:rPr>
            </w:pPr>
            <w:r w:rsidRPr="00F85BB9">
              <w:rPr>
                <w:rFonts w:cs="Calibri"/>
                <w:lang w:val="en-GB"/>
              </w:rPr>
              <w:t>In the Report of the Working Group on the Universal Periodic Review: New Zealand dated 7 April 2014, the Working Group simply noted New Zealand’s statement that after Tokelauans voted to remain a territory of New Zealand, New Zealand continued to have ‘special responsibilities’ to Tokelau.</w:t>
            </w:r>
          </w:p>
        </w:tc>
      </w:tr>
    </w:tbl>
    <w:p w14:paraId="72748AEE" w14:textId="77777777" w:rsidR="006151CF" w:rsidRPr="00F85BB9" w:rsidRDefault="006151CF" w:rsidP="006151CF">
      <w:pPr>
        <w:spacing w:after="0" w:line="240" w:lineRule="auto"/>
        <w:jc w:val="center"/>
        <w:rPr>
          <w:rFonts w:cs="Calibri"/>
          <w:lang w:val="en-GB"/>
        </w:rPr>
      </w:pPr>
    </w:p>
    <w:p w14:paraId="7C02CEFC" w14:textId="77777777" w:rsidR="006151CF" w:rsidRPr="00F85BB9" w:rsidRDefault="006151CF" w:rsidP="006151CF">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51CF" w:rsidRPr="00F85BB9" w14:paraId="248352C7" w14:textId="77777777" w:rsidTr="004D61B3">
        <w:trPr>
          <w:trHeight w:val="352"/>
        </w:trPr>
        <w:tc>
          <w:tcPr>
            <w:tcW w:w="9924" w:type="dxa"/>
          </w:tcPr>
          <w:p w14:paraId="12CB8393" w14:textId="77777777" w:rsidR="006151CF" w:rsidRPr="00F85BB9" w:rsidRDefault="006151CF" w:rsidP="004D61B3">
            <w:pPr>
              <w:spacing w:after="0" w:line="240" w:lineRule="auto"/>
              <w:jc w:val="center"/>
              <w:rPr>
                <w:rFonts w:cs="Calibri"/>
                <w:b/>
                <w:lang w:val="en-GB"/>
              </w:rPr>
            </w:pPr>
            <w:r w:rsidRPr="00F85BB9">
              <w:rPr>
                <w:rFonts w:cs="Calibri"/>
                <w:b/>
                <w:lang w:val="en-GB"/>
              </w:rPr>
              <w:t>NATIONAL FRAMEWORK</w:t>
            </w:r>
          </w:p>
        </w:tc>
      </w:tr>
      <w:tr w:rsidR="006151CF" w:rsidRPr="00F85BB9" w14:paraId="47F6724D" w14:textId="77777777" w:rsidTr="004D61B3">
        <w:trPr>
          <w:trHeight w:val="489"/>
        </w:trPr>
        <w:tc>
          <w:tcPr>
            <w:tcW w:w="9924" w:type="dxa"/>
          </w:tcPr>
          <w:p w14:paraId="5D0B74DB" w14:textId="77777777" w:rsidR="006151CF" w:rsidRPr="00F85BB9" w:rsidRDefault="006151CF" w:rsidP="004D61B3">
            <w:pPr>
              <w:spacing w:after="160" w:line="259" w:lineRule="auto"/>
              <w:rPr>
                <w:i/>
              </w:rPr>
            </w:pPr>
            <w:r w:rsidRPr="00F85BB9">
              <w:rPr>
                <w:rFonts w:cs="Calibri"/>
                <w:lang w:val="en-GB"/>
              </w:rPr>
              <w:t xml:space="preserve">There is no national framework.  </w:t>
            </w:r>
            <w:r w:rsidRPr="00F85BB9">
              <w:t xml:space="preserve">Tokelau </w:t>
            </w:r>
            <w:proofErr w:type="spellStart"/>
            <w:r w:rsidRPr="00F85BB9">
              <w:t>is</w:t>
            </w:r>
            <w:proofErr w:type="spellEnd"/>
            <w:r w:rsidRPr="00F85BB9">
              <w:t xml:space="preserve"> part of New Zealand and all </w:t>
            </w:r>
            <w:proofErr w:type="spellStart"/>
            <w:r w:rsidRPr="00F85BB9">
              <w:t>Tokelauans</w:t>
            </w:r>
            <w:proofErr w:type="spellEnd"/>
            <w:r w:rsidRPr="00F85BB9">
              <w:t xml:space="preserve"> are New Zealand </w:t>
            </w:r>
            <w:proofErr w:type="spellStart"/>
            <w:r w:rsidRPr="00F85BB9">
              <w:t>citizens</w:t>
            </w:r>
            <w:proofErr w:type="spellEnd"/>
            <w:r w:rsidRPr="00F85BB9">
              <w:t xml:space="preserve"> </w:t>
            </w:r>
            <w:proofErr w:type="spellStart"/>
            <w:r w:rsidRPr="00F85BB9">
              <w:t>under</w:t>
            </w:r>
            <w:proofErr w:type="spellEnd"/>
            <w:r w:rsidRPr="00F85BB9">
              <w:t xml:space="preserve"> the </w:t>
            </w:r>
            <w:proofErr w:type="spellStart"/>
            <w:r w:rsidRPr="00F85BB9">
              <w:t>Citizenship</w:t>
            </w:r>
            <w:proofErr w:type="spellEnd"/>
            <w:r w:rsidRPr="00F85BB9">
              <w:t xml:space="preserve"> </w:t>
            </w:r>
            <w:proofErr w:type="spellStart"/>
            <w:r w:rsidRPr="00F85BB9">
              <w:t>Act</w:t>
            </w:r>
            <w:proofErr w:type="spellEnd"/>
            <w:r w:rsidRPr="00F85BB9">
              <w:t xml:space="preserve"> 1977.</w:t>
            </w:r>
            <w:r w:rsidRPr="00F85BB9">
              <w:rPr>
                <w:rStyle w:val="FootnoteReference"/>
              </w:rPr>
              <w:footnoteReference w:id="1"/>
            </w:r>
            <w:r w:rsidRPr="00F85BB9">
              <w:t xml:space="preserve">  </w:t>
            </w:r>
            <w:proofErr w:type="spellStart"/>
            <w:r w:rsidRPr="00F85BB9">
              <w:t>Tokelau’s</w:t>
            </w:r>
            <w:proofErr w:type="spellEnd"/>
            <w:r w:rsidRPr="00F85BB9">
              <w:t xml:space="preserve"> substantive </w:t>
            </w:r>
            <w:proofErr w:type="spellStart"/>
            <w:r w:rsidRPr="00F85BB9">
              <w:t>law</w:t>
            </w:r>
            <w:proofErr w:type="spellEnd"/>
            <w:r w:rsidRPr="00F85BB9">
              <w:t xml:space="preserve"> </w:t>
            </w:r>
            <w:proofErr w:type="spellStart"/>
            <w:r w:rsidRPr="00F85BB9">
              <w:t>is</w:t>
            </w:r>
            <w:proofErr w:type="spellEnd"/>
            <w:r w:rsidRPr="00F85BB9">
              <w:t xml:space="preserve"> </w:t>
            </w:r>
            <w:proofErr w:type="spellStart"/>
            <w:r w:rsidRPr="00F85BB9">
              <w:t>contained</w:t>
            </w:r>
            <w:proofErr w:type="spellEnd"/>
            <w:r w:rsidRPr="00F85BB9">
              <w:t xml:space="preserve"> </w:t>
            </w:r>
            <w:proofErr w:type="spellStart"/>
            <w:r w:rsidRPr="00F85BB9">
              <w:t>primarily</w:t>
            </w:r>
            <w:proofErr w:type="spellEnd"/>
            <w:r w:rsidRPr="00F85BB9">
              <w:t xml:space="preserve"> in </w:t>
            </w:r>
            <w:proofErr w:type="gramStart"/>
            <w:r w:rsidRPr="00F85BB9">
              <w:t xml:space="preserve">the  </w:t>
            </w:r>
            <w:r w:rsidR="00EF2954">
              <w:t>Tokelau</w:t>
            </w:r>
            <w:proofErr w:type="gramEnd"/>
            <w:r w:rsidR="00EF2954">
              <w:t xml:space="preserve"> </w:t>
            </w:r>
            <w:proofErr w:type="spellStart"/>
            <w:r w:rsidRPr="00F85BB9">
              <w:t>Act</w:t>
            </w:r>
            <w:proofErr w:type="spellEnd"/>
            <w:r w:rsidR="00EF2954">
              <w:t xml:space="preserve"> 1948</w:t>
            </w:r>
            <w:r w:rsidRPr="00F85BB9">
              <w:t xml:space="preserve">.  </w:t>
            </w:r>
            <w:r w:rsidR="00EF2954">
              <w:t xml:space="preserve">The </w:t>
            </w:r>
            <w:proofErr w:type="spellStart"/>
            <w:r w:rsidR="00EF2954">
              <w:t>law</w:t>
            </w:r>
            <w:proofErr w:type="spellEnd"/>
            <w:r w:rsidR="00EF2954">
              <w:t xml:space="preserve"> of Tokelau</w:t>
            </w:r>
            <w:r w:rsidRPr="00F85BB9">
              <w:t xml:space="preserve"> has a </w:t>
            </w:r>
            <w:proofErr w:type="spellStart"/>
            <w:r w:rsidRPr="00F85BB9">
              <w:t>number</w:t>
            </w:r>
            <w:proofErr w:type="spellEnd"/>
            <w:r w:rsidRPr="00F85BB9">
              <w:t xml:space="preserve"> of </w:t>
            </w:r>
            <w:proofErr w:type="spellStart"/>
            <w:r w:rsidRPr="00F85BB9">
              <w:t>interesting</w:t>
            </w:r>
            <w:proofErr w:type="spellEnd"/>
            <w:r w:rsidRPr="00F85BB9">
              <w:t xml:space="preserve"> </w:t>
            </w:r>
            <w:proofErr w:type="spellStart"/>
            <w:r w:rsidRPr="00F85BB9">
              <w:t>features</w:t>
            </w:r>
            <w:proofErr w:type="spellEnd"/>
            <w:r w:rsidR="00EF2954">
              <w:t xml:space="preserve"> </w:t>
            </w:r>
            <w:proofErr w:type="spellStart"/>
            <w:r w:rsidR="00EF2954">
              <w:t>including</w:t>
            </w:r>
            <w:proofErr w:type="spellEnd"/>
            <w:r w:rsidR="00EF2954">
              <w:t xml:space="preserve"> </w:t>
            </w:r>
            <w:proofErr w:type="spellStart"/>
            <w:proofErr w:type="gramStart"/>
            <w:r w:rsidR="00EF2954">
              <w:t>that</w:t>
            </w:r>
            <w:proofErr w:type="spellEnd"/>
            <w:r w:rsidRPr="00F85BB9">
              <w:t>:</w:t>
            </w:r>
            <w:proofErr w:type="gramEnd"/>
          </w:p>
          <w:p w14:paraId="1B8EEA39" w14:textId="77777777" w:rsidR="006151CF" w:rsidRPr="00F85BB9" w:rsidRDefault="006151CF" w:rsidP="004D61B3">
            <w:pPr>
              <w:pStyle w:val="ListParagraph"/>
              <w:rPr>
                <w:i/>
              </w:rPr>
            </w:pPr>
          </w:p>
          <w:p w14:paraId="54BC5F6D" w14:textId="77777777" w:rsidR="006151CF" w:rsidRPr="00F85BB9" w:rsidRDefault="006151CF" w:rsidP="004D61B3">
            <w:pPr>
              <w:pStyle w:val="ListParagraph"/>
              <w:numPr>
                <w:ilvl w:val="1"/>
                <w:numId w:val="3"/>
              </w:numPr>
              <w:spacing w:after="160" w:line="259" w:lineRule="auto"/>
              <w:ind w:left="382"/>
              <w:rPr>
                <w:i/>
              </w:rPr>
            </w:pPr>
            <w:r w:rsidRPr="00F85BB9">
              <w:t xml:space="preserve">Tokelau </w:t>
            </w:r>
            <w:proofErr w:type="spellStart"/>
            <w:r w:rsidRPr="00F85BB9">
              <w:t>is</w:t>
            </w:r>
            <w:proofErr w:type="spellEnd"/>
            <w:r w:rsidRPr="00F85BB9">
              <w:t xml:space="preserve"> part of New </w:t>
            </w:r>
            <w:proofErr w:type="gramStart"/>
            <w:r w:rsidRPr="00F85BB9">
              <w:t>Zealand;</w:t>
            </w:r>
            <w:proofErr w:type="gramEnd"/>
            <w:r w:rsidRPr="00F85BB9">
              <w:rPr>
                <w:rStyle w:val="FootnoteReference"/>
              </w:rPr>
              <w:footnoteReference w:id="2"/>
            </w:r>
          </w:p>
          <w:p w14:paraId="59A5C6D1" w14:textId="77777777" w:rsidR="006151CF" w:rsidRPr="00F85BB9" w:rsidRDefault="006151CF" w:rsidP="004D61B3">
            <w:pPr>
              <w:pStyle w:val="ListParagraph"/>
              <w:ind w:left="382" w:hanging="360"/>
              <w:rPr>
                <w:i/>
              </w:rPr>
            </w:pPr>
          </w:p>
          <w:p w14:paraId="47C9212F" w14:textId="77777777" w:rsidR="006151CF" w:rsidRPr="00F85BB9" w:rsidRDefault="006151CF" w:rsidP="004D61B3">
            <w:pPr>
              <w:pStyle w:val="ListParagraph"/>
              <w:numPr>
                <w:ilvl w:val="1"/>
                <w:numId w:val="3"/>
              </w:numPr>
              <w:spacing w:after="160" w:line="259" w:lineRule="auto"/>
              <w:ind w:left="382"/>
              <w:rPr>
                <w:i/>
              </w:rPr>
            </w:pPr>
            <w:r w:rsidRPr="00F85BB9">
              <w:t xml:space="preserve">The </w:t>
            </w:r>
            <w:proofErr w:type="spellStart"/>
            <w:r w:rsidRPr="00F85BB9">
              <w:t>Act</w:t>
            </w:r>
            <w:proofErr w:type="spellEnd"/>
            <w:r w:rsidRPr="00F85BB9">
              <w:t xml:space="preserve"> </w:t>
            </w:r>
            <w:proofErr w:type="spellStart"/>
            <w:r w:rsidRPr="00F85BB9">
              <w:t>is</w:t>
            </w:r>
            <w:proofErr w:type="spellEnd"/>
            <w:r w:rsidRPr="00F85BB9">
              <w:t xml:space="preserve"> </w:t>
            </w:r>
            <w:proofErr w:type="spellStart"/>
            <w:r w:rsidRPr="00F85BB9">
              <w:t>administered</w:t>
            </w:r>
            <w:proofErr w:type="spellEnd"/>
            <w:r w:rsidRPr="00F85BB9">
              <w:t xml:space="preserve"> by the New Zealand </w:t>
            </w:r>
            <w:proofErr w:type="spellStart"/>
            <w:r w:rsidRPr="00F85BB9">
              <w:t>Minister</w:t>
            </w:r>
            <w:proofErr w:type="spellEnd"/>
            <w:r w:rsidRPr="00F85BB9">
              <w:t xml:space="preserve"> of </w:t>
            </w:r>
            <w:proofErr w:type="spellStart"/>
            <w:r w:rsidRPr="00F85BB9">
              <w:t>Foreign</w:t>
            </w:r>
            <w:proofErr w:type="spellEnd"/>
            <w:r w:rsidRPr="00F85BB9">
              <w:t xml:space="preserve"> </w:t>
            </w:r>
            <w:proofErr w:type="spellStart"/>
            <w:r w:rsidRPr="00F85BB9">
              <w:t>Affairs</w:t>
            </w:r>
            <w:proofErr w:type="spellEnd"/>
            <w:r w:rsidRPr="00F85BB9">
              <w:t xml:space="preserve"> and </w:t>
            </w:r>
            <w:proofErr w:type="gramStart"/>
            <w:r w:rsidRPr="00F85BB9">
              <w:t>Trade;</w:t>
            </w:r>
            <w:proofErr w:type="gramEnd"/>
            <w:r w:rsidRPr="00F85BB9">
              <w:rPr>
                <w:rStyle w:val="FootnoteReference"/>
              </w:rPr>
              <w:footnoteReference w:id="3"/>
            </w:r>
          </w:p>
          <w:p w14:paraId="0A0AD913" w14:textId="77777777" w:rsidR="006151CF" w:rsidRPr="00F85BB9" w:rsidRDefault="006151CF" w:rsidP="004D61B3">
            <w:pPr>
              <w:pStyle w:val="ListParagraph"/>
              <w:ind w:left="382" w:hanging="360"/>
              <w:rPr>
                <w:i/>
              </w:rPr>
            </w:pPr>
          </w:p>
          <w:p w14:paraId="5D366EF0" w14:textId="77777777" w:rsidR="006151CF" w:rsidRPr="00F85BB9" w:rsidRDefault="006151CF" w:rsidP="004D61B3">
            <w:pPr>
              <w:pStyle w:val="ListParagraph"/>
              <w:numPr>
                <w:ilvl w:val="1"/>
                <w:numId w:val="3"/>
              </w:numPr>
              <w:spacing w:after="160" w:line="259" w:lineRule="auto"/>
              <w:ind w:left="382"/>
              <w:rPr>
                <w:i/>
              </w:rPr>
            </w:pPr>
            <w:r w:rsidRPr="00F85BB9">
              <w:t xml:space="preserve">The substantive </w:t>
            </w:r>
            <w:proofErr w:type="spellStart"/>
            <w:r w:rsidRPr="00F85BB9">
              <w:t>law</w:t>
            </w:r>
            <w:proofErr w:type="spellEnd"/>
            <w:r w:rsidRPr="00F85BB9">
              <w:t xml:space="preserve"> of Tokelau </w:t>
            </w:r>
            <w:proofErr w:type="spellStart"/>
            <w:r w:rsidRPr="00F85BB9">
              <w:t>is</w:t>
            </w:r>
            <w:proofErr w:type="spellEnd"/>
            <w:r w:rsidRPr="00F85BB9">
              <w:t xml:space="preserve"> the </w:t>
            </w:r>
            <w:proofErr w:type="spellStart"/>
            <w:r w:rsidRPr="00F85BB9">
              <w:t>common</w:t>
            </w:r>
            <w:proofErr w:type="spellEnd"/>
            <w:r w:rsidRPr="00F85BB9">
              <w:t xml:space="preserve"> </w:t>
            </w:r>
            <w:proofErr w:type="spellStart"/>
            <w:r w:rsidRPr="00F85BB9">
              <w:t>law</w:t>
            </w:r>
            <w:proofErr w:type="spellEnd"/>
            <w:r w:rsidRPr="00F85BB9">
              <w:t xml:space="preserve"> of </w:t>
            </w:r>
            <w:proofErr w:type="spellStart"/>
            <w:r w:rsidRPr="00F85BB9">
              <w:t>England</w:t>
            </w:r>
            <w:proofErr w:type="spellEnd"/>
            <w:r w:rsidRPr="00F85BB9">
              <w:t xml:space="preserve"> as </w:t>
            </w:r>
            <w:proofErr w:type="spellStart"/>
            <w:r w:rsidRPr="00F85BB9">
              <w:t>it</w:t>
            </w:r>
            <w:proofErr w:type="spellEnd"/>
            <w:r w:rsidRPr="00F85BB9">
              <w:t xml:space="preserve"> </w:t>
            </w:r>
            <w:proofErr w:type="spellStart"/>
            <w:r w:rsidRPr="00F85BB9">
              <w:t>was</w:t>
            </w:r>
            <w:proofErr w:type="spellEnd"/>
            <w:r w:rsidRPr="00F85BB9">
              <w:t xml:space="preserve"> on 1 </w:t>
            </w:r>
            <w:proofErr w:type="spellStart"/>
            <w:r w:rsidRPr="00F85BB9">
              <w:t>January</w:t>
            </w:r>
            <w:proofErr w:type="spellEnd"/>
            <w:r w:rsidRPr="00F85BB9">
              <w:t xml:space="preserve"> 1949 </w:t>
            </w:r>
            <w:proofErr w:type="spellStart"/>
            <w:r w:rsidRPr="00F85BB9">
              <w:t>when</w:t>
            </w:r>
            <w:proofErr w:type="spellEnd"/>
            <w:r w:rsidRPr="00F85BB9">
              <w:t xml:space="preserve"> the </w:t>
            </w:r>
            <w:proofErr w:type="spellStart"/>
            <w:r w:rsidRPr="00F85BB9">
              <w:t>Act</w:t>
            </w:r>
            <w:proofErr w:type="spellEnd"/>
            <w:r w:rsidRPr="00F85BB9">
              <w:t xml:space="preserve"> came </w:t>
            </w:r>
            <w:proofErr w:type="spellStart"/>
            <w:r w:rsidRPr="00F85BB9">
              <w:t>into</w:t>
            </w:r>
            <w:proofErr w:type="spellEnd"/>
            <w:r w:rsidRPr="00F85BB9">
              <w:t xml:space="preserve"> force, </w:t>
            </w:r>
            <w:proofErr w:type="spellStart"/>
            <w:r w:rsidRPr="00F85BB9">
              <w:t>rules</w:t>
            </w:r>
            <w:proofErr w:type="spellEnd"/>
            <w:r w:rsidRPr="00F85BB9">
              <w:t xml:space="preserve"> made by the GF and </w:t>
            </w:r>
            <w:proofErr w:type="spellStart"/>
            <w:r w:rsidRPr="00F85BB9">
              <w:t>any</w:t>
            </w:r>
            <w:proofErr w:type="spellEnd"/>
            <w:r w:rsidRPr="00F85BB9">
              <w:t xml:space="preserve"> </w:t>
            </w:r>
            <w:proofErr w:type="spellStart"/>
            <w:r w:rsidRPr="00F85BB9">
              <w:t>regulations</w:t>
            </w:r>
            <w:proofErr w:type="spellEnd"/>
            <w:r w:rsidRPr="00F85BB9">
              <w:t xml:space="preserve"> made by the New Zealand </w:t>
            </w:r>
            <w:proofErr w:type="spellStart"/>
            <w:r w:rsidRPr="00F85BB9">
              <w:t>Governor</w:t>
            </w:r>
            <w:proofErr w:type="spellEnd"/>
            <w:r w:rsidRPr="00F85BB9">
              <w:t xml:space="preserve">-General in respect of </w:t>
            </w:r>
            <w:proofErr w:type="gramStart"/>
            <w:r w:rsidRPr="00F85BB9">
              <w:t>Tokelau;</w:t>
            </w:r>
            <w:proofErr w:type="gramEnd"/>
            <w:r w:rsidRPr="00F85BB9">
              <w:rPr>
                <w:rStyle w:val="FootnoteReference"/>
              </w:rPr>
              <w:footnoteReference w:id="4"/>
            </w:r>
          </w:p>
          <w:p w14:paraId="0C4AE081" w14:textId="77777777" w:rsidR="006151CF" w:rsidRPr="00F85BB9" w:rsidRDefault="006151CF" w:rsidP="004D61B3">
            <w:pPr>
              <w:pStyle w:val="ListParagraph"/>
              <w:ind w:left="382" w:hanging="360"/>
              <w:rPr>
                <w:i/>
              </w:rPr>
            </w:pPr>
          </w:p>
          <w:p w14:paraId="2F937D3F" w14:textId="77777777" w:rsidR="006151CF" w:rsidRPr="00F85BB9" w:rsidRDefault="006151CF" w:rsidP="004D61B3">
            <w:pPr>
              <w:pStyle w:val="ListParagraph"/>
              <w:numPr>
                <w:ilvl w:val="1"/>
                <w:numId w:val="3"/>
              </w:numPr>
              <w:spacing w:after="160" w:line="259" w:lineRule="auto"/>
              <w:ind w:left="382"/>
              <w:rPr>
                <w:i/>
              </w:rPr>
            </w:pPr>
            <w:r w:rsidRPr="00F85BB9">
              <w:t xml:space="preserve">New Zealand </w:t>
            </w:r>
            <w:proofErr w:type="spellStart"/>
            <w:r w:rsidRPr="00F85BB9">
              <w:t>statutes</w:t>
            </w:r>
            <w:proofErr w:type="spellEnd"/>
            <w:r w:rsidRPr="00F85BB9">
              <w:t xml:space="preserve"> are not applicable to Tokelau </w:t>
            </w:r>
            <w:proofErr w:type="spellStart"/>
            <w:r w:rsidRPr="00F85BB9">
              <w:t>law</w:t>
            </w:r>
            <w:proofErr w:type="spellEnd"/>
            <w:r w:rsidRPr="00F85BB9">
              <w:t xml:space="preserve"> </w:t>
            </w:r>
            <w:proofErr w:type="spellStart"/>
            <w:r w:rsidRPr="00F85BB9">
              <w:t>unless</w:t>
            </w:r>
            <w:proofErr w:type="spellEnd"/>
            <w:r w:rsidRPr="00F85BB9">
              <w:t xml:space="preserve"> </w:t>
            </w:r>
            <w:proofErr w:type="spellStart"/>
            <w:r w:rsidRPr="00F85BB9">
              <w:t>they</w:t>
            </w:r>
            <w:proofErr w:type="spellEnd"/>
            <w:r w:rsidRPr="00F85BB9">
              <w:t xml:space="preserve"> </w:t>
            </w:r>
            <w:proofErr w:type="spellStart"/>
            <w:r w:rsidRPr="00F85BB9">
              <w:t>expressly</w:t>
            </w:r>
            <w:proofErr w:type="spellEnd"/>
            <w:r w:rsidRPr="00F85BB9">
              <w:t xml:space="preserve"> </w:t>
            </w:r>
            <w:proofErr w:type="spellStart"/>
            <w:r w:rsidRPr="00F85BB9">
              <w:t>provide</w:t>
            </w:r>
            <w:proofErr w:type="spellEnd"/>
            <w:r w:rsidRPr="00F85BB9">
              <w:t xml:space="preserve"> </w:t>
            </w:r>
            <w:proofErr w:type="spellStart"/>
            <w:proofErr w:type="gramStart"/>
            <w:r w:rsidRPr="00F85BB9">
              <w:t>otherwise</w:t>
            </w:r>
            <w:proofErr w:type="spellEnd"/>
            <w:r w:rsidRPr="00F85BB9">
              <w:t>;</w:t>
            </w:r>
            <w:proofErr w:type="gramEnd"/>
            <w:r w:rsidRPr="00F85BB9">
              <w:rPr>
                <w:rStyle w:val="FootnoteReference"/>
              </w:rPr>
              <w:footnoteReference w:id="5"/>
            </w:r>
          </w:p>
          <w:p w14:paraId="48389F32" w14:textId="77777777" w:rsidR="006151CF" w:rsidRPr="00F85BB9" w:rsidRDefault="006151CF" w:rsidP="004D61B3">
            <w:pPr>
              <w:pStyle w:val="ListParagraph"/>
              <w:ind w:left="382" w:hanging="360"/>
              <w:rPr>
                <w:i/>
              </w:rPr>
            </w:pPr>
          </w:p>
          <w:p w14:paraId="3F401BAE" w14:textId="77777777" w:rsidR="006151CF" w:rsidRPr="00F85BB9" w:rsidRDefault="006151CF" w:rsidP="004D61B3">
            <w:pPr>
              <w:pStyle w:val="ListParagraph"/>
              <w:numPr>
                <w:ilvl w:val="1"/>
                <w:numId w:val="3"/>
              </w:numPr>
              <w:spacing w:after="160" w:line="259" w:lineRule="auto"/>
              <w:ind w:left="382"/>
              <w:rPr>
                <w:i/>
              </w:rPr>
            </w:pPr>
            <w:proofErr w:type="spellStart"/>
            <w:r w:rsidRPr="00F85BB9">
              <w:t>In</w:t>
            </w:r>
            <w:proofErr w:type="spellEnd"/>
            <w:r w:rsidRPr="00F85BB9">
              <w:t xml:space="preserve"> 2007, the GF </w:t>
            </w:r>
            <w:proofErr w:type="spellStart"/>
            <w:r w:rsidRPr="00F85BB9">
              <w:t>passed</w:t>
            </w:r>
            <w:proofErr w:type="spellEnd"/>
            <w:r w:rsidRPr="00F85BB9">
              <w:t xml:space="preserve"> the Constitution of Tokelau </w:t>
            </w:r>
            <w:proofErr w:type="spellStart"/>
            <w:r w:rsidRPr="00F85BB9">
              <w:t>into</w:t>
            </w:r>
            <w:proofErr w:type="spellEnd"/>
            <w:r w:rsidRPr="00F85BB9">
              <w:t xml:space="preserve"> </w:t>
            </w:r>
            <w:proofErr w:type="spellStart"/>
            <w:r w:rsidRPr="00F85BB9">
              <w:t>law</w:t>
            </w:r>
            <w:proofErr w:type="spellEnd"/>
            <w:r w:rsidRPr="00F85BB9">
              <w:t xml:space="preserve">.  The Constitution </w:t>
            </w:r>
            <w:proofErr w:type="spellStart"/>
            <w:r w:rsidRPr="00F85BB9">
              <w:t>provides</w:t>
            </w:r>
            <w:proofErr w:type="spellEnd"/>
            <w:r w:rsidRPr="00F85BB9">
              <w:t xml:space="preserve"> for the </w:t>
            </w:r>
            <w:proofErr w:type="spellStart"/>
            <w:r w:rsidRPr="00F85BB9">
              <w:t>consequential</w:t>
            </w:r>
            <w:proofErr w:type="spellEnd"/>
            <w:r w:rsidRPr="00F85BB9">
              <w:t xml:space="preserve"> </w:t>
            </w:r>
            <w:proofErr w:type="spellStart"/>
            <w:r w:rsidRPr="00F85BB9">
              <w:t>repeal</w:t>
            </w:r>
            <w:proofErr w:type="spellEnd"/>
            <w:r w:rsidRPr="00F85BB9">
              <w:t xml:space="preserve"> of the </w:t>
            </w:r>
            <w:proofErr w:type="spellStart"/>
            <w:r w:rsidRPr="00F85BB9">
              <w:t>Act</w:t>
            </w:r>
            <w:proofErr w:type="spellEnd"/>
            <w:r w:rsidRPr="00F85BB9">
              <w:t xml:space="preserve"> but the Constitution, </w:t>
            </w:r>
            <w:proofErr w:type="spellStart"/>
            <w:r w:rsidRPr="00F85BB9">
              <w:t>itself</w:t>
            </w:r>
            <w:proofErr w:type="spellEnd"/>
            <w:r w:rsidRPr="00F85BB9">
              <w:t xml:space="preserve">, </w:t>
            </w:r>
            <w:proofErr w:type="spellStart"/>
            <w:r w:rsidRPr="00F85BB9">
              <w:t>does</w:t>
            </w:r>
            <w:proofErr w:type="spellEnd"/>
            <w:r w:rsidRPr="00F85BB9">
              <w:t xml:space="preserve"> not come </w:t>
            </w:r>
            <w:proofErr w:type="spellStart"/>
            <w:r w:rsidRPr="00F85BB9">
              <w:t>into</w:t>
            </w:r>
            <w:proofErr w:type="spellEnd"/>
            <w:r w:rsidRPr="00F85BB9">
              <w:t xml:space="preserve"> force </w:t>
            </w:r>
            <w:proofErr w:type="spellStart"/>
            <w:r w:rsidRPr="00F85BB9">
              <w:t>until</w:t>
            </w:r>
            <w:proofErr w:type="spellEnd"/>
            <w:r w:rsidRPr="00F85BB9">
              <w:t xml:space="preserve"> the </w:t>
            </w:r>
            <w:proofErr w:type="spellStart"/>
            <w:r w:rsidRPr="00F85BB9">
              <w:t>Act</w:t>
            </w:r>
            <w:proofErr w:type="spellEnd"/>
            <w:r w:rsidRPr="00F85BB9">
              <w:t xml:space="preserve"> has been </w:t>
            </w:r>
            <w:proofErr w:type="spellStart"/>
            <w:proofErr w:type="gramStart"/>
            <w:r w:rsidRPr="00F85BB9">
              <w:t>repealed</w:t>
            </w:r>
            <w:proofErr w:type="spellEnd"/>
            <w:r w:rsidRPr="00F85BB9">
              <w:t>;</w:t>
            </w:r>
            <w:proofErr w:type="gramEnd"/>
            <w:r w:rsidRPr="00F85BB9">
              <w:rPr>
                <w:rStyle w:val="FootnoteReference"/>
              </w:rPr>
              <w:footnoteReference w:id="6"/>
            </w:r>
          </w:p>
          <w:p w14:paraId="1972A5E0" w14:textId="77777777" w:rsidR="006151CF" w:rsidRPr="00F85BB9" w:rsidRDefault="006151CF" w:rsidP="004D61B3">
            <w:pPr>
              <w:pStyle w:val="ListParagraph"/>
              <w:ind w:left="382" w:hanging="360"/>
              <w:rPr>
                <w:i/>
              </w:rPr>
            </w:pPr>
          </w:p>
          <w:p w14:paraId="5E5236AC" w14:textId="77777777" w:rsidR="006151CF" w:rsidRPr="00F85BB9" w:rsidRDefault="006151CF" w:rsidP="004D61B3">
            <w:pPr>
              <w:pStyle w:val="ListParagraph"/>
              <w:numPr>
                <w:ilvl w:val="1"/>
                <w:numId w:val="3"/>
              </w:numPr>
              <w:spacing w:after="160" w:line="259" w:lineRule="auto"/>
              <w:ind w:left="382"/>
              <w:rPr>
                <w:i/>
              </w:rPr>
            </w:pPr>
            <w:r w:rsidRPr="00F85BB9">
              <w:t xml:space="preserve">Under the Constitution, the sources of </w:t>
            </w:r>
            <w:proofErr w:type="spellStart"/>
            <w:r w:rsidRPr="00F85BB9">
              <w:t>law</w:t>
            </w:r>
            <w:proofErr w:type="spellEnd"/>
            <w:r w:rsidRPr="00F85BB9">
              <w:t xml:space="preserve"> </w:t>
            </w:r>
            <w:proofErr w:type="spellStart"/>
            <w:r w:rsidRPr="00F85BB9">
              <w:t>include</w:t>
            </w:r>
            <w:proofErr w:type="spellEnd"/>
            <w:r w:rsidRPr="00F85BB9">
              <w:t xml:space="preserve"> the Constitution, the General Fono Rules, the custom of Tokelau, and </w:t>
            </w:r>
            <w:proofErr w:type="spellStart"/>
            <w:r w:rsidRPr="00F85BB9">
              <w:t>general</w:t>
            </w:r>
            <w:proofErr w:type="spellEnd"/>
            <w:r w:rsidRPr="00F85BB9">
              <w:t xml:space="preserve"> </w:t>
            </w:r>
            <w:proofErr w:type="spellStart"/>
            <w:r w:rsidRPr="00F85BB9">
              <w:t>principles</w:t>
            </w:r>
            <w:proofErr w:type="spellEnd"/>
            <w:r w:rsidRPr="00F85BB9">
              <w:t xml:space="preserve"> of international </w:t>
            </w:r>
            <w:proofErr w:type="spellStart"/>
            <w:r w:rsidRPr="00F85BB9">
              <w:t>law</w:t>
            </w:r>
            <w:proofErr w:type="spellEnd"/>
            <w:r w:rsidRPr="00F85BB9">
              <w:t xml:space="preserve">.  </w:t>
            </w:r>
            <w:proofErr w:type="spellStart"/>
            <w:r w:rsidRPr="00F85BB9">
              <w:t>Currently</w:t>
            </w:r>
            <w:proofErr w:type="spellEnd"/>
            <w:r w:rsidRPr="00F85BB9">
              <w:t xml:space="preserve">, </w:t>
            </w:r>
            <w:proofErr w:type="spellStart"/>
            <w:r w:rsidRPr="00F85BB9">
              <w:t>general</w:t>
            </w:r>
            <w:proofErr w:type="spellEnd"/>
            <w:r w:rsidRPr="00F85BB9">
              <w:t xml:space="preserve"> </w:t>
            </w:r>
            <w:proofErr w:type="spellStart"/>
            <w:r w:rsidRPr="00F85BB9">
              <w:t>principles</w:t>
            </w:r>
            <w:proofErr w:type="spellEnd"/>
            <w:r w:rsidRPr="00F85BB9">
              <w:t xml:space="preserve"> of international </w:t>
            </w:r>
            <w:proofErr w:type="spellStart"/>
            <w:r w:rsidRPr="00F85BB9">
              <w:t>law</w:t>
            </w:r>
            <w:proofErr w:type="spellEnd"/>
            <w:r w:rsidRPr="00F85BB9">
              <w:t xml:space="preserve"> are </w:t>
            </w:r>
            <w:proofErr w:type="spellStart"/>
            <w:proofErr w:type="gramStart"/>
            <w:r w:rsidRPr="00F85BB9">
              <w:t>excluded</w:t>
            </w:r>
            <w:proofErr w:type="spellEnd"/>
            <w:r w:rsidRPr="00F85BB9">
              <w:t>;</w:t>
            </w:r>
            <w:proofErr w:type="gramEnd"/>
            <w:r w:rsidRPr="00F85BB9">
              <w:rPr>
                <w:rStyle w:val="FootnoteReference"/>
              </w:rPr>
              <w:footnoteReference w:id="7"/>
            </w:r>
          </w:p>
          <w:p w14:paraId="13085C73" w14:textId="77777777" w:rsidR="006151CF" w:rsidRPr="00F85BB9" w:rsidRDefault="006151CF" w:rsidP="004D61B3">
            <w:pPr>
              <w:pStyle w:val="ListParagraph"/>
              <w:rPr>
                <w:i/>
              </w:rPr>
            </w:pPr>
          </w:p>
          <w:p w14:paraId="42CF53D6" w14:textId="77777777" w:rsidR="006151CF" w:rsidRPr="00F85BB9" w:rsidRDefault="006151CF" w:rsidP="007B75B4">
            <w:pPr>
              <w:pStyle w:val="ListParagraph"/>
              <w:numPr>
                <w:ilvl w:val="1"/>
                <w:numId w:val="3"/>
              </w:numPr>
              <w:spacing w:after="160" w:line="259" w:lineRule="auto"/>
              <w:ind w:left="382"/>
              <w:rPr>
                <w:i/>
              </w:rPr>
            </w:pPr>
            <w:r w:rsidRPr="00F85BB9">
              <w:t xml:space="preserve">Under the Tokelau </w:t>
            </w:r>
            <w:proofErr w:type="spellStart"/>
            <w:r w:rsidRPr="00F85BB9">
              <w:t>Amendment</w:t>
            </w:r>
            <w:proofErr w:type="spellEnd"/>
            <w:r w:rsidRPr="00F85BB9">
              <w:t xml:space="preserve"> </w:t>
            </w:r>
            <w:proofErr w:type="spellStart"/>
            <w:r w:rsidRPr="00F85BB9">
              <w:t>Act</w:t>
            </w:r>
            <w:proofErr w:type="spellEnd"/>
            <w:r w:rsidRPr="00F85BB9">
              <w:t xml:space="preserve"> 1986 (the 1986 </w:t>
            </w:r>
            <w:proofErr w:type="spellStart"/>
            <w:r w:rsidRPr="00F85BB9">
              <w:t>Act</w:t>
            </w:r>
            <w:proofErr w:type="spellEnd"/>
            <w:r w:rsidRPr="00F85BB9">
              <w:t xml:space="preserve">), the High Court of New Zealand </w:t>
            </w:r>
            <w:proofErr w:type="spellStart"/>
            <w:r w:rsidRPr="00F85BB9">
              <w:t>is</w:t>
            </w:r>
            <w:proofErr w:type="spellEnd"/>
            <w:r w:rsidRPr="00F85BB9">
              <w:t xml:space="preserve"> a court of </w:t>
            </w:r>
            <w:proofErr w:type="spellStart"/>
            <w:r w:rsidRPr="00F85BB9">
              <w:t>law</w:t>
            </w:r>
            <w:proofErr w:type="spellEnd"/>
            <w:r w:rsidRPr="00F85BB9">
              <w:t xml:space="preserve"> for Tokelau, </w:t>
            </w:r>
            <w:proofErr w:type="spellStart"/>
            <w:r w:rsidRPr="00F85BB9">
              <w:t>sitting</w:t>
            </w:r>
            <w:proofErr w:type="spellEnd"/>
            <w:r w:rsidRPr="00F85BB9">
              <w:t xml:space="preserve"> as a </w:t>
            </w:r>
            <w:proofErr w:type="spellStart"/>
            <w:r w:rsidRPr="00F85BB9">
              <w:t>separate</w:t>
            </w:r>
            <w:proofErr w:type="spellEnd"/>
            <w:r w:rsidRPr="00F85BB9">
              <w:t xml:space="preserve"> court of justice in and for </w:t>
            </w:r>
            <w:proofErr w:type="gramStart"/>
            <w:r w:rsidRPr="00F85BB9">
              <w:t>Tokelau;</w:t>
            </w:r>
            <w:proofErr w:type="gramEnd"/>
            <w:r w:rsidRPr="00F85BB9">
              <w:rPr>
                <w:rStyle w:val="FootnoteReference"/>
              </w:rPr>
              <w:footnoteReference w:id="8"/>
            </w:r>
          </w:p>
          <w:p w14:paraId="26D00B17" w14:textId="77777777" w:rsidR="006151CF" w:rsidRPr="00F85BB9" w:rsidRDefault="006151CF" w:rsidP="004D61B3">
            <w:pPr>
              <w:pStyle w:val="ListParagraph"/>
              <w:rPr>
                <w:i/>
              </w:rPr>
            </w:pPr>
          </w:p>
          <w:p w14:paraId="16463CBC" w14:textId="77777777" w:rsidR="006151CF" w:rsidRPr="00F85BB9" w:rsidRDefault="006151CF" w:rsidP="007B75B4">
            <w:pPr>
              <w:pStyle w:val="ListParagraph"/>
              <w:numPr>
                <w:ilvl w:val="1"/>
                <w:numId w:val="3"/>
              </w:numPr>
              <w:spacing w:after="160" w:line="259" w:lineRule="auto"/>
              <w:ind w:left="382"/>
              <w:rPr>
                <w:i/>
              </w:rPr>
            </w:pPr>
            <w:r w:rsidRPr="00F85BB9">
              <w:t xml:space="preserve">Under the 1986 </w:t>
            </w:r>
            <w:proofErr w:type="spellStart"/>
            <w:r w:rsidRPr="00F85BB9">
              <w:t>Act</w:t>
            </w:r>
            <w:proofErr w:type="spellEnd"/>
            <w:r w:rsidRPr="00F85BB9">
              <w:t xml:space="preserve">, the New Zealand Court of </w:t>
            </w:r>
            <w:proofErr w:type="spellStart"/>
            <w:r w:rsidRPr="00F85BB9">
              <w:t>Appeal</w:t>
            </w:r>
            <w:proofErr w:type="spellEnd"/>
            <w:r w:rsidRPr="00F85BB9">
              <w:t xml:space="preserve"> can </w:t>
            </w:r>
            <w:proofErr w:type="spellStart"/>
            <w:proofErr w:type="gramStart"/>
            <w:r w:rsidRPr="00F85BB9">
              <w:t>hear</w:t>
            </w:r>
            <w:proofErr w:type="spellEnd"/>
            <w:r w:rsidRPr="00F85BB9">
              <w:t xml:space="preserve">  </w:t>
            </w:r>
            <w:proofErr w:type="spellStart"/>
            <w:r w:rsidRPr="00F85BB9">
              <w:t>appeals</w:t>
            </w:r>
            <w:proofErr w:type="spellEnd"/>
            <w:proofErr w:type="gramEnd"/>
            <w:r w:rsidRPr="00F85BB9">
              <w:t xml:space="preserve"> </w:t>
            </w:r>
            <w:proofErr w:type="spellStart"/>
            <w:r w:rsidRPr="00F85BB9">
              <w:t>from</w:t>
            </w:r>
            <w:proofErr w:type="spellEnd"/>
            <w:r w:rsidRPr="00F85BB9">
              <w:t xml:space="preserve"> </w:t>
            </w:r>
            <w:proofErr w:type="spellStart"/>
            <w:r w:rsidRPr="00F85BB9">
              <w:t>any</w:t>
            </w:r>
            <w:proofErr w:type="spellEnd"/>
            <w:r w:rsidRPr="00F85BB9">
              <w:t xml:space="preserve"> </w:t>
            </w:r>
            <w:proofErr w:type="spellStart"/>
            <w:r w:rsidRPr="00F85BB9">
              <w:t>judgment</w:t>
            </w:r>
            <w:proofErr w:type="spellEnd"/>
            <w:r w:rsidRPr="00F85BB9">
              <w:t xml:space="preserve"> or </w:t>
            </w:r>
            <w:proofErr w:type="spellStart"/>
            <w:r w:rsidRPr="00F85BB9">
              <w:t>decision</w:t>
            </w:r>
            <w:proofErr w:type="spellEnd"/>
            <w:r w:rsidRPr="00F85BB9">
              <w:t xml:space="preserve"> of the High Court </w:t>
            </w:r>
            <w:proofErr w:type="spellStart"/>
            <w:r w:rsidRPr="00F85BB9">
              <w:t>sitting</w:t>
            </w:r>
            <w:proofErr w:type="spellEnd"/>
            <w:r w:rsidRPr="00F85BB9">
              <w:t xml:space="preserve"> as a court of justice for Tokelau;</w:t>
            </w:r>
            <w:r w:rsidRPr="00F85BB9">
              <w:rPr>
                <w:rStyle w:val="FootnoteReference"/>
              </w:rPr>
              <w:footnoteReference w:id="9"/>
            </w:r>
            <w:r w:rsidRPr="00F85BB9">
              <w:t xml:space="preserve">  and</w:t>
            </w:r>
          </w:p>
          <w:p w14:paraId="1F94C7CC" w14:textId="77777777" w:rsidR="006151CF" w:rsidRPr="00F85BB9" w:rsidRDefault="006151CF" w:rsidP="007B75B4">
            <w:pPr>
              <w:pStyle w:val="ListParagraph"/>
              <w:ind w:left="382" w:hanging="360"/>
              <w:rPr>
                <w:i/>
              </w:rPr>
            </w:pPr>
          </w:p>
          <w:p w14:paraId="29C1AC3C" w14:textId="77777777" w:rsidR="006151CF" w:rsidRPr="00F85BB9" w:rsidRDefault="006151CF" w:rsidP="007B75B4">
            <w:pPr>
              <w:pStyle w:val="ListParagraph"/>
              <w:numPr>
                <w:ilvl w:val="1"/>
                <w:numId w:val="3"/>
              </w:numPr>
              <w:spacing w:after="160" w:line="259" w:lineRule="auto"/>
              <w:ind w:left="382"/>
              <w:rPr>
                <w:i/>
              </w:rPr>
            </w:pPr>
            <w:r w:rsidRPr="00F85BB9">
              <w:t xml:space="preserve">In a </w:t>
            </w:r>
            <w:proofErr w:type="spellStart"/>
            <w:r w:rsidRPr="00F85BB9">
              <w:t>recent</w:t>
            </w:r>
            <w:proofErr w:type="spellEnd"/>
            <w:r w:rsidRPr="00F85BB9">
              <w:t xml:space="preserve"> </w:t>
            </w:r>
            <w:proofErr w:type="spellStart"/>
            <w:r w:rsidRPr="00F85BB9">
              <w:t>decision</w:t>
            </w:r>
            <w:proofErr w:type="spellEnd"/>
            <w:r w:rsidRPr="00F85BB9">
              <w:t xml:space="preserve">, the High Court </w:t>
            </w:r>
            <w:proofErr w:type="spellStart"/>
            <w:r w:rsidRPr="00F85BB9">
              <w:t>held</w:t>
            </w:r>
            <w:proofErr w:type="spellEnd"/>
            <w:r w:rsidRPr="00F85BB9">
              <w:t xml:space="preserve"> </w:t>
            </w:r>
            <w:proofErr w:type="spellStart"/>
            <w:r w:rsidRPr="00F85BB9">
              <w:t>that</w:t>
            </w:r>
            <w:proofErr w:type="spellEnd"/>
            <w:r w:rsidRPr="00F85BB9">
              <w:t xml:space="preserve"> the atolls of Tokelau are </w:t>
            </w:r>
            <w:proofErr w:type="spellStart"/>
            <w:r w:rsidRPr="00F85BB9">
              <w:t>currently</w:t>
            </w:r>
            <w:proofErr w:type="spellEnd"/>
            <w:r w:rsidRPr="00F85BB9">
              <w:t xml:space="preserve"> </w:t>
            </w:r>
            <w:proofErr w:type="spellStart"/>
            <w:r w:rsidRPr="00F85BB9">
              <w:t>unable</w:t>
            </w:r>
            <w:proofErr w:type="spellEnd"/>
            <w:r w:rsidRPr="00F85BB9">
              <w:t xml:space="preserve"> to </w:t>
            </w:r>
            <w:proofErr w:type="spellStart"/>
            <w:r w:rsidRPr="00F85BB9">
              <w:t>hear</w:t>
            </w:r>
            <w:proofErr w:type="spellEnd"/>
            <w:r w:rsidRPr="00F85BB9">
              <w:t xml:space="preserve"> cases due to a </w:t>
            </w:r>
            <w:proofErr w:type="spellStart"/>
            <w:r w:rsidRPr="00F85BB9">
              <w:t>lack</w:t>
            </w:r>
            <w:proofErr w:type="spellEnd"/>
            <w:r w:rsidRPr="00F85BB9">
              <w:t xml:space="preserve"> of air </w:t>
            </w:r>
            <w:proofErr w:type="spellStart"/>
            <w:r w:rsidRPr="00F85BB9">
              <w:t>travel</w:t>
            </w:r>
            <w:proofErr w:type="spellEnd"/>
            <w:r w:rsidRPr="00F85BB9">
              <w:t xml:space="preserve"> and </w:t>
            </w:r>
            <w:proofErr w:type="spellStart"/>
            <w:r w:rsidRPr="00F85BB9">
              <w:t>other</w:t>
            </w:r>
            <w:proofErr w:type="spellEnd"/>
            <w:r w:rsidRPr="00F85BB9">
              <w:t xml:space="preserve"> infrastructure but </w:t>
            </w:r>
            <w:proofErr w:type="spellStart"/>
            <w:r w:rsidRPr="00F85BB9">
              <w:t>that</w:t>
            </w:r>
            <w:proofErr w:type="spellEnd"/>
            <w:r w:rsidRPr="00F85BB9">
              <w:t xml:space="preserve"> </w:t>
            </w:r>
            <w:proofErr w:type="spellStart"/>
            <w:r w:rsidRPr="00F85BB9">
              <w:t>may</w:t>
            </w:r>
            <w:proofErr w:type="spellEnd"/>
            <w:r w:rsidRPr="00F85BB9">
              <w:t xml:space="preserve"> change in the future.</w:t>
            </w:r>
            <w:r w:rsidRPr="00F85BB9">
              <w:rPr>
                <w:rStyle w:val="FootnoteReference"/>
              </w:rPr>
              <w:footnoteReference w:id="10"/>
            </w:r>
          </w:p>
          <w:p w14:paraId="05F94C72" w14:textId="77777777" w:rsidR="006151CF" w:rsidRPr="00F85BB9" w:rsidRDefault="006151CF" w:rsidP="004D61B3">
            <w:pPr>
              <w:autoSpaceDE w:val="0"/>
              <w:autoSpaceDN w:val="0"/>
              <w:adjustRightInd w:val="0"/>
              <w:spacing w:after="0" w:line="240" w:lineRule="auto"/>
              <w:rPr>
                <w:rFonts w:cs="Calibri"/>
                <w:lang w:val="en-GB"/>
              </w:rPr>
            </w:pPr>
          </w:p>
        </w:tc>
      </w:tr>
    </w:tbl>
    <w:p w14:paraId="548BD95A" w14:textId="77777777" w:rsidR="006151CF" w:rsidRPr="00F85BB9" w:rsidRDefault="006151CF" w:rsidP="006151CF">
      <w:pPr>
        <w:spacing w:after="0" w:line="240" w:lineRule="auto"/>
        <w:jc w:val="center"/>
        <w:rPr>
          <w:rFonts w:cs="Calibri"/>
          <w:lang w:val="en-GB"/>
        </w:rPr>
      </w:pPr>
    </w:p>
    <w:p w14:paraId="141E2252" w14:textId="77777777" w:rsidR="006151CF" w:rsidRPr="00F85BB9" w:rsidRDefault="006151CF" w:rsidP="006151CF">
      <w:pPr>
        <w:spacing w:after="0" w:line="240" w:lineRule="auto"/>
        <w:jc w:val="center"/>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000"/>
      </w:tblGrid>
      <w:tr w:rsidR="006151CF" w:rsidRPr="00F85BB9" w14:paraId="05079457" w14:textId="77777777" w:rsidTr="004D61B3">
        <w:trPr>
          <w:trHeight w:val="369"/>
        </w:trPr>
        <w:tc>
          <w:tcPr>
            <w:tcW w:w="4924" w:type="dxa"/>
            <w:tcBorders>
              <w:bottom w:val="single" w:sz="4" w:space="0" w:color="auto"/>
              <w:right w:val="nil"/>
            </w:tcBorders>
          </w:tcPr>
          <w:p w14:paraId="63176859" w14:textId="77777777" w:rsidR="006151CF" w:rsidRPr="00F85BB9" w:rsidRDefault="006151CF" w:rsidP="004D61B3">
            <w:pPr>
              <w:spacing w:after="0" w:line="240" w:lineRule="auto"/>
              <w:jc w:val="center"/>
              <w:rPr>
                <w:rFonts w:cs="Calibri"/>
                <w:b/>
                <w:lang w:val="en-GB"/>
              </w:rPr>
            </w:pPr>
            <w:r w:rsidRPr="00F85BB9">
              <w:rPr>
                <w:rFonts w:cs="Calibri"/>
                <w:b/>
                <w:lang w:val="en-GB"/>
              </w:rPr>
              <w:t>CHALLENGES</w:t>
            </w:r>
          </w:p>
        </w:tc>
        <w:tc>
          <w:tcPr>
            <w:tcW w:w="5000" w:type="dxa"/>
            <w:tcBorders>
              <w:left w:val="nil"/>
              <w:bottom w:val="single" w:sz="4" w:space="0" w:color="auto"/>
            </w:tcBorders>
          </w:tcPr>
          <w:p w14:paraId="140AFFE4" w14:textId="77777777" w:rsidR="006151CF" w:rsidRPr="00F85BB9" w:rsidRDefault="006151CF" w:rsidP="004D61B3">
            <w:pPr>
              <w:spacing w:after="0" w:line="240" w:lineRule="auto"/>
              <w:jc w:val="center"/>
              <w:rPr>
                <w:rFonts w:cs="Calibri"/>
                <w:b/>
                <w:lang w:val="en-GB"/>
              </w:rPr>
            </w:pPr>
            <w:r w:rsidRPr="00F85BB9">
              <w:rPr>
                <w:rFonts w:cs="Calibri"/>
                <w:b/>
                <w:lang w:val="en-GB"/>
              </w:rPr>
              <w:t>IMPACT</w:t>
            </w:r>
          </w:p>
        </w:tc>
      </w:tr>
      <w:tr w:rsidR="006151CF" w:rsidRPr="00F85BB9" w14:paraId="6063DEE6" w14:textId="77777777" w:rsidTr="004D61B3">
        <w:trPr>
          <w:trHeight w:val="1089"/>
        </w:trPr>
        <w:tc>
          <w:tcPr>
            <w:tcW w:w="4924" w:type="dxa"/>
            <w:tcBorders>
              <w:right w:val="nil"/>
            </w:tcBorders>
          </w:tcPr>
          <w:p w14:paraId="0ED27E2A" w14:textId="77777777" w:rsidR="006151CF" w:rsidRPr="00F85BB9" w:rsidRDefault="006151CF" w:rsidP="004D61B3">
            <w:pPr>
              <w:spacing w:after="0" w:line="240" w:lineRule="auto"/>
              <w:rPr>
                <w:rFonts w:cs="Calibri"/>
                <w:i/>
                <w:lang w:val="en-GB"/>
              </w:rPr>
            </w:pPr>
            <w:r w:rsidRPr="00F85BB9">
              <w:rPr>
                <w:rFonts w:cs="Calibri"/>
                <w:i/>
                <w:lang w:val="en-GB"/>
              </w:rPr>
              <w:t>Critical human rights challenges include:</w:t>
            </w:r>
          </w:p>
          <w:p w14:paraId="3C3EB958" w14:textId="77777777" w:rsidR="006151CF" w:rsidRPr="00F85BB9" w:rsidRDefault="006151CF" w:rsidP="004D61B3">
            <w:pPr>
              <w:spacing w:after="0" w:line="240" w:lineRule="auto"/>
              <w:rPr>
                <w:rFonts w:cs="Calibri"/>
                <w:i/>
                <w:lang w:val="en-GB"/>
              </w:rPr>
            </w:pPr>
          </w:p>
          <w:p w14:paraId="4D5945A0" w14:textId="77777777" w:rsidR="006151CF" w:rsidRPr="00F85BB9" w:rsidRDefault="006151CF" w:rsidP="004D61B3">
            <w:pPr>
              <w:pStyle w:val="ListParagraph"/>
              <w:spacing w:after="0" w:line="240" w:lineRule="auto"/>
              <w:rPr>
                <w:rFonts w:cs="Calibri"/>
                <w:i/>
                <w:lang w:val="en-GB"/>
              </w:rPr>
            </w:pPr>
          </w:p>
          <w:p w14:paraId="74D0F119" w14:textId="77777777" w:rsidR="006151CF" w:rsidRPr="00F85BB9" w:rsidRDefault="006151CF" w:rsidP="004D61B3">
            <w:pPr>
              <w:pStyle w:val="ListParagraph"/>
              <w:numPr>
                <w:ilvl w:val="0"/>
                <w:numId w:val="1"/>
              </w:numPr>
              <w:rPr>
                <w:rFonts w:cs="Calibri"/>
                <w:i/>
                <w:lang w:val="en-GB"/>
              </w:rPr>
            </w:pPr>
            <w:r w:rsidRPr="00F85BB9">
              <w:rPr>
                <w:rFonts w:cs="Calibri"/>
                <w:i/>
                <w:lang w:val="en-GB"/>
              </w:rPr>
              <w:t>Inability of Tokelauans to access official information and their personal information.</w:t>
            </w:r>
          </w:p>
          <w:p w14:paraId="0EBE5474" w14:textId="77777777" w:rsidR="006151CF" w:rsidRPr="00F85BB9" w:rsidRDefault="006151CF" w:rsidP="004D61B3">
            <w:pPr>
              <w:pStyle w:val="ListParagraph"/>
              <w:rPr>
                <w:rFonts w:cs="Calibri"/>
                <w:i/>
                <w:lang w:val="en-GB"/>
              </w:rPr>
            </w:pPr>
          </w:p>
          <w:p w14:paraId="36BAB019" w14:textId="77777777" w:rsidR="006151CF" w:rsidRPr="00F85BB9" w:rsidRDefault="006151CF" w:rsidP="004D61B3">
            <w:pPr>
              <w:pStyle w:val="ListParagraph"/>
              <w:numPr>
                <w:ilvl w:val="0"/>
                <w:numId w:val="1"/>
              </w:numPr>
              <w:spacing w:after="0" w:line="240" w:lineRule="auto"/>
              <w:rPr>
                <w:rFonts w:cs="Calibri"/>
                <w:i/>
                <w:lang w:val="en-GB"/>
              </w:rPr>
            </w:pPr>
            <w:r w:rsidRPr="00F85BB9">
              <w:rPr>
                <w:rFonts w:cs="Calibri"/>
                <w:i/>
                <w:lang w:val="en-GB"/>
              </w:rPr>
              <w:t>Inability of Tokelauans to make complaints to any Ombudsman in respect of the actions of the Government of Tokelau.</w:t>
            </w:r>
          </w:p>
          <w:p w14:paraId="33026D46" w14:textId="77777777" w:rsidR="006151CF" w:rsidRPr="00F85BB9" w:rsidRDefault="006151CF" w:rsidP="004D61B3">
            <w:pPr>
              <w:pStyle w:val="ListParagraph"/>
              <w:rPr>
                <w:rFonts w:cs="Calibri"/>
                <w:i/>
                <w:lang w:val="en-GB"/>
              </w:rPr>
            </w:pPr>
          </w:p>
          <w:p w14:paraId="7F26E720" w14:textId="77777777" w:rsidR="006151CF" w:rsidRPr="00F85BB9" w:rsidRDefault="006151CF" w:rsidP="004D61B3">
            <w:pPr>
              <w:pStyle w:val="ListParagraph"/>
              <w:numPr>
                <w:ilvl w:val="0"/>
                <w:numId w:val="1"/>
              </w:numPr>
              <w:spacing w:after="0" w:line="240" w:lineRule="auto"/>
              <w:rPr>
                <w:rFonts w:cs="Calibri"/>
                <w:i/>
                <w:lang w:val="en-GB"/>
              </w:rPr>
            </w:pPr>
            <w:r w:rsidRPr="00F85BB9">
              <w:rPr>
                <w:rFonts w:cs="Calibri"/>
                <w:i/>
                <w:lang w:val="en-GB"/>
              </w:rPr>
              <w:t>Inability of Tokelauans to challenge whether any Tokelauan agency has complied with basic privacy law contained in New Zealand’s information privacy principles.</w:t>
            </w:r>
          </w:p>
          <w:p w14:paraId="127DA885" w14:textId="77777777" w:rsidR="006151CF" w:rsidRPr="00EF2954" w:rsidRDefault="006151CF" w:rsidP="00EF2954">
            <w:pPr>
              <w:rPr>
                <w:rFonts w:cs="Calibri"/>
                <w:i/>
                <w:lang w:val="en-GB"/>
              </w:rPr>
            </w:pPr>
          </w:p>
          <w:p w14:paraId="79B6AD63" w14:textId="77777777" w:rsidR="006151CF" w:rsidRPr="00F85BB9" w:rsidRDefault="006151CF" w:rsidP="004D61B3">
            <w:pPr>
              <w:pStyle w:val="ListParagraph"/>
              <w:numPr>
                <w:ilvl w:val="0"/>
                <w:numId w:val="1"/>
              </w:numPr>
              <w:spacing w:after="0" w:line="240" w:lineRule="auto"/>
              <w:rPr>
                <w:rFonts w:cs="Calibri"/>
                <w:i/>
                <w:lang w:val="en-GB"/>
              </w:rPr>
            </w:pPr>
            <w:r w:rsidRPr="00F85BB9">
              <w:rPr>
                <w:rFonts w:cs="Calibri"/>
                <w:i/>
                <w:lang w:val="en-GB"/>
              </w:rPr>
              <w:t>Inability of Tokelauans to bring employment claims to the New Zealand employment institutions.  Safeguards provided by New Zealand employment statutes and regulations do not apply to Tokelauans.</w:t>
            </w:r>
          </w:p>
          <w:p w14:paraId="70269C35" w14:textId="77777777" w:rsidR="006151CF" w:rsidRPr="00F85BB9" w:rsidRDefault="006151CF" w:rsidP="004D61B3">
            <w:pPr>
              <w:pStyle w:val="ListParagraph"/>
              <w:rPr>
                <w:rFonts w:cs="Calibri"/>
                <w:i/>
                <w:lang w:val="en-GB"/>
              </w:rPr>
            </w:pPr>
          </w:p>
          <w:p w14:paraId="1443972A" w14:textId="77777777" w:rsidR="006151CF" w:rsidRPr="00F85BB9" w:rsidRDefault="006151CF" w:rsidP="004D61B3">
            <w:pPr>
              <w:pStyle w:val="ListParagraph"/>
              <w:numPr>
                <w:ilvl w:val="0"/>
                <w:numId w:val="1"/>
              </w:numPr>
              <w:spacing w:after="0" w:line="240" w:lineRule="auto"/>
              <w:rPr>
                <w:rFonts w:cs="Calibri"/>
                <w:i/>
                <w:lang w:val="en-GB"/>
              </w:rPr>
            </w:pPr>
            <w:r w:rsidRPr="00F85BB9">
              <w:rPr>
                <w:rFonts w:cs="Calibri"/>
                <w:i/>
                <w:lang w:val="en-GB"/>
              </w:rPr>
              <w:t>Inability of Tokelauans to access the protection of their human rights that New Zealanders can access under the Human Rights Act 1993 and to obtain remedies through the New Zealand human rights institutions including the Human Rights Review Tribunal.</w:t>
            </w:r>
          </w:p>
          <w:p w14:paraId="000AEE1E" w14:textId="77777777" w:rsidR="006151CF" w:rsidRPr="00F85BB9" w:rsidRDefault="006151CF" w:rsidP="004D61B3">
            <w:pPr>
              <w:pStyle w:val="ListParagraph"/>
              <w:rPr>
                <w:rFonts w:cs="Calibri"/>
                <w:i/>
                <w:lang w:val="en-GB"/>
              </w:rPr>
            </w:pPr>
          </w:p>
          <w:p w14:paraId="3E5DAFCB" w14:textId="77777777" w:rsidR="006151CF" w:rsidRPr="00F85BB9" w:rsidRDefault="006151CF" w:rsidP="00EF2954">
            <w:pPr>
              <w:pStyle w:val="ListParagraph"/>
              <w:spacing w:after="0" w:line="240" w:lineRule="auto"/>
              <w:rPr>
                <w:rFonts w:cs="Calibri"/>
                <w:i/>
                <w:lang w:val="en-GB"/>
              </w:rPr>
            </w:pPr>
          </w:p>
        </w:tc>
        <w:tc>
          <w:tcPr>
            <w:tcW w:w="5000" w:type="dxa"/>
            <w:tcBorders>
              <w:left w:val="nil"/>
            </w:tcBorders>
          </w:tcPr>
          <w:p w14:paraId="2B2DCFBF" w14:textId="77777777" w:rsidR="006151CF" w:rsidRPr="00F85BB9" w:rsidRDefault="006151CF" w:rsidP="004D61B3">
            <w:pPr>
              <w:tabs>
                <w:tab w:val="left" w:pos="3857"/>
              </w:tabs>
              <w:spacing w:after="0" w:line="240" w:lineRule="auto"/>
              <w:rPr>
                <w:rFonts w:cs="Calibri"/>
                <w:i/>
                <w:lang w:val="en-GB"/>
              </w:rPr>
            </w:pPr>
            <w:r w:rsidRPr="00F85BB9">
              <w:rPr>
                <w:rFonts w:cs="Calibri"/>
                <w:i/>
                <w:lang w:val="en-GB"/>
              </w:rPr>
              <w:t xml:space="preserve">There is no basis in law for citizens to request the government of Tokelau to provide official information.  There is no requirement for the government of Tokelau to comply with the provisions of New Zealand’s Official Information Act 1982 which requires the New Zealand government to make available all official information to New Zealand citizens including Tokelauans unless there is good reason for withholding it.  Further, even if the same information is held by the New Zealand government, the New Zealand government can withhold any information that might prejudice the security or defence of Tokelau.   Similarly, there is no requirement for the government of Tokelau to comply with the privacy principles contained in the New Zealand Privacy Act 1993.  Again, any New Zealand agency (including MFAT) can refuse to disclose personal information if disclosure would be likely to prejudice the security or defence of Tokelau.   These arbitrary and unnecessary limits on access to information exacerbate the imbalance in power between Tokelauans and the Government of Tokelau.  </w:t>
            </w:r>
          </w:p>
          <w:p w14:paraId="1787A110" w14:textId="77777777" w:rsidR="006151CF" w:rsidRPr="00F85BB9" w:rsidRDefault="006151CF" w:rsidP="004D61B3">
            <w:pPr>
              <w:tabs>
                <w:tab w:val="left" w:pos="3857"/>
              </w:tabs>
              <w:spacing w:after="0" w:line="240" w:lineRule="auto"/>
              <w:rPr>
                <w:rFonts w:cs="Calibri"/>
                <w:i/>
                <w:lang w:val="en-GB"/>
              </w:rPr>
            </w:pPr>
            <w:r w:rsidRPr="00F85BB9">
              <w:rPr>
                <w:rFonts w:cs="Calibri"/>
                <w:i/>
                <w:lang w:val="en-GB"/>
              </w:rPr>
              <w:t>Tokelauans have no ability to make complaints to the New Zealand Ombudsman in respect of the actions of the government of Tokelau.  There is no independent scrutiny of the actions of the Government of Tokelau.</w:t>
            </w:r>
          </w:p>
          <w:p w14:paraId="493AB203" w14:textId="77777777" w:rsidR="006151CF" w:rsidRPr="00F85BB9" w:rsidRDefault="006151CF" w:rsidP="004D61B3">
            <w:pPr>
              <w:tabs>
                <w:tab w:val="left" w:pos="3857"/>
              </w:tabs>
              <w:spacing w:after="0" w:line="240" w:lineRule="auto"/>
              <w:rPr>
                <w:rFonts w:cs="Calibri"/>
                <w:i/>
                <w:lang w:val="en-GB"/>
              </w:rPr>
            </w:pPr>
          </w:p>
          <w:p w14:paraId="6BCBF6B4" w14:textId="77777777" w:rsidR="006151CF" w:rsidRPr="00F85BB9" w:rsidRDefault="006151CF" w:rsidP="004D61B3">
            <w:pPr>
              <w:tabs>
                <w:tab w:val="left" w:pos="3857"/>
              </w:tabs>
              <w:spacing w:after="0" w:line="240" w:lineRule="auto"/>
              <w:rPr>
                <w:rFonts w:cs="Calibri"/>
                <w:i/>
                <w:lang w:val="en-GB"/>
              </w:rPr>
            </w:pPr>
            <w:r w:rsidRPr="00F85BB9">
              <w:rPr>
                <w:rFonts w:cs="Calibri"/>
                <w:i/>
                <w:lang w:val="en-GB"/>
              </w:rPr>
              <w:t xml:space="preserve">Tokelauans have no ability to make any complaint to the Office of the Privacy Commissioner in respect of any action by any agency governed by the law of Tokelau.  There are no safeguards in place for protecting the personal information of Tokelauans and no independent oversight over agencies holding the personal information of Tokelauans.   </w:t>
            </w:r>
          </w:p>
          <w:p w14:paraId="0AC43A86" w14:textId="77777777" w:rsidR="006151CF" w:rsidRPr="00F85BB9" w:rsidRDefault="006151CF" w:rsidP="004D61B3">
            <w:pPr>
              <w:tabs>
                <w:tab w:val="left" w:pos="3857"/>
              </w:tabs>
              <w:spacing w:after="0" w:line="240" w:lineRule="auto"/>
              <w:rPr>
                <w:rFonts w:cs="Calibri"/>
                <w:i/>
                <w:lang w:val="en-GB"/>
              </w:rPr>
            </w:pPr>
          </w:p>
          <w:p w14:paraId="2505E625" w14:textId="77777777" w:rsidR="006151CF" w:rsidRPr="00F85BB9" w:rsidRDefault="006151CF" w:rsidP="004D61B3">
            <w:pPr>
              <w:tabs>
                <w:tab w:val="left" w:pos="3857"/>
              </w:tabs>
              <w:spacing w:after="0" w:line="240" w:lineRule="auto"/>
              <w:rPr>
                <w:rFonts w:cs="Calibri"/>
                <w:i/>
                <w:lang w:val="en-GB"/>
              </w:rPr>
            </w:pPr>
            <w:r w:rsidRPr="00F85BB9">
              <w:rPr>
                <w:rFonts w:cs="Calibri"/>
                <w:i/>
                <w:lang w:val="en-GB"/>
              </w:rPr>
              <w:t xml:space="preserve">Tokelauans have no ability to bring any employment matter to the New Zealand employment institutions </w:t>
            </w:r>
            <w:r w:rsidRPr="00F85BB9">
              <w:rPr>
                <w:rFonts w:cs="Calibri"/>
                <w:i/>
                <w:lang w:val="en-GB"/>
              </w:rPr>
              <w:lastRenderedPageBreak/>
              <w:t xml:space="preserve">(the Employment Relations Authority or the Employment Court).  Employee protections contained in the Employment Relations Act 2000 (and other New Zealand employment legislation) including the duty of good faith and protection from discrimination do not apply to Tokelauans employed by the government of Tokelau.   </w:t>
            </w:r>
          </w:p>
          <w:p w14:paraId="6E5AED82" w14:textId="77777777" w:rsidR="006151CF" w:rsidRPr="00F85BB9" w:rsidRDefault="006151CF" w:rsidP="004D61B3">
            <w:pPr>
              <w:tabs>
                <w:tab w:val="left" w:pos="3857"/>
              </w:tabs>
              <w:spacing w:after="0" w:line="240" w:lineRule="auto"/>
              <w:rPr>
                <w:rFonts w:cs="Calibri"/>
                <w:i/>
                <w:lang w:val="en-GB"/>
              </w:rPr>
            </w:pPr>
          </w:p>
          <w:p w14:paraId="31568CCA" w14:textId="77777777" w:rsidR="006151CF" w:rsidRPr="00F85BB9" w:rsidRDefault="006151CF" w:rsidP="007B75B4">
            <w:pPr>
              <w:tabs>
                <w:tab w:val="left" w:pos="3857"/>
              </w:tabs>
              <w:spacing w:after="0" w:line="240" w:lineRule="auto"/>
              <w:rPr>
                <w:rFonts w:cs="Calibri"/>
                <w:i/>
                <w:lang w:val="en-GB"/>
              </w:rPr>
            </w:pPr>
            <w:r w:rsidRPr="00F85BB9">
              <w:rPr>
                <w:rFonts w:cs="Calibri"/>
                <w:i/>
                <w:lang w:val="en-GB"/>
              </w:rPr>
              <w:t>The New Zealand Human Rights Act 1993 which protects New Zealand from discrimination based on specified prohibited grounds including race does not protect Tokelauans.  The Human Rights Commission and its institutions have no jurisdiction in respect of Tokelau.</w:t>
            </w:r>
          </w:p>
        </w:tc>
      </w:tr>
    </w:tbl>
    <w:p w14:paraId="726AFC43" w14:textId="77777777" w:rsidR="006151CF" w:rsidRPr="00F85BB9" w:rsidRDefault="006151CF" w:rsidP="006151CF">
      <w:pPr>
        <w:tabs>
          <w:tab w:val="left" w:pos="3857"/>
        </w:tabs>
        <w:rPr>
          <w:rFonts w:cs="Calibri"/>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51CF" w:rsidRPr="00F85BB9" w14:paraId="31B23F25" w14:textId="77777777" w:rsidTr="004D61B3">
        <w:trPr>
          <w:trHeight w:val="387"/>
        </w:trPr>
        <w:tc>
          <w:tcPr>
            <w:tcW w:w="9924" w:type="dxa"/>
          </w:tcPr>
          <w:p w14:paraId="0D5C86F6" w14:textId="77777777" w:rsidR="006151CF" w:rsidRPr="00F85BB9" w:rsidRDefault="006151CF" w:rsidP="004D61B3">
            <w:pPr>
              <w:tabs>
                <w:tab w:val="left" w:pos="3857"/>
              </w:tabs>
              <w:spacing w:after="0" w:line="240" w:lineRule="auto"/>
              <w:jc w:val="center"/>
              <w:rPr>
                <w:rFonts w:cs="Calibri"/>
                <w:b/>
                <w:lang w:val="en-GB"/>
              </w:rPr>
            </w:pPr>
            <w:r w:rsidRPr="00F85BB9">
              <w:rPr>
                <w:rFonts w:cs="Calibri"/>
                <w:b/>
                <w:lang w:val="en-GB"/>
              </w:rPr>
              <w:t>RECOMMENDATIONS</w:t>
            </w:r>
          </w:p>
        </w:tc>
      </w:tr>
      <w:tr w:rsidR="006151CF" w:rsidRPr="00F85BB9" w14:paraId="3274DFF0" w14:textId="77777777" w:rsidTr="004D61B3">
        <w:trPr>
          <w:trHeight w:val="705"/>
        </w:trPr>
        <w:tc>
          <w:tcPr>
            <w:tcW w:w="9924" w:type="dxa"/>
          </w:tcPr>
          <w:p w14:paraId="1E2D35A0" w14:textId="77777777" w:rsidR="006151CF" w:rsidRPr="00F85BB9" w:rsidRDefault="006151CF" w:rsidP="004D61B3">
            <w:pPr>
              <w:spacing w:after="160" w:line="259" w:lineRule="auto"/>
            </w:pPr>
            <w:r w:rsidRPr="00F85BB9">
              <w:t xml:space="preserve">WCM Legal </w:t>
            </w:r>
            <w:proofErr w:type="spellStart"/>
            <w:proofErr w:type="gramStart"/>
            <w:r w:rsidRPr="00F85BB9">
              <w:t>recommends</w:t>
            </w:r>
            <w:proofErr w:type="spellEnd"/>
            <w:r w:rsidRPr="00F85BB9">
              <w:t xml:space="preserve">  </w:t>
            </w:r>
            <w:proofErr w:type="spellStart"/>
            <w:r w:rsidRPr="00F85BB9">
              <w:t>that</w:t>
            </w:r>
            <w:proofErr w:type="spellEnd"/>
            <w:proofErr w:type="gramEnd"/>
            <w:r w:rsidRPr="00F85BB9">
              <w:t xml:space="preserve"> the New Zealand </w:t>
            </w:r>
            <w:proofErr w:type="spellStart"/>
            <w:r w:rsidRPr="00F85BB9">
              <w:t>government</w:t>
            </w:r>
            <w:proofErr w:type="spellEnd"/>
            <w:r w:rsidRPr="00F85BB9">
              <w:t xml:space="preserve"> must:</w:t>
            </w:r>
          </w:p>
          <w:p w14:paraId="476F0408" w14:textId="77777777" w:rsidR="006151CF" w:rsidRPr="00F85BB9" w:rsidRDefault="007B75B4" w:rsidP="004D61B3">
            <w:pPr>
              <w:pStyle w:val="ListParagraph"/>
              <w:numPr>
                <w:ilvl w:val="1"/>
                <w:numId w:val="3"/>
              </w:numPr>
              <w:spacing w:after="160" w:line="259" w:lineRule="auto"/>
            </w:pPr>
            <w:proofErr w:type="spellStart"/>
            <w:r>
              <w:t>Urgently</w:t>
            </w:r>
            <w:proofErr w:type="spellEnd"/>
            <w:r>
              <w:t xml:space="preserve"> </w:t>
            </w:r>
            <w:proofErr w:type="spellStart"/>
            <w:r>
              <w:t>e</w:t>
            </w:r>
            <w:r w:rsidR="006151CF" w:rsidRPr="00F85BB9">
              <w:t>xtend</w:t>
            </w:r>
            <w:proofErr w:type="spellEnd"/>
            <w:r w:rsidR="006151CF" w:rsidRPr="00F85BB9">
              <w:t xml:space="preserve"> protections </w:t>
            </w:r>
            <w:proofErr w:type="spellStart"/>
            <w:r w:rsidR="006151CF" w:rsidRPr="00F85BB9">
              <w:t>provided</w:t>
            </w:r>
            <w:proofErr w:type="spellEnd"/>
            <w:r w:rsidR="006151CF" w:rsidRPr="00F85BB9">
              <w:t xml:space="preserve"> by the </w:t>
            </w:r>
            <w:proofErr w:type="spellStart"/>
            <w:r w:rsidR="006151CF" w:rsidRPr="00F85BB9">
              <w:t>Ombudsmen</w:t>
            </w:r>
            <w:proofErr w:type="spellEnd"/>
            <w:r w:rsidR="006151CF" w:rsidRPr="00F85BB9">
              <w:t xml:space="preserve"> </w:t>
            </w:r>
            <w:proofErr w:type="spellStart"/>
            <w:r w:rsidR="006151CF" w:rsidRPr="00F85BB9">
              <w:t>Act</w:t>
            </w:r>
            <w:proofErr w:type="spellEnd"/>
            <w:r w:rsidR="006151CF" w:rsidRPr="00F85BB9">
              <w:t xml:space="preserve"> 1975, the Official Information </w:t>
            </w:r>
            <w:proofErr w:type="spellStart"/>
            <w:r w:rsidR="006151CF" w:rsidRPr="00F85BB9">
              <w:t>Act</w:t>
            </w:r>
            <w:proofErr w:type="spellEnd"/>
            <w:r w:rsidR="006151CF" w:rsidRPr="00F85BB9">
              <w:t xml:space="preserve"> 1982 and the </w:t>
            </w:r>
            <w:proofErr w:type="spellStart"/>
            <w:r w:rsidR="006151CF" w:rsidRPr="00F85BB9">
              <w:t>Privacy</w:t>
            </w:r>
            <w:proofErr w:type="spellEnd"/>
            <w:r w:rsidR="006151CF" w:rsidRPr="00F85BB9">
              <w:t xml:space="preserve"> </w:t>
            </w:r>
            <w:proofErr w:type="spellStart"/>
            <w:r w:rsidR="006151CF" w:rsidRPr="00F85BB9">
              <w:t>Act</w:t>
            </w:r>
            <w:proofErr w:type="spellEnd"/>
            <w:r w:rsidR="006151CF" w:rsidRPr="00F85BB9">
              <w:t xml:space="preserve"> 1993 to Tokelau.</w:t>
            </w:r>
          </w:p>
          <w:p w14:paraId="08FA76A2" w14:textId="77777777" w:rsidR="006151CF" w:rsidRPr="00F85BB9" w:rsidRDefault="006151CF" w:rsidP="004D61B3">
            <w:pPr>
              <w:pStyle w:val="ListParagraph"/>
            </w:pPr>
          </w:p>
          <w:p w14:paraId="0BA5E285" w14:textId="77777777" w:rsidR="006151CF" w:rsidRPr="00F85BB9" w:rsidRDefault="007B75B4" w:rsidP="004D61B3">
            <w:pPr>
              <w:pStyle w:val="ListParagraph"/>
              <w:numPr>
                <w:ilvl w:val="1"/>
                <w:numId w:val="3"/>
              </w:numPr>
              <w:spacing w:after="160" w:line="259" w:lineRule="auto"/>
            </w:pPr>
            <w:proofErr w:type="spellStart"/>
            <w:r>
              <w:t>Urgently</w:t>
            </w:r>
            <w:proofErr w:type="spellEnd"/>
            <w:r>
              <w:t xml:space="preserve"> </w:t>
            </w:r>
            <w:proofErr w:type="spellStart"/>
            <w:r>
              <w:t>e</w:t>
            </w:r>
            <w:r w:rsidR="006151CF" w:rsidRPr="00F85BB9">
              <w:t>xtend</w:t>
            </w:r>
            <w:proofErr w:type="spellEnd"/>
            <w:r w:rsidR="006151CF" w:rsidRPr="00F85BB9">
              <w:t xml:space="preserve"> the application of the </w:t>
            </w:r>
            <w:proofErr w:type="spellStart"/>
            <w:r w:rsidR="006151CF" w:rsidRPr="00F85BB9">
              <w:t>Employment</w:t>
            </w:r>
            <w:proofErr w:type="spellEnd"/>
            <w:r w:rsidR="006151CF" w:rsidRPr="00F85BB9">
              <w:t xml:space="preserve"> Relations </w:t>
            </w:r>
            <w:proofErr w:type="spellStart"/>
            <w:r w:rsidR="006151CF" w:rsidRPr="00F85BB9">
              <w:t>Act</w:t>
            </w:r>
            <w:proofErr w:type="spellEnd"/>
            <w:r w:rsidR="006151CF" w:rsidRPr="00F85BB9">
              <w:t xml:space="preserve"> 2000 to Tokelau.  </w:t>
            </w:r>
          </w:p>
          <w:p w14:paraId="75EFCE99" w14:textId="77777777" w:rsidR="006151CF" w:rsidRPr="00F85BB9" w:rsidRDefault="006151CF" w:rsidP="004D61B3">
            <w:pPr>
              <w:pStyle w:val="ListParagraph"/>
            </w:pPr>
          </w:p>
          <w:p w14:paraId="0BD5ABF6" w14:textId="77777777" w:rsidR="006151CF" w:rsidRPr="00F85BB9" w:rsidRDefault="007B75B4" w:rsidP="004D61B3">
            <w:pPr>
              <w:pStyle w:val="ListParagraph"/>
              <w:numPr>
                <w:ilvl w:val="1"/>
                <w:numId w:val="3"/>
              </w:numPr>
              <w:spacing w:after="160" w:line="259" w:lineRule="auto"/>
            </w:pPr>
            <w:proofErr w:type="spellStart"/>
            <w:r>
              <w:t>Urgently</w:t>
            </w:r>
            <w:proofErr w:type="spellEnd"/>
            <w:r>
              <w:t xml:space="preserve"> </w:t>
            </w:r>
            <w:proofErr w:type="spellStart"/>
            <w:r>
              <w:t>e</w:t>
            </w:r>
            <w:r w:rsidR="006151CF" w:rsidRPr="00F85BB9">
              <w:t>xtend</w:t>
            </w:r>
            <w:proofErr w:type="spellEnd"/>
            <w:r w:rsidR="006151CF" w:rsidRPr="00F85BB9">
              <w:t xml:space="preserve"> application of the Human </w:t>
            </w:r>
            <w:proofErr w:type="spellStart"/>
            <w:r w:rsidR="006151CF" w:rsidRPr="00F85BB9">
              <w:t>Rights</w:t>
            </w:r>
            <w:proofErr w:type="spellEnd"/>
            <w:r w:rsidR="006151CF" w:rsidRPr="00F85BB9">
              <w:t xml:space="preserve"> </w:t>
            </w:r>
            <w:proofErr w:type="spellStart"/>
            <w:r w:rsidR="006151CF" w:rsidRPr="00F85BB9">
              <w:t>Act</w:t>
            </w:r>
            <w:proofErr w:type="spellEnd"/>
            <w:r w:rsidR="006151CF" w:rsidRPr="00F85BB9">
              <w:t xml:space="preserve"> 1993 to Tokelau.</w:t>
            </w:r>
          </w:p>
          <w:p w14:paraId="1F32B0E5" w14:textId="77777777" w:rsidR="006151CF" w:rsidRPr="00F85BB9" w:rsidRDefault="006151CF" w:rsidP="004D61B3">
            <w:pPr>
              <w:pStyle w:val="ListParagraph"/>
            </w:pPr>
          </w:p>
          <w:p w14:paraId="76B90154" w14:textId="77777777" w:rsidR="006151CF" w:rsidRPr="007B75B4" w:rsidRDefault="006151CF" w:rsidP="007B75B4">
            <w:pPr>
              <w:pStyle w:val="ListParagraph"/>
              <w:numPr>
                <w:ilvl w:val="1"/>
                <w:numId w:val="3"/>
              </w:numPr>
              <w:spacing w:after="160" w:line="259" w:lineRule="auto"/>
            </w:pPr>
            <w:proofErr w:type="spellStart"/>
            <w:r w:rsidRPr="00F85BB9">
              <w:t>Repeal</w:t>
            </w:r>
            <w:proofErr w:type="spellEnd"/>
            <w:r w:rsidRPr="00F85BB9">
              <w:t xml:space="preserve"> s 6 of the Tokelau </w:t>
            </w:r>
            <w:proofErr w:type="spellStart"/>
            <w:r w:rsidRPr="00F85BB9">
              <w:t>Act</w:t>
            </w:r>
            <w:proofErr w:type="spellEnd"/>
            <w:r w:rsidRPr="00F85BB9">
              <w:t xml:space="preserve"> 1948 </w:t>
            </w:r>
            <w:proofErr w:type="spellStart"/>
            <w:r w:rsidRPr="00F85BB9">
              <w:t>so</w:t>
            </w:r>
            <w:proofErr w:type="spellEnd"/>
            <w:r w:rsidRPr="00F85BB9">
              <w:t xml:space="preserve"> </w:t>
            </w:r>
            <w:proofErr w:type="spellStart"/>
            <w:r w:rsidRPr="00F85BB9">
              <w:t>that</w:t>
            </w:r>
            <w:proofErr w:type="spellEnd"/>
            <w:r w:rsidRPr="00F85BB9">
              <w:t xml:space="preserve"> New Zealand </w:t>
            </w:r>
            <w:proofErr w:type="spellStart"/>
            <w:r w:rsidRPr="00F85BB9">
              <w:t>statute</w:t>
            </w:r>
            <w:proofErr w:type="spellEnd"/>
            <w:r w:rsidRPr="00F85BB9">
              <w:t xml:space="preserve"> </w:t>
            </w:r>
            <w:proofErr w:type="spellStart"/>
            <w:r w:rsidRPr="00F85BB9">
              <w:t>law</w:t>
            </w:r>
            <w:proofErr w:type="spellEnd"/>
            <w:r w:rsidRPr="00F85BB9">
              <w:t xml:space="preserve"> </w:t>
            </w:r>
            <w:proofErr w:type="spellStart"/>
            <w:r w:rsidRPr="00F85BB9">
              <w:t>is</w:t>
            </w:r>
            <w:proofErr w:type="spellEnd"/>
            <w:r w:rsidRPr="00F85BB9">
              <w:t xml:space="preserve"> in force in Tokelau </w:t>
            </w:r>
            <w:proofErr w:type="spellStart"/>
            <w:r w:rsidRPr="00F85BB9">
              <w:t>unless</w:t>
            </w:r>
            <w:proofErr w:type="spellEnd"/>
            <w:r w:rsidRPr="00F85BB9">
              <w:t xml:space="preserve"> </w:t>
            </w:r>
            <w:proofErr w:type="spellStart"/>
            <w:r w:rsidRPr="00F85BB9">
              <w:t>expressly</w:t>
            </w:r>
            <w:proofErr w:type="spellEnd"/>
            <w:r w:rsidRPr="00F85BB9">
              <w:t xml:space="preserve"> </w:t>
            </w:r>
            <w:proofErr w:type="spellStart"/>
            <w:r w:rsidRPr="00F85BB9">
              <w:t>excluded</w:t>
            </w:r>
            <w:proofErr w:type="spellEnd"/>
            <w:r w:rsidRPr="00F85BB9">
              <w:t>.</w:t>
            </w:r>
          </w:p>
        </w:tc>
      </w:tr>
    </w:tbl>
    <w:p w14:paraId="48BFCDBB" w14:textId="77777777" w:rsidR="007B75B4" w:rsidRPr="00F85BB9" w:rsidRDefault="007B75B4" w:rsidP="007B75B4">
      <w:pPr>
        <w:tabs>
          <w:tab w:val="left" w:pos="3857"/>
        </w:tabs>
        <w:rPr>
          <w:rFonts w:cs="Calibri"/>
          <w:lang w:val="en-GB"/>
        </w:rPr>
      </w:pPr>
      <w:r w:rsidRPr="00F85BB9">
        <w:rPr>
          <w:rFonts w:cs="Calibri"/>
          <w:lang w:val="en-GB"/>
        </w:rPr>
        <w:t>References/sources:</w:t>
      </w:r>
    </w:p>
    <w:p w14:paraId="01446D15"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Citizenship Act 1977.</w:t>
      </w:r>
    </w:p>
    <w:p w14:paraId="3919728E"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Employment Relations Act 2000.</w:t>
      </w:r>
    </w:p>
    <w:p w14:paraId="204C86B5"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Official Information Act 1982.</w:t>
      </w:r>
    </w:p>
    <w:p w14:paraId="32D899E2"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Ombudsmen Act 1975.</w:t>
      </w:r>
    </w:p>
    <w:p w14:paraId="3A943B8F"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Privacy Act 1993.</w:t>
      </w:r>
    </w:p>
    <w:p w14:paraId="63BDA939"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Human Rights Act 1993.</w:t>
      </w:r>
    </w:p>
    <w:p w14:paraId="7E11EC76"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Tokelau Act 1948.</w:t>
      </w:r>
    </w:p>
    <w:p w14:paraId="10A95545"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Tokelau Amendment Act 1986.</w:t>
      </w:r>
    </w:p>
    <w:p w14:paraId="4B38E8D8" w14:textId="77777777" w:rsidR="007B75B4" w:rsidRPr="00F85BB9" w:rsidRDefault="007B75B4" w:rsidP="007B75B4">
      <w:pPr>
        <w:pStyle w:val="ListParagraph"/>
        <w:numPr>
          <w:ilvl w:val="0"/>
          <w:numId w:val="2"/>
        </w:numPr>
        <w:tabs>
          <w:tab w:val="left" w:pos="3857"/>
        </w:tabs>
        <w:rPr>
          <w:rFonts w:cs="Calibri"/>
          <w:lang w:val="en-GB"/>
        </w:rPr>
      </w:pPr>
      <w:r w:rsidRPr="00F85BB9">
        <w:rPr>
          <w:rFonts w:cs="Calibri"/>
          <w:lang w:val="en-GB"/>
        </w:rPr>
        <w:t>Constitution of Tokelau.</w:t>
      </w:r>
    </w:p>
    <w:p w14:paraId="614989D2" w14:textId="77777777" w:rsidR="003A71C2" w:rsidRDefault="007B75B4" w:rsidP="007B75B4">
      <w:pPr>
        <w:pStyle w:val="ListParagraph"/>
        <w:numPr>
          <w:ilvl w:val="0"/>
          <w:numId w:val="2"/>
        </w:numPr>
        <w:tabs>
          <w:tab w:val="left" w:pos="3857"/>
        </w:tabs>
      </w:pPr>
      <w:r w:rsidRPr="007B75B4">
        <w:rPr>
          <w:rFonts w:cs="Calibri"/>
          <w:lang w:val="en-GB"/>
        </w:rPr>
        <w:t>United Nations “Guiding Principles on Business and Human Rights: Implementing the United Nations ‘Protect, Respect and Remedy’ Framework” (United Nations, New York and Geneva, 2011).</w:t>
      </w:r>
    </w:p>
    <w:sectPr w:rsidR="003A71C2" w:rsidSect="000805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4554" w14:textId="77777777" w:rsidR="00B940DA" w:rsidRDefault="00B940DA" w:rsidP="006151CF">
      <w:pPr>
        <w:spacing w:after="0" w:line="240" w:lineRule="auto"/>
      </w:pPr>
      <w:r>
        <w:separator/>
      </w:r>
    </w:p>
  </w:endnote>
  <w:endnote w:type="continuationSeparator" w:id="0">
    <w:p w14:paraId="79BA72D6" w14:textId="77777777" w:rsidR="00B940DA" w:rsidRDefault="00B940DA" w:rsidP="0061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1D9E" w14:textId="77777777" w:rsidR="00051CBF" w:rsidRPr="00442659" w:rsidRDefault="00B940DA">
    <w:pPr>
      <w:pStyle w:val="Footer"/>
      <w:pBdr>
        <w:top w:val="thinThickSmallGap" w:sz="24" w:space="1" w:color="622423"/>
      </w:pBdr>
      <w:rPr>
        <w:sz w:val="20"/>
      </w:rPr>
    </w:pPr>
    <w:r w:rsidRPr="00442659">
      <w:rPr>
        <w:sz w:val="20"/>
      </w:rPr>
      <w:t>NAME</w:t>
    </w:r>
    <w:r w:rsidRPr="00442659">
      <w:rPr>
        <w:sz w:val="20"/>
      </w:rPr>
      <w:tab/>
    </w:r>
    <w:r w:rsidRPr="00442659">
      <w:rPr>
        <w:sz w:val="20"/>
      </w:rPr>
      <w:tab/>
      <w:t>FACTSHEET 1</w:t>
    </w:r>
  </w:p>
  <w:p w14:paraId="32B5030D" w14:textId="77777777" w:rsidR="00051CBF" w:rsidRDefault="0090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3EE5" w14:textId="77777777" w:rsidR="00B940DA" w:rsidRDefault="00B940DA" w:rsidP="006151CF">
      <w:pPr>
        <w:spacing w:after="0" w:line="240" w:lineRule="auto"/>
      </w:pPr>
      <w:r>
        <w:separator/>
      </w:r>
    </w:p>
  </w:footnote>
  <w:footnote w:type="continuationSeparator" w:id="0">
    <w:p w14:paraId="1811D322" w14:textId="77777777" w:rsidR="00B940DA" w:rsidRDefault="00B940DA" w:rsidP="006151CF">
      <w:pPr>
        <w:spacing w:after="0" w:line="240" w:lineRule="auto"/>
      </w:pPr>
      <w:r>
        <w:continuationSeparator/>
      </w:r>
    </w:p>
  </w:footnote>
  <w:footnote w:id="1">
    <w:p w14:paraId="4236111B" w14:textId="77777777" w:rsidR="006151CF" w:rsidRPr="001D3D9F" w:rsidRDefault="006151CF" w:rsidP="006151CF">
      <w:pPr>
        <w:pStyle w:val="FootnoteText"/>
        <w:rPr>
          <w:lang w:val="en-US"/>
        </w:rPr>
      </w:pPr>
      <w:r>
        <w:rPr>
          <w:rStyle w:val="FootnoteReference"/>
        </w:rPr>
        <w:footnoteRef/>
      </w:r>
      <w:r>
        <w:t xml:space="preserve"> </w:t>
      </w:r>
      <w:r>
        <w:rPr>
          <w:lang w:val="en-US"/>
        </w:rPr>
        <w:t>Citizenship Act 1977, ss 2 and 6.</w:t>
      </w:r>
    </w:p>
  </w:footnote>
  <w:footnote w:id="2">
    <w:p w14:paraId="2F3B0A8F" w14:textId="77777777" w:rsidR="006151CF" w:rsidRPr="00F609A0" w:rsidRDefault="006151CF" w:rsidP="006151CF">
      <w:pPr>
        <w:pStyle w:val="FootnoteText"/>
        <w:rPr>
          <w:lang w:val="en-US"/>
        </w:rPr>
      </w:pPr>
      <w:r>
        <w:rPr>
          <w:rStyle w:val="FootnoteReference"/>
        </w:rPr>
        <w:footnoteRef/>
      </w:r>
      <w:r>
        <w:t xml:space="preserve"> </w:t>
      </w:r>
      <w:r>
        <w:rPr>
          <w:lang w:val="en-US"/>
        </w:rPr>
        <w:t>Tokelau Act 1948, s 3.</w:t>
      </w:r>
    </w:p>
  </w:footnote>
  <w:footnote w:id="3">
    <w:p w14:paraId="0710C9F3" w14:textId="77777777" w:rsidR="006151CF" w:rsidRPr="00F609A0" w:rsidRDefault="006151CF" w:rsidP="006151CF">
      <w:pPr>
        <w:pStyle w:val="FootnoteText"/>
        <w:rPr>
          <w:lang w:val="en-US"/>
        </w:rPr>
      </w:pPr>
      <w:r>
        <w:rPr>
          <w:rStyle w:val="FootnoteReference"/>
        </w:rPr>
        <w:footnoteRef/>
      </w:r>
      <w:r>
        <w:t xml:space="preserve"> </w:t>
      </w:r>
      <w:r>
        <w:rPr>
          <w:lang w:val="en-US"/>
        </w:rPr>
        <w:t>Tokelau Act 1948, s 9.</w:t>
      </w:r>
    </w:p>
  </w:footnote>
  <w:footnote w:id="4">
    <w:p w14:paraId="2A201305" w14:textId="77777777" w:rsidR="006151CF" w:rsidRPr="00A0680F" w:rsidRDefault="006151CF" w:rsidP="006151CF">
      <w:pPr>
        <w:pStyle w:val="FootnoteText"/>
        <w:rPr>
          <w:lang w:val="en-US"/>
        </w:rPr>
      </w:pPr>
      <w:r>
        <w:rPr>
          <w:rStyle w:val="FootnoteReference"/>
        </w:rPr>
        <w:footnoteRef/>
      </w:r>
      <w:r>
        <w:t xml:space="preserve"> </w:t>
      </w:r>
      <w:r>
        <w:rPr>
          <w:lang w:val="en-US"/>
        </w:rPr>
        <w:t>Tokelau Act 1948, ss 3A, 4, 4A and 4B.</w:t>
      </w:r>
    </w:p>
  </w:footnote>
  <w:footnote w:id="5">
    <w:p w14:paraId="2B8672F2" w14:textId="77777777" w:rsidR="006151CF" w:rsidRPr="00A0680F" w:rsidRDefault="006151CF" w:rsidP="006151CF">
      <w:pPr>
        <w:pStyle w:val="FootnoteText"/>
        <w:rPr>
          <w:lang w:val="en-US"/>
        </w:rPr>
      </w:pPr>
      <w:r>
        <w:rPr>
          <w:rStyle w:val="FootnoteReference"/>
        </w:rPr>
        <w:footnoteRef/>
      </w:r>
      <w:r>
        <w:t xml:space="preserve"> </w:t>
      </w:r>
      <w:r>
        <w:rPr>
          <w:lang w:val="en-US"/>
        </w:rPr>
        <w:t>Tokelau Act 1948, s 6.</w:t>
      </w:r>
    </w:p>
  </w:footnote>
  <w:footnote w:id="6">
    <w:p w14:paraId="5FF4765E" w14:textId="77777777" w:rsidR="006151CF" w:rsidRPr="001D3D9F" w:rsidRDefault="006151CF" w:rsidP="006151CF">
      <w:pPr>
        <w:pStyle w:val="FootnoteText"/>
        <w:rPr>
          <w:lang w:val="en-US"/>
        </w:rPr>
      </w:pPr>
      <w:r>
        <w:rPr>
          <w:rStyle w:val="FootnoteReference"/>
        </w:rPr>
        <w:footnoteRef/>
      </w:r>
      <w:r>
        <w:t xml:space="preserve"> Government of Tokelau “</w:t>
      </w:r>
      <w:r>
        <w:rPr>
          <w:lang w:val="en-US"/>
        </w:rPr>
        <w:t>Constitution of Tokelau” (2007) &lt;www.tokelau.org.nz&gt;.</w:t>
      </w:r>
    </w:p>
  </w:footnote>
  <w:footnote w:id="7">
    <w:p w14:paraId="406DE6CA" w14:textId="77777777" w:rsidR="006151CF" w:rsidRPr="001D3D9F" w:rsidRDefault="006151CF" w:rsidP="006151CF">
      <w:pPr>
        <w:pStyle w:val="FootnoteText"/>
        <w:rPr>
          <w:lang w:val="en-US"/>
        </w:rPr>
      </w:pPr>
      <w:r>
        <w:rPr>
          <w:rStyle w:val="FootnoteReference"/>
        </w:rPr>
        <w:footnoteRef/>
      </w:r>
      <w:r>
        <w:t xml:space="preserve"> </w:t>
      </w:r>
      <w:r>
        <w:rPr>
          <w:lang w:val="en-US"/>
        </w:rPr>
        <w:t>Ibid.</w:t>
      </w:r>
    </w:p>
  </w:footnote>
  <w:footnote w:id="8">
    <w:p w14:paraId="533BA9C6" w14:textId="77777777" w:rsidR="006151CF" w:rsidRPr="0036746E" w:rsidRDefault="006151CF" w:rsidP="006151CF">
      <w:pPr>
        <w:pStyle w:val="FootnoteText"/>
        <w:rPr>
          <w:lang w:val="en-US"/>
        </w:rPr>
      </w:pPr>
      <w:r>
        <w:rPr>
          <w:rStyle w:val="FootnoteReference"/>
        </w:rPr>
        <w:footnoteRef/>
      </w:r>
      <w:r>
        <w:t xml:space="preserve"> </w:t>
      </w:r>
      <w:r>
        <w:rPr>
          <w:lang w:val="en-US"/>
        </w:rPr>
        <w:t>Tokelau Amendment Act 1986, s 3.</w:t>
      </w:r>
    </w:p>
  </w:footnote>
  <w:footnote w:id="9">
    <w:p w14:paraId="32ECFB54" w14:textId="77777777" w:rsidR="006151CF" w:rsidRPr="0036746E" w:rsidRDefault="006151CF" w:rsidP="006151CF">
      <w:pPr>
        <w:pStyle w:val="FootnoteText"/>
        <w:rPr>
          <w:lang w:val="en-US"/>
        </w:rPr>
      </w:pPr>
      <w:r>
        <w:rPr>
          <w:rStyle w:val="FootnoteReference"/>
        </w:rPr>
        <w:footnoteRef/>
      </w:r>
      <w:r>
        <w:t xml:space="preserve"> </w:t>
      </w:r>
      <w:r>
        <w:rPr>
          <w:lang w:val="en-US"/>
        </w:rPr>
        <w:t>Tokelau Amendment Act 1986, s 4.</w:t>
      </w:r>
    </w:p>
  </w:footnote>
  <w:footnote w:id="10">
    <w:p w14:paraId="48729CA8" w14:textId="77777777" w:rsidR="006151CF" w:rsidRPr="00B70582" w:rsidRDefault="006151CF" w:rsidP="006151CF">
      <w:pPr>
        <w:pStyle w:val="FootnoteText"/>
        <w:rPr>
          <w:lang w:val="en-US"/>
        </w:rPr>
      </w:pPr>
      <w:r>
        <w:rPr>
          <w:rStyle w:val="FootnoteReference"/>
        </w:rPr>
        <w:footnoteRef/>
      </w:r>
      <w:r>
        <w:t xml:space="preserve"> </w:t>
      </w:r>
      <w:r>
        <w:rPr>
          <w:i/>
          <w:lang w:val="en-US"/>
        </w:rPr>
        <w:t xml:space="preserve">Suveinakama v Council for the Ongoing Government of Tokelau </w:t>
      </w:r>
      <w:r>
        <w:rPr>
          <w:lang w:val="en-US"/>
        </w:rPr>
        <w:t>[2018] NZHC 1670 at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648" w14:textId="77777777" w:rsidR="006973D8" w:rsidRPr="00442659" w:rsidRDefault="00B940DA">
    <w:pPr>
      <w:pStyle w:val="Header"/>
      <w:rPr>
        <w:b/>
        <w:lang w:val="en-GB"/>
      </w:rPr>
    </w:pPr>
    <w:r w:rsidRPr="00442659">
      <w:rPr>
        <w:b/>
        <w:lang w:val="en-GB"/>
      </w:rPr>
      <w:t>FACTSHEET – UPR 201</w:t>
    </w:r>
    <w:r>
      <w:rPr>
        <w:b/>
        <w:lang w:val="en-GB"/>
      </w:rPr>
      <w:t>8</w:t>
    </w:r>
    <w:r w:rsidRPr="00442659">
      <w:rPr>
        <w:b/>
        <w:lang w:val="en-GB"/>
      </w:rPr>
      <w:t xml:space="preserve"> – </w:t>
    </w:r>
    <w:r>
      <w:rPr>
        <w:b/>
        <w:lang w:val="en-GB"/>
      </w:rPr>
      <w:t>New Zealand</w:t>
    </w:r>
    <w:r w:rsidRPr="00442659">
      <w:rPr>
        <w:b/>
        <w:lang w:val="en-GB"/>
      </w:rPr>
      <w:tab/>
    </w:r>
    <w:r w:rsidRPr="00442659">
      <w:rPr>
        <w:b/>
        <w:lang w:val="en-GB"/>
      </w:rPr>
      <w:tab/>
    </w:r>
    <w:r>
      <w:rPr>
        <w:b/>
        <w:lang w:val="en-GB"/>
      </w:rPr>
      <w:t>John Goddard WCM Legal</w:t>
    </w:r>
  </w:p>
  <w:p w14:paraId="1038DC2F" w14:textId="77777777" w:rsidR="00051CBF" w:rsidRPr="00442659" w:rsidRDefault="00B940DA">
    <w:pPr>
      <w:pStyle w:val="Header"/>
      <w:rPr>
        <w:b/>
      </w:rPr>
    </w:pPr>
    <w:r w:rsidRPr="00442659">
      <w:rPr>
        <w:b/>
      </w:rPr>
      <w:t>3rd CYCLE UNIVERSAL PERIODIC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B11"/>
    <w:multiLevelType w:val="hybridMultilevel"/>
    <w:tmpl w:val="23D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8527B"/>
    <w:multiLevelType w:val="hybridMultilevel"/>
    <w:tmpl w:val="7F68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70ECC"/>
    <w:multiLevelType w:val="hybridMultilevel"/>
    <w:tmpl w:val="8B908E4A"/>
    <w:lvl w:ilvl="0" w:tplc="EF1A3888">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CF"/>
    <w:rsid w:val="003A71C2"/>
    <w:rsid w:val="006151CF"/>
    <w:rsid w:val="007B75B4"/>
    <w:rsid w:val="00903563"/>
    <w:rsid w:val="00B940DA"/>
    <w:rsid w:val="00EF29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2926"/>
  <w15:chartTrackingRefBased/>
  <w15:docId w15:val="{902DD783-1E71-487A-9979-78331C9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1CF"/>
    <w:pPr>
      <w:spacing w:after="200" w:line="276" w:lineRule="auto"/>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51CF"/>
    <w:rPr>
      <w:rFonts w:ascii="Calibri" w:eastAsia="Calibri" w:hAnsi="Calibri" w:cs="Times New Roman"/>
      <w:lang w:val="fr-CH"/>
    </w:rPr>
  </w:style>
  <w:style w:type="paragraph" w:styleId="Footer">
    <w:name w:val="footer"/>
    <w:basedOn w:val="Normal"/>
    <w:link w:val="FooterChar"/>
    <w:uiPriority w:val="99"/>
    <w:unhideWhenUsed/>
    <w:rsid w:val="006151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51CF"/>
    <w:rPr>
      <w:rFonts w:ascii="Calibri" w:eastAsia="Calibri" w:hAnsi="Calibri" w:cs="Times New Roman"/>
      <w:lang w:val="fr-CH"/>
    </w:rPr>
  </w:style>
  <w:style w:type="paragraph" w:styleId="ListParagraph">
    <w:name w:val="List Paragraph"/>
    <w:basedOn w:val="Normal"/>
    <w:uiPriority w:val="34"/>
    <w:qFormat/>
    <w:rsid w:val="006151CF"/>
    <w:pPr>
      <w:ind w:left="720"/>
      <w:contextualSpacing/>
    </w:pPr>
  </w:style>
  <w:style w:type="paragraph" w:styleId="FootnoteText">
    <w:name w:val="footnote text"/>
    <w:basedOn w:val="Normal"/>
    <w:link w:val="FootnoteTextChar"/>
    <w:uiPriority w:val="99"/>
    <w:semiHidden/>
    <w:unhideWhenUsed/>
    <w:rsid w:val="006151CF"/>
    <w:pPr>
      <w:spacing w:after="0" w:line="240" w:lineRule="auto"/>
    </w:pPr>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6151CF"/>
    <w:rPr>
      <w:sz w:val="20"/>
      <w:szCs w:val="20"/>
    </w:rPr>
  </w:style>
  <w:style w:type="character" w:styleId="FootnoteReference">
    <w:name w:val="footnote reference"/>
    <w:basedOn w:val="DefaultParagraphFont"/>
    <w:uiPriority w:val="99"/>
    <w:semiHidden/>
    <w:unhideWhenUsed/>
    <w:rsid w:val="00615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Goddard</dc:creator>
  <cp:keywords/>
  <dc:description/>
  <cp:lastModifiedBy>Eleanor Vermunt</cp:lastModifiedBy>
  <cp:revision>2</cp:revision>
  <dcterms:created xsi:type="dcterms:W3CDTF">2018-10-29T21:21:00Z</dcterms:created>
  <dcterms:modified xsi:type="dcterms:W3CDTF">2018-10-29T21:21:00Z</dcterms:modified>
</cp:coreProperties>
</file>