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7B9" w:rsidRDefault="004757B9" w:rsidP="004757B9">
      <w:pPr>
        <w:pStyle w:val="Heading2"/>
        <w:spacing w:before="0" w:after="0"/>
        <w:jc w:val="center"/>
        <w:rPr>
          <w:rFonts w:ascii="Arial" w:hAnsi="Arial" w:cs="Arial"/>
          <w:i w:val="0"/>
          <w:spacing w:val="20"/>
          <w:sz w:val="24"/>
          <w:szCs w:val="24"/>
        </w:rPr>
      </w:pPr>
      <w:bookmarkStart w:id="0" w:name="_GoBack"/>
      <w:bookmarkEnd w:id="0"/>
      <w:r>
        <w:rPr>
          <w:rFonts w:ascii="Arial" w:hAnsi="Arial" w:cs="Arial"/>
          <w:i w:val="0"/>
          <w:spacing w:val="20"/>
          <w:sz w:val="24"/>
          <w:szCs w:val="24"/>
        </w:rPr>
        <w:t>POSITION PROFILE</w:t>
      </w:r>
    </w:p>
    <w:p w:rsidR="004757B9" w:rsidRDefault="004757B9" w:rsidP="004757B9"/>
    <w:p w:rsidR="004757B9" w:rsidRPr="004757B9" w:rsidRDefault="004757B9" w:rsidP="004757B9">
      <w:pPr>
        <w:spacing w:line="276" w:lineRule="auto"/>
        <w:jc w:val="center"/>
        <w:rPr>
          <w:rFonts w:ascii="Arial" w:hAnsi="Arial" w:cs="Arial"/>
          <w:b/>
          <w:sz w:val="26"/>
          <w:szCs w:val="26"/>
        </w:rPr>
      </w:pPr>
      <w:r w:rsidRPr="004757B9">
        <w:rPr>
          <w:rFonts w:ascii="Arial" w:hAnsi="Arial" w:cs="Arial"/>
          <w:b/>
          <w:sz w:val="26"/>
          <w:szCs w:val="26"/>
        </w:rPr>
        <w:t xml:space="preserve">RACE RELATIONS COMMISSIONER – TE TOIHAU WHAKAWHANAUNGA Ā-IWI </w:t>
      </w:r>
    </w:p>
    <w:p w:rsidR="004757B9" w:rsidRDefault="004757B9" w:rsidP="004757B9">
      <w:pPr>
        <w:spacing w:line="276" w:lineRule="auto"/>
        <w:jc w:val="center"/>
        <w:rPr>
          <w:rFonts w:ascii="Arial" w:hAnsi="Arial" w:cs="Arial"/>
          <w:szCs w:val="24"/>
        </w:rPr>
      </w:pPr>
    </w:p>
    <w:p w:rsidR="004757B9" w:rsidRPr="004757B9" w:rsidRDefault="004757B9" w:rsidP="004757B9">
      <w:pPr>
        <w:tabs>
          <w:tab w:val="left" w:pos="2410"/>
        </w:tabs>
        <w:spacing w:line="276" w:lineRule="auto"/>
        <w:ind w:right="-46"/>
        <w:rPr>
          <w:rFonts w:ascii="Arial" w:hAnsi="Arial" w:cs="Arial"/>
          <w:b/>
          <w:sz w:val="23"/>
          <w:szCs w:val="23"/>
        </w:rPr>
      </w:pPr>
      <w:r>
        <w:rPr>
          <w:rFonts w:ascii="Arial" w:hAnsi="Arial" w:cs="Arial"/>
          <w:sz w:val="23"/>
          <w:szCs w:val="23"/>
        </w:rPr>
        <w:t>Title:</w:t>
      </w:r>
      <w:r>
        <w:rPr>
          <w:rFonts w:ascii="Arial" w:hAnsi="Arial" w:cs="Arial"/>
          <w:b/>
          <w:sz w:val="23"/>
          <w:szCs w:val="23"/>
        </w:rPr>
        <w:tab/>
      </w:r>
      <w:r w:rsidRPr="004757B9">
        <w:rPr>
          <w:rFonts w:ascii="Arial" w:hAnsi="Arial" w:cs="Arial"/>
          <w:b/>
          <w:sz w:val="23"/>
          <w:szCs w:val="23"/>
        </w:rPr>
        <w:t xml:space="preserve">Race Relations Commissioner </w:t>
      </w:r>
      <w:r w:rsidRPr="004757B9">
        <w:rPr>
          <w:rFonts w:ascii="Arial" w:hAnsi="Arial" w:cs="Arial"/>
          <w:b/>
          <w:sz w:val="28"/>
          <w:szCs w:val="28"/>
        </w:rPr>
        <w:t xml:space="preserve">– </w:t>
      </w:r>
      <w:proofErr w:type="spellStart"/>
      <w:r w:rsidRPr="004757B9">
        <w:rPr>
          <w:rFonts w:ascii="Arial" w:hAnsi="Arial" w:cs="Arial"/>
          <w:b/>
          <w:sz w:val="23"/>
          <w:szCs w:val="23"/>
          <w:lang w:val="en-GB"/>
        </w:rPr>
        <w:t>te</w:t>
      </w:r>
      <w:proofErr w:type="spellEnd"/>
      <w:r w:rsidRPr="004757B9">
        <w:rPr>
          <w:rFonts w:ascii="Arial" w:hAnsi="Arial" w:cs="Arial"/>
          <w:b/>
          <w:sz w:val="23"/>
          <w:szCs w:val="23"/>
          <w:lang w:val="en-GB"/>
        </w:rPr>
        <w:t xml:space="preserve"> </w:t>
      </w:r>
      <w:proofErr w:type="spellStart"/>
      <w:r w:rsidRPr="004757B9">
        <w:rPr>
          <w:rFonts w:ascii="Arial" w:hAnsi="Arial" w:cs="Arial"/>
          <w:b/>
          <w:sz w:val="23"/>
          <w:szCs w:val="23"/>
          <w:lang w:val="en-GB"/>
        </w:rPr>
        <w:t>Toihau</w:t>
      </w:r>
      <w:proofErr w:type="spellEnd"/>
      <w:r w:rsidRPr="004757B9">
        <w:rPr>
          <w:rFonts w:ascii="Arial" w:hAnsi="Arial" w:cs="Arial"/>
          <w:b/>
          <w:sz w:val="23"/>
          <w:szCs w:val="23"/>
          <w:lang w:val="en-GB"/>
        </w:rPr>
        <w:t xml:space="preserve"> </w:t>
      </w:r>
      <w:r>
        <w:rPr>
          <w:rFonts w:ascii="Arial" w:hAnsi="Arial" w:cs="Arial"/>
          <w:b/>
          <w:sz w:val="23"/>
          <w:szCs w:val="23"/>
          <w:lang w:val="en-GB"/>
        </w:rPr>
        <w:tab/>
      </w:r>
      <w:proofErr w:type="spellStart"/>
      <w:r w:rsidRPr="004757B9">
        <w:rPr>
          <w:rFonts w:ascii="Arial" w:hAnsi="Arial" w:cs="Arial"/>
          <w:b/>
          <w:sz w:val="23"/>
          <w:szCs w:val="23"/>
          <w:lang w:val="en-GB"/>
        </w:rPr>
        <w:t>Whakawhanaunga</w:t>
      </w:r>
      <w:proofErr w:type="spellEnd"/>
      <w:r w:rsidRPr="004757B9">
        <w:rPr>
          <w:rFonts w:ascii="Arial" w:hAnsi="Arial" w:cs="Arial"/>
          <w:b/>
          <w:sz w:val="23"/>
          <w:szCs w:val="23"/>
          <w:lang w:val="en-GB"/>
        </w:rPr>
        <w:t xml:space="preserve"> </w:t>
      </w:r>
      <w:r>
        <w:rPr>
          <w:rFonts w:ascii="Arial" w:hAnsi="Arial" w:cs="Arial"/>
          <w:b/>
          <w:sz w:val="23"/>
          <w:szCs w:val="23"/>
          <w:lang w:val="en-GB"/>
        </w:rPr>
        <w:tab/>
      </w:r>
      <w:r w:rsidRPr="004757B9">
        <w:rPr>
          <w:rFonts w:ascii="Arial" w:hAnsi="Arial" w:cs="Arial"/>
          <w:b/>
          <w:sz w:val="23"/>
          <w:szCs w:val="23"/>
          <w:lang w:val="en-GB"/>
        </w:rPr>
        <w:t>ā-Iwi</w:t>
      </w:r>
    </w:p>
    <w:p w:rsidR="004757B9" w:rsidRDefault="004757B9" w:rsidP="004757B9">
      <w:pPr>
        <w:tabs>
          <w:tab w:val="left" w:pos="1418"/>
          <w:tab w:val="left" w:pos="2410"/>
        </w:tabs>
        <w:jc w:val="both"/>
        <w:rPr>
          <w:rFonts w:ascii="Arial" w:hAnsi="Arial" w:cs="Arial"/>
          <w:b/>
          <w:sz w:val="23"/>
          <w:szCs w:val="23"/>
        </w:rPr>
      </w:pPr>
    </w:p>
    <w:p w:rsidR="004757B9" w:rsidRDefault="004757B9" w:rsidP="004757B9">
      <w:pPr>
        <w:tabs>
          <w:tab w:val="left" w:pos="2410"/>
        </w:tabs>
        <w:jc w:val="both"/>
        <w:rPr>
          <w:rFonts w:ascii="Arial" w:hAnsi="Arial" w:cs="Arial"/>
          <w:b/>
          <w:sz w:val="23"/>
          <w:szCs w:val="23"/>
        </w:rPr>
      </w:pPr>
      <w:r>
        <w:rPr>
          <w:rFonts w:ascii="Arial" w:hAnsi="Arial" w:cs="Arial"/>
          <w:sz w:val="23"/>
          <w:szCs w:val="23"/>
        </w:rPr>
        <w:t>Reports to:</w:t>
      </w:r>
      <w:r>
        <w:rPr>
          <w:rFonts w:ascii="Arial" w:hAnsi="Arial" w:cs="Arial"/>
          <w:b/>
          <w:sz w:val="23"/>
          <w:szCs w:val="23"/>
        </w:rPr>
        <w:tab/>
        <w:t>Chief Commissioner</w:t>
      </w:r>
    </w:p>
    <w:p w:rsidR="004757B9" w:rsidRDefault="004757B9" w:rsidP="004757B9">
      <w:pPr>
        <w:tabs>
          <w:tab w:val="left" w:pos="1418"/>
          <w:tab w:val="left" w:pos="2410"/>
        </w:tabs>
        <w:jc w:val="both"/>
        <w:rPr>
          <w:rFonts w:ascii="Arial" w:hAnsi="Arial" w:cs="Arial"/>
          <w:b/>
          <w:sz w:val="23"/>
          <w:szCs w:val="23"/>
        </w:rPr>
      </w:pPr>
    </w:p>
    <w:p w:rsidR="004757B9" w:rsidRDefault="004757B9" w:rsidP="004757B9">
      <w:pPr>
        <w:tabs>
          <w:tab w:val="left" w:pos="2410"/>
        </w:tabs>
        <w:jc w:val="both"/>
        <w:rPr>
          <w:rFonts w:ascii="Arial" w:hAnsi="Arial" w:cs="Arial"/>
          <w:b/>
          <w:sz w:val="23"/>
          <w:szCs w:val="23"/>
        </w:rPr>
      </w:pPr>
      <w:r>
        <w:rPr>
          <w:rFonts w:ascii="Arial" w:hAnsi="Arial" w:cs="Arial"/>
          <w:sz w:val="23"/>
          <w:szCs w:val="23"/>
        </w:rPr>
        <w:t>Appointed by:</w:t>
      </w:r>
      <w:r>
        <w:rPr>
          <w:rFonts w:ascii="Arial" w:hAnsi="Arial" w:cs="Arial"/>
          <w:sz w:val="23"/>
          <w:szCs w:val="23"/>
        </w:rPr>
        <w:tab/>
      </w:r>
      <w:r>
        <w:rPr>
          <w:rFonts w:ascii="Arial" w:hAnsi="Arial" w:cs="Arial"/>
          <w:b/>
          <w:sz w:val="23"/>
          <w:szCs w:val="23"/>
        </w:rPr>
        <w:t>Governor-General on the advice of the Minister of Justice</w:t>
      </w:r>
    </w:p>
    <w:p w:rsidR="004757B9" w:rsidRDefault="004757B9" w:rsidP="004757B9">
      <w:pPr>
        <w:tabs>
          <w:tab w:val="left" w:pos="2160"/>
          <w:tab w:val="left" w:pos="2410"/>
        </w:tabs>
        <w:jc w:val="both"/>
        <w:rPr>
          <w:rFonts w:ascii="Arial" w:hAnsi="Arial" w:cs="Arial"/>
          <w:sz w:val="23"/>
          <w:szCs w:val="23"/>
        </w:rPr>
      </w:pPr>
    </w:p>
    <w:p w:rsidR="004757B9" w:rsidRDefault="004757B9" w:rsidP="004757B9">
      <w:pPr>
        <w:tabs>
          <w:tab w:val="left" w:pos="2410"/>
        </w:tabs>
        <w:jc w:val="both"/>
        <w:rPr>
          <w:rFonts w:ascii="Arial" w:hAnsi="Arial" w:cs="Arial"/>
          <w:b/>
          <w:sz w:val="23"/>
          <w:szCs w:val="23"/>
        </w:rPr>
      </w:pPr>
      <w:r>
        <w:rPr>
          <w:rFonts w:ascii="Arial" w:hAnsi="Arial" w:cs="Arial"/>
          <w:sz w:val="23"/>
          <w:szCs w:val="23"/>
        </w:rPr>
        <w:t>Time Commitment:</w:t>
      </w:r>
      <w:r>
        <w:rPr>
          <w:rFonts w:ascii="Arial" w:hAnsi="Arial" w:cs="Arial"/>
          <w:sz w:val="23"/>
          <w:szCs w:val="23"/>
        </w:rPr>
        <w:tab/>
      </w:r>
      <w:r>
        <w:rPr>
          <w:rFonts w:ascii="Arial" w:hAnsi="Arial" w:cs="Arial"/>
          <w:b/>
          <w:sz w:val="23"/>
          <w:szCs w:val="23"/>
        </w:rPr>
        <w:t>Full-Time</w:t>
      </w:r>
    </w:p>
    <w:p w:rsidR="004757B9" w:rsidRDefault="004757B9" w:rsidP="004757B9">
      <w:pPr>
        <w:tabs>
          <w:tab w:val="left" w:pos="2410"/>
        </w:tabs>
        <w:jc w:val="both"/>
        <w:rPr>
          <w:rFonts w:ascii="Arial" w:hAnsi="Arial" w:cs="Arial"/>
          <w:b/>
          <w:sz w:val="23"/>
          <w:szCs w:val="23"/>
        </w:rPr>
      </w:pPr>
    </w:p>
    <w:p w:rsidR="004757B9" w:rsidRDefault="004757B9" w:rsidP="004757B9">
      <w:pPr>
        <w:tabs>
          <w:tab w:val="left" w:pos="2410"/>
        </w:tabs>
        <w:rPr>
          <w:rFonts w:ascii="Arial" w:hAnsi="Arial" w:cs="Arial"/>
          <w:b/>
          <w:sz w:val="23"/>
          <w:szCs w:val="23"/>
        </w:rPr>
      </w:pPr>
      <w:r>
        <w:rPr>
          <w:rFonts w:ascii="Arial" w:hAnsi="Arial" w:cs="Arial"/>
          <w:sz w:val="23"/>
          <w:szCs w:val="23"/>
        </w:rPr>
        <w:t>Term:</w:t>
      </w:r>
      <w:r>
        <w:rPr>
          <w:rFonts w:ascii="Arial" w:hAnsi="Arial" w:cs="Arial"/>
          <w:b/>
          <w:sz w:val="23"/>
          <w:szCs w:val="23"/>
        </w:rPr>
        <w:tab/>
        <w:t>Up to 5 years</w:t>
      </w:r>
    </w:p>
    <w:p w:rsidR="004757B9" w:rsidRDefault="004757B9" w:rsidP="004757B9">
      <w:pPr>
        <w:tabs>
          <w:tab w:val="left" w:pos="2410"/>
        </w:tabs>
        <w:rPr>
          <w:rFonts w:ascii="Arial" w:hAnsi="Arial" w:cs="Arial"/>
          <w:b/>
          <w:sz w:val="23"/>
          <w:szCs w:val="23"/>
        </w:rPr>
      </w:pPr>
    </w:p>
    <w:p w:rsidR="004757B9" w:rsidRDefault="004757B9" w:rsidP="004757B9">
      <w:pPr>
        <w:tabs>
          <w:tab w:val="left" w:pos="2410"/>
        </w:tabs>
        <w:ind w:left="2410" w:hanging="2410"/>
        <w:jc w:val="both"/>
        <w:rPr>
          <w:rFonts w:ascii="Arial" w:hAnsi="Arial" w:cs="Arial"/>
          <w:b/>
          <w:sz w:val="23"/>
          <w:szCs w:val="23"/>
        </w:rPr>
      </w:pPr>
      <w:r>
        <w:rPr>
          <w:rFonts w:ascii="Arial" w:hAnsi="Arial" w:cs="Arial"/>
          <w:sz w:val="23"/>
          <w:szCs w:val="23"/>
        </w:rPr>
        <w:t>Salary:</w:t>
      </w:r>
      <w:r>
        <w:rPr>
          <w:rFonts w:ascii="Arial" w:hAnsi="Arial" w:cs="Arial"/>
          <w:b/>
          <w:sz w:val="23"/>
          <w:szCs w:val="23"/>
        </w:rPr>
        <w:tab/>
        <w:t>As determined by Remuneration Authority</w:t>
      </w:r>
    </w:p>
    <w:p w:rsidR="004757B9" w:rsidRDefault="004757B9" w:rsidP="004757B9">
      <w:pPr>
        <w:tabs>
          <w:tab w:val="left" w:pos="2410"/>
        </w:tabs>
        <w:ind w:left="2410" w:hanging="2410"/>
        <w:jc w:val="both"/>
        <w:rPr>
          <w:rFonts w:ascii="Arial" w:hAnsi="Arial" w:cs="Arial"/>
          <w:b/>
          <w:sz w:val="23"/>
          <w:szCs w:val="23"/>
        </w:rPr>
      </w:pPr>
    </w:p>
    <w:p w:rsidR="004757B9" w:rsidRDefault="004757B9" w:rsidP="004757B9">
      <w:pPr>
        <w:pBdr>
          <w:bottom w:val="single" w:sz="12" w:space="1" w:color="auto"/>
        </w:pBdr>
        <w:tabs>
          <w:tab w:val="left" w:pos="2410"/>
          <w:tab w:val="left" w:pos="3544"/>
          <w:tab w:val="left" w:pos="3690"/>
        </w:tabs>
        <w:ind w:left="2410" w:hanging="2410"/>
        <w:jc w:val="both"/>
        <w:rPr>
          <w:rFonts w:ascii="Arial" w:hAnsi="Arial" w:cs="Arial"/>
          <w:b/>
          <w:sz w:val="23"/>
          <w:szCs w:val="23"/>
        </w:rPr>
      </w:pPr>
      <w:r>
        <w:rPr>
          <w:rFonts w:ascii="Arial" w:hAnsi="Arial" w:cs="Arial"/>
          <w:sz w:val="23"/>
          <w:szCs w:val="23"/>
        </w:rPr>
        <w:t>Location:</w:t>
      </w:r>
      <w:r>
        <w:rPr>
          <w:rFonts w:ascii="Arial" w:hAnsi="Arial" w:cs="Arial"/>
          <w:sz w:val="23"/>
          <w:szCs w:val="23"/>
        </w:rPr>
        <w:tab/>
      </w:r>
      <w:r>
        <w:rPr>
          <w:rFonts w:ascii="Arial" w:hAnsi="Arial" w:cs="Arial"/>
          <w:b/>
          <w:sz w:val="23"/>
          <w:szCs w:val="23"/>
        </w:rPr>
        <w:t>The Human Rights Commission has offices in Auckland and Wellington.  The Race Relations Commissioner may be based in another centre but would need to travel regularly to</w:t>
      </w:r>
      <w:r>
        <w:rPr>
          <w:rFonts w:ascii="Arial" w:hAnsi="Arial" w:cs="Arial"/>
          <w:sz w:val="23"/>
          <w:szCs w:val="23"/>
        </w:rPr>
        <w:t xml:space="preserve"> </w:t>
      </w:r>
      <w:r>
        <w:rPr>
          <w:rFonts w:ascii="Arial" w:hAnsi="Arial" w:cs="Arial"/>
          <w:b/>
          <w:sz w:val="23"/>
          <w:szCs w:val="23"/>
        </w:rPr>
        <w:t>the Commission’s</w:t>
      </w:r>
      <w:r>
        <w:rPr>
          <w:rFonts w:ascii="Arial" w:hAnsi="Arial" w:cs="Arial"/>
          <w:sz w:val="23"/>
          <w:szCs w:val="23"/>
        </w:rPr>
        <w:t xml:space="preserve"> </w:t>
      </w:r>
      <w:r>
        <w:rPr>
          <w:rFonts w:ascii="Arial" w:hAnsi="Arial" w:cs="Arial"/>
          <w:b/>
          <w:sz w:val="23"/>
          <w:szCs w:val="23"/>
        </w:rPr>
        <w:t>offices.</w:t>
      </w:r>
    </w:p>
    <w:p w:rsidR="004757B9" w:rsidRDefault="004757B9" w:rsidP="004757B9">
      <w:pPr>
        <w:pBdr>
          <w:bottom w:val="single" w:sz="12" w:space="1" w:color="auto"/>
        </w:pBdr>
        <w:tabs>
          <w:tab w:val="left" w:pos="2410"/>
          <w:tab w:val="left" w:pos="3544"/>
          <w:tab w:val="left" w:pos="3690"/>
        </w:tabs>
        <w:ind w:left="2410" w:hanging="2410"/>
        <w:jc w:val="both"/>
        <w:rPr>
          <w:rFonts w:ascii="Arial" w:hAnsi="Arial" w:cs="Arial"/>
          <w:b/>
          <w:sz w:val="23"/>
          <w:szCs w:val="23"/>
        </w:rPr>
      </w:pPr>
    </w:p>
    <w:p w:rsidR="004757B9" w:rsidRDefault="004757B9" w:rsidP="004757B9">
      <w:pPr>
        <w:tabs>
          <w:tab w:val="left" w:pos="450"/>
          <w:tab w:val="left" w:pos="900"/>
          <w:tab w:val="left" w:pos="990"/>
          <w:tab w:val="left" w:pos="1350"/>
          <w:tab w:val="left" w:pos="1701"/>
          <w:tab w:val="left" w:pos="1800"/>
          <w:tab w:val="left" w:pos="2410"/>
          <w:tab w:val="left" w:pos="3690"/>
        </w:tabs>
        <w:jc w:val="both"/>
        <w:rPr>
          <w:rFonts w:ascii="Arial" w:hAnsi="Arial" w:cs="Arial"/>
          <w:b/>
          <w:sz w:val="23"/>
          <w:szCs w:val="23"/>
        </w:rPr>
      </w:pPr>
    </w:p>
    <w:p w:rsidR="004757B9" w:rsidRDefault="004757B9" w:rsidP="004757B9">
      <w:pPr>
        <w:tabs>
          <w:tab w:val="left" w:pos="450"/>
          <w:tab w:val="left" w:pos="900"/>
          <w:tab w:val="left" w:pos="990"/>
          <w:tab w:val="left" w:pos="1350"/>
          <w:tab w:val="left" w:pos="1701"/>
          <w:tab w:val="left" w:pos="1800"/>
          <w:tab w:val="left" w:pos="2410"/>
          <w:tab w:val="left" w:pos="3690"/>
        </w:tabs>
        <w:jc w:val="both"/>
        <w:rPr>
          <w:rFonts w:ascii="Arial" w:hAnsi="Arial" w:cs="Arial"/>
          <w:snapToGrid w:val="0"/>
          <w:sz w:val="23"/>
          <w:szCs w:val="23"/>
          <w:lang w:eastAsia="en-US"/>
        </w:rPr>
      </w:pPr>
      <w:r w:rsidRPr="004757B9">
        <w:rPr>
          <w:rFonts w:ascii="Arial" w:hAnsi="Arial" w:cs="Arial"/>
          <w:sz w:val="23"/>
          <w:szCs w:val="23"/>
        </w:rPr>
        <w:t>T</w:t>
      </w:r>
      <w:r>
        <w:rPr>
          <w:rFonts w:ascii="Arial" w:hAnsi="Arial" w:cs="Arial"/>
          <w:snapToGrid w:val="0"/>
          <w:sz w:val="23"/>
          <w:szCs w:val="23"/>
          <w:lang w:eastAsia="en-US"/>
        </w:rPr>
        <w:t xml:space="preserve">his position description is based on legislative provisions contained in the </w:t>
      </w:r>
      <w:r>
        <w:rPr>
          <w:rFonts w:ascii="Arial" w:hAnsi="Arial" w:cs="Arial"/>
          <w:sz w:val="23"/>
          <w:szCs w:val="23"/>
        </w:rPr>
        <w:t>Human Rights Act 1993 (the Act).</w:t>
      </w:r>
    </w:p>
    <w:p w:rsidR="004757B9" w:rsidRDefault="004757B9" w:rsidP="004757B9"/>
    <w:p w:rsidR="004757B9" w:rsidRDefault="004757B9" w:rsidP="004757B9">
      <w:pPr>
        <w:pStyle w:val="Heading2"/>
        <w:spacing w:before="0" w:after="0"/>
        <w:jc w:val="both"/>
        <w:rPr>
          <w:rFonts w:ascii="Arial" w:hAnsi="Arial" w:cs="Arial"/>
          <w:i w:val="0"/>
          <w:sz w:val="23"/>
          <w:szCs w:val="23"/>
          <w:lang w:eastAsia="en-US"/>
        </w:rPr>
      </w:pPr>
      <w:r>
        <w:rPr>
          <w:rFonts w:ascii="Arial" w:hAnsi="Arial" w:cs="Arial"/>
          <w:i w:val="0"/>
          <w:sz w:val="23"/>
          <w:szCs w:val="23"/>
        </w:rPr>
        <w:t>Human Rights Commission</w:t>
      </w:r>
    </w:p>
    <w:p w:rsidR="004757B9" w:rsidRDefault="004757B9" w:rsidP="004757B9">
      <w:pPr>
        <w:jc w:val="both"/>
        <w:rPr>
          <w:rFonts w:ascii="Arial" w:hAnsi="Arial" w:cs="Arial"/>
          <w:sz w:val="23"/>
          <w:szCs w:val="23"/>
          <w:lang w:val="en"/>
        </w:rPr>
      </w:pPr>
      <w:r>
        <w:rPr>
          <w:rFonts w:ascii="Arial" w:hAnsi="Arial" w:cs="Arial"/>
          <w:sz w:val="23"/>
          <w:szCs w:val="23"/>
          <w:lang w:val="en"/>
        </w:rPr>
        <w:t>The Human Rights Commission is an independent Crown entity given a wide range of functions and powers under the Human Rights Act 1993</w:t>
      </w:r>
    </w:p>
    <w:p w:rsidR="004757B9" w:rsidRDefault="004757B9" w:rsidP="004757B9">
      <w:pPr>
        <w:pStyle w:val="Heading2"/>
        <w:spacing w:before="0" w:after="0"/>
        <w:jc w:val="both"/>
        <w:rPr>
          <w:rFonts w:ascii="Arial" w:hAnsi="Arial" w:cs="Arial"/>
          <w:sz w:val="23"/>
          <w:szCs w:val="23"/>
          <w:lang w:eastAsia="en-GB"/>
        </w:rPr>
      </w:pPr>
    </w:p>
    <w:p w:rsidR="004757B9" w:rsidRDefault="004757B9" w:rsidP="004757B9">
      <w:pPr>
        <w:pStyle w:val="Heading2"/>
        <w:spacing w:before="0" w:after="0"/>
        <w:jc w:val="both"/>
        <w:rPr>
          <w:rFonts w:ascii="Arial" w:hAnsi="Arial" w:cs="Arial"/>
          <w:i w:val="0"/>
          <w:sz w:val="23"/>
          <w:szCs w:val="23"/>
        </w:rPr>
      </w:pPr>
      <w:r>
        <w:rPr>
          <w:rFonts w:ascii="Arial" w:hAnsi="Arial" w:cs="Arial"/>
          <w:i w:val="0"/>
          <w:sz w:val="23"/>
          <w:szCs w:val="23"/>
        </w:rPr>
        <w:t>Membership of Commission</w:t>
      </w:r>
    </w:p>
    <w:p w:rsidR="004757B9" w:rsidRDefault="004757B9" w:rsidP="004757B9">
      <w:pPr>
        <w:jc w:val="both"/>
        <w:rPr>
          <w:rFonts w:ascii="Arial" w:hAnsi="Arial" w:cs="Arial"/>
          <w:sz w:val="23"/>
          <w:szCs w:val="23"/>
        </w:rPr>
      </w:pPr>
      <w:r>
        <w:rPr>
          <w:rFonts w:ascii="Arial" w:hAnsi="Arial" w:cs="Arial"/>
          <w:sz w:val="23"/>
          <w:szCs w:val="23"/>
        </w:rPr>
        <w:t>Section 8 of the Act provides:</w:t>
      </w:r>
    </w:p>
    <w:p w:rsidR="004757B9" w:rsidRDefault="004757B9" w:rsidP="004757B9">
      <w:pPr>
        <w:shd w:val="clear" w:color="auto" w:fill="FFFFFF"/>
        <w:spacing w:line="288" w:lineRule="atLeast"/>
        <w:rPr>
          <w:rFonts w:ascii="Arial" w:hAnsi="Arial" w:cs="Arial"/>
          <w:sz w:val="23"/>
          <w:szCs w:val="23"/>
        </w:rPr>
      </w:pPr>
      <w:r>
        <w:rPr>
          <w:rFonts w:ascii="Arial" w:hAnsi="Arial" w:cs="Arial"/>
          <w:sz w:val="23"/>
          <w:szCs w:val="23"/>
        </w:rPr>
        <w:t>(1)</w:t>
      </w:r>
      <w:r>
        <w:rPr>
          <w:rFonts w:ascii="Arial" w:hAnsi="Arial" w:cs="Arial"/>
          <w:sz w:val="23"/>
          <w:szCs w:val="23"/>
        </w:rPr>
        <w:tab/>
        <w:t xml:space="preserve"> The Commission consists of the following Human Rights Commissioners:</w:t>
      </w:r>
    </w:p>
    <w:p w:rsidR="004757B9" w:rsidRDefault="004757B9" w:rsidP="004757B9">
      <w:pPr>
        <w:shd w:val="clear" w:color="auto" w:fill="FFFFFF"/>
        <w:spacing w:line="288" w:lineRule="atLeast"/>
        <w:ind w:firstLine="720"/>
        <w:jc w:val="both"/>
        <w:outlineLvl w:val="5"/>
        <w:rPr>
          <w:rFonts w:ascii="Arial" w:hAnsi="Arial" w:cs="Arial"/>
          <w:sz w:val="23"/>
          <w:szCs w:val="23"/>
        </w:rPr>
      </w:pPr>
      <w:r>
        <w:rPr>
          <w:rFonts w:ascii="Arial" w:hAnsi="Arial" w:cs="Arial"/>
          <w:sz w:val="23"/>
          <w:szCs w:val="23"/>
        </w:rPr>
        <w:t xml:space="preserve">(a) </w:t>
      </w:r>
      <w:r>
        <w:rPr>
          <w:rFonts w:ascii="Arial" w:hAnsi="Arial" w:cs="Arial"/>
          <w:sz w:val="23"/>
          <w:szCs w:val="23"/>
        </w:rPr>
        <w:tab/>
        <w:t>the Chief Commissioner; and</w:t>
      </w:r>
    </w:p>
    <w:p w:rsidR="004757B9" w:rsidRDefault="004757B9" w:rsidP="004757B9">
      <w:pPr>
        <w:shd w:val="clear" w:color="auto" w:fill="FFFFFF"/>
        <w:spacing w:line="288" w:lineRule="atLeast"/>
        <w:ind w:firstLine="720"/>
        <w:jc w:val="both"/>
        <w:outlineLvl w:val="5"/>
        <w:rPr>
          <w:rFonts w:ascii="Arial" w:hAnsi="Arial" w:cs="Arial"/>
          <w:sz w:val="23"/>
          <w:szCs w:val="23"/>
        </w:rPr>
      </w:pPr>
      <w:r>
        <w:rPr>
          <w:rFonts w:ascii="Arial" w:hAnsi="Arial" w:cs="Arial"/>
          <w:sz w:val="23"/>
          <w:szCs w:val="23"/>
        </w:rPr>
        <w:t xml:space="preserve">(b) </w:t>
      </w:r>
      <w:r>
        <w:rPr>
          <w:rFonts w:ascii="Arial" w:hAnsi="Arial" w:cs="Arial"/>
          <w:sz w:val="23"/>
          <w:szCs w:val="23"/>
        </w:rPr>
        <w:tab/>
        <w:t>not less than 3 and not more than 4 other Commissioners.</w:t>
      </w:r>
    </w:p>
    <w:p w:rsidR="004757B9" w:rsidRDefault="004757B9" w:rsidP="004757B9">
      <w:pPr>
        <w:shd w:val="clear" w:color="auto" w:fill="FFFFFF"/>
        <w:spacing w:line="288" w:lineRule="atLeast"/>
        <w:ind w:left="720" w:hanging="720"/>
        <w:rPr>
          <w:rFonts w:ascii="Arial" w:hAnsi="Arial" w:cs="Arial"/>
          <w:sz w:val="23"/>
          <w:szCs w:val="23"/>
        </w:rPr>
      </w:pPr>
      <w:r>
        <w:rPr>
          <w:rFonts w:ascii="Arial" w:hAnsi="Arial" w:cs="Arial"/>
          <w:sz w:val="23"/>
          <w:szCs w:val="23"/>
        </w:rPr>
        <w:t xml:space="preserve">(1A) </w:t>
      </w:r>
      <w:r>
        <w:rPr>
          <w:rFonts w:ascii="Arial" w:hAnsi="Arial" w:cs="Arial"/>
          <w:sz w:val="23"/>
          <w:szCs w:val="23"/>
        </w:rPr>
        <w:tab/>
        <w:t>There must be a Commissioner, other than the Chief Commissioner, appointed to lead the work of the Commission in each of the following priority areas:</w:t>
      </w:r>
    </w:p>
    <w:p w:rsidR="004757B9" w:rsidRDefault="004757B9" w:rsidP="004757B9">
      <w:pPr>
        <w:shd w:val="clear" w:color="auto" w:fill="FFFFFF"/>
        <w:spacing w:line="288" w:lineRule="atLeast"/>
        <w:ind w:firstLine="720"/>
        <w:jc w:val="both"/>
        <w:outlineLvl w:val="5"/>
        <w:rPr>
          <w:rFonts w:ascii="Arial" w:hAnsi="Arial" w:cs="Arial"/>
          <w:sz w:val="23"/>
          <w:szCs w:val="23"/>
        </w:rPr>
      </w:pPr>
      <w:r>
        <w:rPr>
          <w:rFonts w:ascii="Arial" w:hAnsi="Arial" w:cs="Arial"/>
          <w:sz w:val="23"/>
          <w:szCs w:val="23"/>
        </w:rPr>
        <w:t xml:space="preserve">(a) </w:t>
      </w:r>
      <w:r>
        <w:rPr>
          <w:rFonts w:ascii="Arial" w:hAnsi="Arial" w:cs="Arial"/>
          <w:sz w:val="23"/>
          <w:szCs w:val="23"/>
        </w:rPr>
        <w:tab/>
        <w:t>disability rights (the Disability Rights Commissioner):</w:t>
      </w:r>
    </w:p>
    <w:p w:rsidR="004757B9" w:rsidRDefault="004757B9" w:rsidP="004757B9">
      <w:pPr>
        <w:shd w:val="clear" w:color="auto" w:fill="FFFFFF"/>
        <w:spacing w:line="288" w:lineRule="atLeast"/>
        <w:ind w:left="1440" w:hanging="720"/>
        <w:jc w:val="both"/>
        <w:outlineLvl w:val="5"/>
        <w:rPr>
          <w:rFonts w:ascii="Arial" w:hAnsi="Arial" w:cs="Arial"/>
          <w:sz w:val="23"/>
          <w:szCs w:val="23"/>
        </w:rPr>
      </w:pPr>
      <w:r>
        <w:rPr>
          <w:rFonts w:ascii="Arial" w:hAnsi="Arial" w:cs="Arial"/>
          <w:sz w:val="23"/>
          <w:szCs w:val="23"/>
        </w:rPr>
        <w:t xml:space="preserve">(b) </w:t>
      </w:r>
      <w:r>
        <w:rPr>
          <w:rFonts w:ascii="Arial" w:hAnsi="Arial" w:cs="Arial"/>
          <w:sz w:val="23"/>
          <w:szCs w:val="23"/>
        </w:rPr>
        <w:tab/>
        <w:t>equal employment opportunities (including pay equity) (the Equal Employment Opportunities Commissioner):</w:t>
      </w:r>
    </w:p>
    <w:p w:rsidR="004757B9" w:rsidRDefault="004757B9" w:rsidP="004757B9">
      <w:pPr>
        <w:shd w:val="clear" w:color="auto" w:fill="FFFFFF"/>
        <w:spacing w:line="288" w:lineRule="atLeast"/>
        <w:ind w:firstLine="720"/>
        <w:jc w:val="both"/>
        <w:outlineLvl w:val="5"/>
        <w:rPr>
          <w:rFonts w:ascii="Arial" w:hAnsi="Arial" w:cs="Arial"/>
          <w:sz w:val="23"/>
          <w:szCs w:val="23"/>
        </w:rPr>
      </w:pPr>
      <w:r>
        <w:rPr>
          <w:rFonts w:ascii="Arial" w:hAnsi="Arial" w:cs="Arial"/>
          <w:sz w:val="23"/>
          <w:szCs w:val="23"/>
        </w:rPr>
        <w:t xml:space="preserve">(c) </w:t>
      </w:r>
      <w:r>
        <w:rPr>
          <w:rFonts w:ascii="Arial" w:hAnsi="Arial" w:cs="Arial"/>
          <w:sz w:val="23"/>
          <w:szCs w:val="23"/>
        </w:rPr>
        <w:tab/>
        <w:t>race relations (the Race Relations Commissioner).</w:t>
      </w:r>
    </w:p>
    <w:p w:rsidR="004757B9" w:rsidRPr="004757B9" w:rsidRDefault="004757B9" w:rsidP="004757B9">
      <w:pPr>
        <w:shd w:val="clear" w:color="auto" w:fill="FFFFFF"/>
        <w:spacing w:line="288" w:lineRule="atLeast"/>
        <w:ind w:left="720" w:hanging="720"/>
        <w:rPr>
          <w:rFonts w:ascii="Arial" w:hAnsi="Arial" w:cs="Arial"/>
          <w:sz w:val="23"/>
          <w:szCs w:val="23"/>
        </w:rPr>
      </w:pPr>
      <w:r>
        <w:rPr>
          <w:rFonts w:ascii="Arial" w:hAnsi="Arial" w:cs="Arial"/>
          <w:sz w:val="23"/>
          <w:szCs w:val="23"/>
        </w:rPr>
        <w:t xml:space="preserve">(1B) </w:t>
      </w:r>
      <w:r>
        <w:rPr>
          <w:rFonts w:ascii="Arial" w:hAnsi="Arial" w:cs="Arial"/>
          <w:sz w:val="23"/>
          <w:szCs w:val="23"/>
        </w:rPr>
        <w:tab/>
        <w:t xml:space="preserve">A Commissioner must lead the work of the Commission in any other priority area that is designated by the Chief Commissioner, and the Chief Commissioner may designate an area of work as a priority area only in accordance with the strategic direction and the general nature of activities determined by the Commission under </w:t>
      </w:r>
      <w:bookmarkStart w:id="1" w:name="DLM304284"/>
      <w:r w:rsidRPr="004757B9">
        <w:rPr>
          <w:rFonts w:ascii="Arial" w:hAnsi="Arial" w:cs="Arial"/>
          <w:sz w:val="23"/>
          <w:szCs w:val="23"/>
        </w:rPr>
        <w:fldChar w:fldCharType="begin"/>
      </w:r>
      <w:r w:rsidRPr="004757B9">
        <w:rPr>
          <w:rFonts w:ascii="Arial" w:hAnsi="Arial" w:cs="Arial"/>
          <w:sz w:val="23"/>
          <w:szCs w:val="23"/>
        </w:rPr>
        <w:instrText xml:space="preserve"> HYPERLINK "http://www.legislation.govt.nz/act/public/1993/0082/latest/link.aspx?id=DLM304284" \l "DLM304284" </w:instrText>
      </w:r>
      <w:r w:rsidRPr="004757B9">
        <w:rPr>
          <w:rFonts w:ascii="Arial" w:hAnsi="Arial" w:cs="Arial"/>
          <w:sz w:val="23"/>
          <w:szCs w:val="23"/>
        </w:rPr>
        <w:fldChar w:fldCharType="separate"/>
      </w:r>
      <w:r w:rsidRPr="004757B9">
        <w:rPr>
          <w:rStyle w:val="Hyperlink"/>
          <w:rFonts w:ascii="Arial" w:hAnsi="Arial" w:cs="Arial"/>
          <w:color w:val="auto"/>
          <w:sz w:val="23"/>
          <w:szCs w:val="23"/>
          <w:u w:val="none"/>
        </w:rPr>
        <w:t>section 7(1)</w:t>
      </w:r>
      <w:r w:rsidRPr="004757B9">
        <w:rPr>
          <w:rFonts w:ascii="Arial" w:hAnsi="Arial" w:cs="Arial"/>
          <w:sz w:val="23"/>
          <w:szCs w:val="23"/>
        </w:rPr>
        <w:fldChar w:fldCharType="end"/>
      </w:r>
      <w:bookmarkEnd w:id="1"/>
      <w:r w:rsidRPr="004757B9">
        <w:rPr>
          <w:rFonts w:ascii="Arial" w:hAnsi="Arial" w:cs="Arial"/>
          <w:sz w:val="23"/>
          <w:szCs w:val="23"/>
        </w:rPr>
        <w:t xml:space="preserve"> and after consultation with the Minister and the other Commissioners.</w:t>
      </w:r>
    </w:p>
    <w:p w:rsidR="004757B9" w:rsidRPr="004757B9" w:rsidRDefault="004757B9" w:rsidP="004757B9">
      <w:pPr>
        <w:shd w:val="clear" w:color="auto" w:fill="FFFFFF"/>
        <w:spacing w:line="288" w:lineRule="atLeast"/>
        <w:ind w:left="720" w:hanging="720"/>
        <w:rPr>
          <w:rFonts w:ascii="Arial" w:hAnsi="Arial" w:cs="Arial"/>
          <w:sz w:val="23"/>
          <w:szCs w:val="23"/>
        </w:rPr>
      </w:pPr>
      <w:r w:rsidRPr="004757B9">
        <w:rPr>
          <w:rFonts w:ascii="Arial" w:hAnsi="Arial" w:cs="Arial"/>
          <w:sz w:val="23"/>
          <w:szCs w:val="23"/>
        </w:rPr>
        <w:t xml:space="preserve">(2) </w:t>
      </w:r>
      <w:r w:rsidRPr="004757B9">
        <w:rPr>
          <w:rFonts w:ascii="Arial" w:hAnsi="Arial" w:cs="Arial"/>
          <w:sz w:val="23"/>
          <w:szCs w:val="23"/>
        </w:rPr>
        <w:tab/>
        <w:t xml:space="preserve">The Commissioners are the board for the purposes of the </w:t>
      </w:r>
      <w:bookmarkStart w:id="2" w:name="DLM329630"/>
      <w:r w:rsidRPr="004757B9">
        <w:rPr>
          <w:rFonts w:ascii="Arial" w:hAnsi="Arial" w:cs="Arial"/>
          <w:sz w:val="23"/>
          <w:szCs w:val="23"/>
        </w:rPr>
        <w:fldChar w:fldCharType="begin"/>
      </w:r>
      <w:r w:rsidRPr="004757B9">
        <w:rPr>
          <w:rFonts w:ascii="Arial" w:hAnsi="Arial" w:cs="Arial"/>
          <w:sz w:val="23"/>
          <w:szCs w:val="23"/>
        </w:rPr>
        <w:instrText xml:space="preserve"> HYPERLINK "http://www.legislation.govt.nz/act/public/1993/0082/latest/link.aspx?id=DLM329630" </w:instrText>
      </w:r>
      <w:r w:rsidRPr="004757B9">
        <w:rPr>
          <w:rFonts w:ascii="Arial" w:hAnsi="Arial" w:cs="Arial"/>
          <w:sz w:val="23"/>
          <w:szCs w:val="23"/>
        </w:rPr>
        <w:fldChar w:fldCharType="separate"/>
      </w:r>
      <w:r w:rsidRPr="004757B9">
        <w:rPr>
          <w:rStyle w:val="Hyperlink"/>
          <w:rFonts w:ascii="Arial" w:hAnsi="Arial" w:cs="Arial"/>
          <w:color w:val="auto"/>
          <w:sz w:val="23"/>
          <w:szCs w:val="23"/>
          <w:u w:val="none"/>
        </w:rPr>
        <w:t>Crown Entities Act 2004</w:t>
      </w:r>
      <w:r w:rsidRPr="004757B9">
        <w:rPr>
          <w:rFonts w:ascii="Arial" w:hAnsi="Arial" w:cs="Arial"/>
          <w:sz w:val="23"/>
          <w:szCs w:val="23"/>
        </w:rPr>
        <w:fldChar w:fldCharType="end"/>
      </w:r>
      <w:r w:rsidRPr="004757B9">
        <w:rPr>
          <w:rFonts w:ascii="Arial" w:hAnsi="Arial" w:cs="Arial"/>
          <w:sz w:val="23"/>
          <w:szCs w:val="23"/>
        </w:rPr>
        <w:t>.</w:t>
      </w:r>
    </w:p>
    <w:p w:rsidR="004757B9" w:rsidRPr="004757B9" w:rsidRDefault="004757B9" w:rsidP="004757B9">
      <w:pPr>
        <w:shd w:val="clear" w:color="auto" w:fill="FFFFFF"/>
        <w:spacing w:line="288" w:lineRule="atLeast"/>
        <w:ind w:left="720" w:hanging="720"/>
        <w:rPr>
          <w:rFonts w:ascii="Arial" w:hAnsi="Arial" w:cs="Arial"/>
          <w:sz w:val="23"/>
          <w:szCs w:val="23"/>
        </w:rPr>
      </w:pPr>
      <w:r>
        <w:rPr>
          <w:rFonts w:ascii="Arial" w:hAnsi="Arial" w:cs="Arial"/>
          <w:sz w:val="23"/>
          <w:szCs w:val="23"/>
        </w:rPr>
        <w:t xml:space="preserve">(3) </w:t>
      </w:r>
      <w:r>
        <w:rPr>
          <w:rFonts w:ascii="Arial" w:hAnsi="Arial" w:cs="Arial"/>
          <w:sz w:val="23"/>
          <w:szCs w:val="23"/>
        </w:rPr>
        <w:tab/>
        <w:t xml:space="preserve">The Chief Commissioner holds office as chairperson of the board for the purposes of the </w:t>
      </w:r>
      <w:hyperlink r:id="rId5" w:history="1">
        <w:r w:rsidRPr="004757B9">
          <w:rPr>
            <w:rStyle w:val="Hyperlink"/>
            <w:rFonts w:ascii="Arial" w:hAnsi="Arial" w:cs="Arial"/>
            <w:color w:val="auto"/>
            <w:sz w:val="23"/>
            <w:szCs w:val="23"/>
            <w:u w:val="none"/>
          </w:rPr>
          <w:t>Crown Entities Act 2004</w:t>
        </w:r>
        <w:r w:rsidRPr="004757B9">
          <w:rPr>
            <w:rStyle w:val="Hyperlink"/>
            <w:color w:val="auto"/>
            <w:u w:val="none"/>
          </w:rPr>
          <w:t>.</w:t>
        </w:r>
        <w:r w:rsidRPr="004757B9">
          <w:rPr>
            <w:rStyle w:val="Hyperlink"/>
            <w:rFonts w:ascii="Arial" w:hAnsi="Arial" w:cs="Arial"/>
            <w:color w:val="auto"/>
            <w:sz w:val="23"/>
            <w:szCs w:val="23"/>
            <w:u w:val="none"/>
          </w:rPr>
          <w:t xml:space="preserve"> </w:t>
        </w:r>
      </w:hyperlink>
      <w:bookmarkEnd w:id="2"/>
    </w:p>
    <w:p w:rsidR="004757B9" w:rsidRDefault="004757B9" w:rsidP="004757B9">
      <w:pPr>
        <w:jc w:val="both"/>
        <w:rPr>
          <w:rFonts w:ascii="Arial" w:hAnsi="Arial" w:cs="Arial"/>
          <w:b/>
          <w:sz w:val="23"/>
          <w:szCs w:val="23"/>
          <w:lang w:val="en"/>
        </w:rPr>
      </w:pPr>
      <w:r>
        <w:rPr>
          <w:rFonts w:ascii="Arial" w:hAnsi="Arial" w:cs="Arial"/>
          <w:b/>
          <w:sz w:val="23"/>
          <w:szCs w:val="23"/>
          <w:lang w:val="en"/>
        </w:rPr>
        <w:lastRenderedPageBreak/>
        <w:t>Functions of the Human Rights Commission</w:t>
      </w:r>
    </w:p>
    <w:p w:rsidR="004757B9" w:rsidRDefault="004757B9" w:rsidP="004757B9">
      <w:pPr>
        <w:jc w:val="both"/>
        <w:rPr>
          <w:rFonts w:ascii="Arial" w:hAnsi="Arial" w:cs="Arial"/>
          <w:sz w:val="23"/>
          <w:szCs w:val="23"/>
          <w:lang w:val="en"/>
        </w:rPr>
      </w:pPr>
      <w:r>
        <w:rPr>
          <w:rFonts w:ascii="Arial" w:hAnsi="Arial" w:cs="Arial"/>
          <w:sz w:val="23"/>
          <w:szCs w:val="23"/>
          <w:lang w:val="en"/>
        </w:rPr>
        <w:t>The Commission's main functions are to:</w:t>
      </w:r>
    </w:p>
    <w:p w:rsidR="004757B9" w:rsidRDefault="004757B9" w:rsidP="004757B9">
      <w:pPr>
        <w:numPr>
          <w:ilvl w:val="0"/>
          <w:numId w:val="2"/>
        </w:numPr>
        <w:tabs>
          <w:tab w:val="clear" w:pos="360"/>
          <w:tab w:val="num" w:pos="567"/>
        </w:tabs>
        <w:ind w:left="567" w:hanging="567"/>
        <w:jc w:val="both"/>
        <w:rPr>
          <w:rFonts w:ascii="Arial" w:hAnsi="Arial" w:cs="Arial"/>
          <w:sz w:val="23"/>
          <w:szCs w:val="23"/>
          <w:lang w:val="en"/>
        </w:rPr>
      </w:pPr>
      <w:r>
        <w:rPr>
          <w:rFonts w:ascii="Arial" w:hAnsi="Arial" w:cs="Arial"/>
          <w:sz w:val="23"/>
          <w:szCs w:val="23"/>
          <w:lang w:val="en"/>
        </w:rPr>
        <w:t xml:space="preserve">Advocate and promote respect for, and an understanding and appreciation of, human rights in New Zealand society </w:t>
      </w:r>
    </w:p>
    <w:p w:rsidR="004757B9" w:rsidRDefault="004757B9" w:rsidP="004757B9">
      <w:pPr>
        <w:numPr>
          <w:ilvl w:val="0"/>
          <w:numId w:val="2"/>
        </w:numPr>
        <w:tabs>
          <w:tab w:val="clear" w:pos="360"/>
          <w:tab w:val="num" w:pos="567"/>
        </w:tabs>
        <w:ind w:left="567" w:hanging="567"/>
        <w:jc w:val="both"/>
        <w:rPr>
          <w:rFonts w:ascii="Arial" w:hAnsi="Arial" w:cs="Arial"/>
          <w:sz w:val="23"/>
          <w:szCs w:val="23"/>
          <w:lang w:val="en"/>
        </w:rPr>
      </w:pPr>
      <w:r>
        <w:rPr>
          <w:rFonts w:ascii="Arial" w:hAnsi="Arial" w:cs="Arial"/>
          <w:sz w:val="23"/>
          <w:szCs w:val="23"/>
          <w:lang w:val="en"/>
        </w:rPr>
        <w:t xml:space="preserve">Encourage the maintenance and development of harmonious relations between individuals and among the diverse groups in New Zealand society </w:t>
      </w:r>
    </w:p>
    <w:p w:rsidR="004757B9" w:rsidRDefault="004757B9" w:rsidP="004757B9">
      <w:pPr>
        <w:numPr>
          <w:ilvl w:val="0"/>
          <w:numId w:val="2"/>
        </w:numPr>
        <w:tabs>
          <w:tab w:val="clear" w:pos="360"/>
          <w:tab w:val="num" w:pos="567"/>
        </w:tabs>
        <w:ind w:left="567" w:hanging="567"/>
        <w:jc w:val="both"/>
        <w:rPr>
          <w:rFonts w:ascii="Arial" w:hAnsi="Arial" w:cs="Arial"/>
          <w:sz w:val="23"/>
          <w:szCs w:val="23"/>
          <w:lang w:val="en"/>
        </w:rPr>
      </w:pPr>
      <w:r>
        <w:rPr>
          <w:rFonts w:ascii="Arial" w:hAnsi="Arial" w:cs="Arial"/>
          <w:sz w:val="23"/>
          <w:szCs w:val="23"/>
          <w:lang w:val="en"/>
        </w:rPr>
        <w:t xml:space="preserve">Lead, evaluate, monitor and advise on equal employment opportunities </w:t>
      </w:r>
    </w:p>
    <w:p w:rsidR="004757B9" w:rsidRDefault="004757B9" w:rsidP="004757B9">
      <w:pPr>
        <w:numPr>
          <w:ilvl w:val="0"/>
          <w:numId w:val="2"/>
        </w:numPr>
        <w:tabs>
          <w:tab w:val="clear" w:pos="360"/>
          <w:tab w:val="num" w:pos="567"/>
        </w:tabs>
        <w:ind w:left="567" w:hanging="567"/>
        <w:jc w:val="both"/>
        <w:rPr>
          <w:rFonts w:ascii="Arial" w:hAnsi="Arial" w:cs="Arial"/>
          <w:sz w:val="23"/>
          <w:szCs w:val="23"/>
          <w:lang w:val="en"/>
        </w:rPr>
      </w:pPr>
      <w:r>
        <w:rPr>
          <w:rFonts w:ascii="Arial" w:hAnsi="Arial" w:cs="Arial"/>
          <w:sz w:val="23"/>
          <w:szCs w:val="23"/>
          <w:lang w:val="en"/>
        </w:rPr>
        <w:t xml:space="preserve">Provide information to members of the public who have questions about unlawful discrimination and facilitate resolution of disputes relating to unlawful discrimination on the grounds of sex, marital status, religious belief, ethical belief (lack of a religious belief), </w:t>
      </w:r>
      <w:proofErr w:type="spellStart"/>
      <w:r>
        <w:rPr>
          <w:rFonts w:ascii="Arial" w:hAnsi="Arial" w:cs="Arial"/>
          <w:sz w:val="23"/>
          <w:szCs w:val="23"/>
          <w:lang w:val="en"/>
        </w:rPr>
        <w:t>colour</w:t>
      </w:r>
      <w:proofErr w:type="spellEnd"/>
      <w:r>
        <w:rPr>
          <w:rFonts w:ascii="Arial" w:hAnsi="Arial" w:cs="Arial"/>
          <w:sz w:val="23"/>
          <w:szCs w:val="23"/>
          <w:lang w:val="en"/>
        </w:rPr>
        <w:t xml:space="preserve">, race, ethnic or national origins, disability, age, political opinion, employment status, family status, sexual orientation or sexual harassment or racial harassment in the areas of employment, education, access to public places, the provision of goods and services, housing and accommodation, partnerships, qualifying bodies, </w:t>
      </w:r>
      <w:proofErr w:type="spellStart"/>
      <w:r>
        <w:rPr>
          <w:rFonts w:ascii="Arial" w:hAnsi="Arial" w:cs="Arial"/>
          <w:sz w:val="23"/>
          <w:szCs w:val="23"/>
          <w:lang w:val="en"/>
        </w:rPr>
        <w:t>organisations</w:t>
      </w:r>
      <w:proofErr w:type="spellEnd"/>
      <w:r>
        <w:rPr>
          <w:rFonts w:ascii="Arial" w:hAnsi="Arial" w:cs="Arial"/>
          <w:sz w:val="23"/>
          <w:szCs w:val="23"/>
          <w:lang w:val="en"/>
        </w:rPr>
        <w:t xml:space="preserve"> of employees and employers, vocational training and trade and professional associations, government or public sector activities.</w:t>
      </w:r>
    </w:p>
    <w:p w:rsidR="004757B9" w:rsidRDefault="004757B9" w:rsidP="004757B9">
      <w:pPr>
        <w:ind w:left="720"/>
        <w:jc w:val="both"/>
        <w:rPr>
          <w:rFonts w:ascii="Arial" w:hAnsi="Arial" w:cs="Arial"/>
          <w:sz w:val="23"/>
          <w:szCs w:val="23"/>
          <w:lang w:val="en"/>
        </w:rPr>
      </w:pPr>
    </w:p>
    <w:p w:rsidR="004757B9" w:rsidRDefault="004757B9" w:rsidP="004757B9">
      <w:pPr>
        <w:jc w:val="both"/>
        <w:rPr>
          <w:rFonts w:ascii="Arial" w:hAnsi="Arial" w:cs="Arial"/>
          <w:sz w:val="23"/>
          <w:szCs w:val="23"/>
        </w:rPr>
      </w:pPr>
      <w:r>
        <w:rPr>
          <w:rFonts w:ascii="Arial" w:hAnsi="Arial" w:cs="Arial"/>
          <w:sz w:val="23"/>
          <w:szCs w:val="23"/>
        </w:rPr>
        <w:t xml:space="preserve">Applicants should refer to section 5 of the Act for the full range of the Commission’s functions. </w:t>
      </w:r>
    </w:p>
    <w:p w:rsidR="004757B9" w:rsidRDefault="004757B9" w:rsidP="004757B9">
      <w:pPr>
        <w:tabs>
          <w:tab w:val="left" w:pos="567"/>
        </w:tabs>
        <w:rPr>
          <w:rFonts w:ascii="Arial" w:hAnsi="Arial" w:cs="Arial"/>
          <w:b/>
          <w:snapToGrid w:val="0"/>
          <w:sz w:val="23"/>
          <w:szCs w:val="23"/>
          <w:lang w:val="en-US" w:eastAsia="en-US"/>
        </w:rPr>
      </w:pPr>
    </w:p>
    <w:p w:rsidR="004757B9" w:rsidRDefault="004757B9" w:rsidP="004757B9">
      <w:pPr>
        <w:jc w:val="both"/>
        <w:rPr>
          <w:rFonts w:ascii="Arial" w:hAnsi="Arial" w:cs="Arial"/>
          <w:b/>
          <w:sz w:val="23"/>
          <w:szCs w:val="23"/>
        </w:rPr>
      </w:pPr>
      <w:r>
        <w:rPr>
          <w:rFonts w:ascii="Arial" w:hAnsi="Arial" w:cs="Arial"/>
          <w:b/>
          <w:sz w:val="23"/>
          <w:szCs w:val="23"/>
        </w:rPr>
        <w:t>Role of Commissioners</w:t>
      </w:r>
    </w:p>
    <w:p w:rsidR="004757B9" w:rsidRDefault="004757B9" w:rsidP="004757B9">
      <w:pPr>
        <w:jc w:val="both"/>
        <w:rPr>
          <w:rFonts w:ascii="Arial" w:hAnsi="Arial" w:cs="Arial"/>
          <w:snapToGrid w:val="0"/>
          <w:sz w:val="23"/>
          <w:szCs w:val="23"/>
          <w:lang w:val="en-US" w:eastAsia="en-US"/>
        </w:rPr>
      </w:pPr>
      <w:r>
        <w:rPr>
          <w:rFonts w:ascii="Arial" w:hAnsi="Arial" w:cs="Arial"/>
          <w:snapToGrid w:val="0"/>
          <w:sz w:val="23"/>
          <w:szCs w:val="23"/>
          <w:lang w:val="en-US" w:eastAsia="en-US"/>
        </w:rPr>
        <w:t>Section 7(1) of the Act provides that the members of the Commission acting together determine the strategic direction and the general nature of activities undertaken in the performance of the Commission’s functions.</w:t>
      </w:r>
    </w:p>
    <w:p w:rsidR="004757B9" w:rsidRDefault="004757B9" w:rsidP="004757B9">
      <w:pPr>
        <w:rPr>
          <w:rFonts w:ascii="Arial" w:hAnsi="Arial" w:cs="Arial"/>
          <w:b/>
          <w:snapToGrid w:val="0"/>
          <w:sz w:val="23"/>
          <w:szCs w:val="23"/>
          <w:lang w:val="en-US" w:eastAsia="en-US"/>
        </w:rPr>
      </w:pPr>
    </w:p>
    <w:p w:rsidR="004757B9" w:rsidRDefault="004757B9" w:rsidP="004757B9">
      <w:pPr>
        <w:rPr>
          <w:rFonts w:ascii="Arial" w:hAnsi="Arial" w:cs="Arial"/>
          <w:b/>
          <w:snapToGrid w:val="0"/>
          <w:sz w:val="23"/>
          <w:szCs w:val="23"/>
          <w:lang w:val="en-US" w:eastAsia="en-US"/>
        </w:rPr>
      </w:pPr>
      <w:r>
        <w:rPr>
          <w:rFonts w:ascii="Arial" w:hAnsi="Arial" w:cs="Arial"/>
          <w:b/>
          <w:snapToGrid w:val="0"/>
          <w:sz w:val="23"/>
          <w:szCs w:val="23"/>
          <w:lang w:val="en-US" w:eastAsia="en-US"/>
        </w:rPr>
        <w:t>Criteria for appointment</w:t>
      </w:r>
    </w:p>
    <w:p w:rsidR="004757B9" w:rsidRDefault="004757B9" w:rsidP="004757B9">
      <w:pPr>
        <w:tabs>
          <w:tab w:val="left" w:pos="567"/>
        </w:tabs>
        <w:jc w:val="both"/>
        <w:rPr>
          <w:rFonts w:ascii="Arial" w:hAnsi="Arial" w:cs="Arial"/>
          <w:snapToGrid w:val="0"/>
          <w:sz w:val="23"/>
          <w:szCs w:val="23"/>
          <w:lang w:val="en-US" w:eastAsia="en-US"/>
        </w:rPr>
      </w:pPr>
      <w:r>
        <w:rPr>
          <w:rFonts w:ascii="Arial" w:hAnsi="Arial" w:cs="Arial"/>
          <w:snapToGrid w:val="0"/>
          <w:sz w:val="23"/>
          <w:szCs w:val="23"/>
          <w:lang w:val="en-US" w:eastAsia="en-US"/>
        </w:rPr>
        <w:t>Section 11(1) of the Act provides that in recommending persons for appointment as Commissioners or alternate Commissioners, the Minister must have regard to the need for Commissioners and alternate Commissioners appointed to have among them.</w:t>
      </w:r>
    </w:p>
    <w:p w:rsidR="004757B9" w:rsidRDefault="004757B9" w:rsidP="004757B9">
      <w:pPr>
        <w:tabs>
          <w:tab w:val="left" w:pos="567"/>
        </w:tabs>
        <w:rPr>
          <w:rFonts w:ascii="Arial" w:hAnsi="Arial" w:cs="Arial"/>
          <w:snapToGrid w:val="0"/>
          <w:sz w:val="23"/>
          <w:szCs w:val="23"/>
          <w:lang w:val="en-US" w:eastAsia="en-US"/>
        </w:rPr>
      </w:pPr>
      <w:r>
        <w:rPr>
          <w:rFonts w:ascii="Arial" w:hAnsi="Arial" w:cs="Arial"/>
          <w:snapToGrid w:val="0"/>
          <w:sz w:val="23"/>
          <w:szCs w:val="23"/>
          <w:lang w:val="en-US" w:eastAsia="en-US"/>
        </w:rPr>
        <w:t xml:space="preserve">(a) </w:t>
      </w:r>
      <w:r>
        <w:rPr>
          <w:rFonts w:ascii="Arial" w:hAnsi="Arial" w:cs="Arial"/>
          <w:snapToGrid w:val="0"/>
          <w:sz w:val="23"/>
          <w:szCs w:val="23"/>
          <w:lang w:val="en-US" w:eastAsia="en-US"/>
        </w:rPr>
        <w:tab/>
        <w:t>knowledge of, or experience in:</w:t>
      </w:r>
    </w:p>
    <w:p w:rsidR="004757B9" w:rsidRDefault="004757B9" w:rsidP="004757B9">
      <w:pPr>
        <w:tabs>
          <w:tab w:val="left" w:pos="567"/>
          <w:tab w:val="left" w:pos="1134"/>
        </w:tabs>
        <w:rPr>
          <w:rFonts w:ascii="Arial" w:hAnsi="Arial" w:cs="Arial"/>
          <w:snapToGrid w:val="0"/>
          <w:sz w:val="23"/>
          <w:szCs w:val="23"/>
          <w:lang w:val="en-US" w:eastAsia="en-US"/>
        </w:rPr>
      </w:pPr>
      <w:r>
        <w:rPr>
          <w:rFonts w:ascii="Arial" w:hAnsi="Arial" w:cs="Arial"/>
          <w:snapToGrid w:val="0"/>
          <w:sz w:val="23"/>
          <w:szCs w:val="23"/>
          <w:lang w:val="en-US" w:eastAsia="en-US"/>
        </w:rPr>
        <w:tab/>
        <w:t>(</w:t>
      </w:r>
      <w:proofErr w:type="spellStart"/>
      <w:r>
        <w:rPr>
          <w:rFonts w:ascii="Arial" w:hAnsi="Arial" w:cs="Arial"/>
          <w:snapToGrid w:val="0"/>
          <w:sz w:val="23"/>
          <w:szCs w:val="23"/>
          <w:lang w:val="en-US" w:eastAsia="en-US"/>
        </w:rPr>
        <w:t>i</w:t>
      </w:r>
      <w:proofErr w:type="spellEnd"/>
      <w:r>
        <w:rPr>
          <w:rFonts w:ascii="Arial" w:hAnsi="Arial" w:cs="Arial"/>
          <w:snapToGrid w:val="0"/>
          <w:sz w:val="23"/>
          <w:szCs w:val="23"/>
          <w:lang w:val="en-US" w:eastAsia="en-US"/>
        </w:rPr>
        <w:t>)</w:t>
      </w:r>
      <w:r>
        <w:rPr>
          <w:rFonts w:ascii="Arial" w:hAnsi="Arial" w:cs="Arial"/>
          <w:snapToGrid w:val="0"/>
          <w:sz w:val="23"/>
          <w:szCs w:val="23"/>
          <w:lang w:val="en-US" w:eastAsia="en-US"/>
        </w:rPr>
        <w:tab/>
      </w:r>
      <w:proofErr w:type="gramStart"/>
      <w:r>
        <w:rPr>
          <w:rFonts w:ascii="Arial" w:hAnsi="Arial" w:cs="Arial"/>
          <w:snapToGrid w:val="0"/>
          <w:sz w:val="23"/>
          <w:szCs w:val="23"/>
          <w:lang w:val="en-US" w:eastAsia="en-US"/>
        </w:rPr>
        <w:t>different aspects</w:t>
      </w:r>
      <w:proofErr w:type="gramEnd"/>
      <w:r>
        <w:rPr>
          <w:rFonts w:ascii="Arial" w:hAnsi="Arial" w:cs="Arial"/>
          <w:snapToGrid w:val="0"/>
          <w:sz w:val="23"/>
          <w:szCs w:val="23"/>
          <w:lang w:val="en-US" w:eastAsia="en-US"/>
        </w:rPr>
        <w:t xml:space="preserve"> of matters likely to come before the Commission</w:t>
      </w:r>
    </w:p>
    <w:p w:rsidR="004757B9" w:rsidRDefault="004757B9" w:rsidP="004757B9">
      <w:pPr>
        <w:numPr>
          <w:ilvl w:val="0"/>
          <w:numId w:val="3"/>
        </w:numPr>
        <w:tabs>
          <w:tab w:val="clear" w:pos="1170"/>
          <w:tab w:val="left" w:pos="567"/>
          <w:tab w:val="left" w:pos="1134"/>
          <w:tab w:val="num" w:pos="1276"/>
        </w:tabs>
        <w:ind w:left="1134" w:hanging="567"/>
        <w:rPr>
          <w:rFonts w:ascii="Arial" w:hAnsi="Arial" w:cs="Arial"/>
          <w:snapToGrid w:val="0"/>
          <w:sz w:val="23"/>
          <w:szCs w:val="23"/>
          <w:lang w:val="en-US" w:eastAsia="en-US"/>
        </w:rPr>
      </w:pPr>
      <w:r>
        <w:rPr>
          <w:rFonts w:ascii="Arial" w:hAnsi="Arial" w:cs="Arial"/>
          <w:snapToGrid w:val="0"/>
          <w:sz w:val="23"/>
          <w:szCs w:val="23"/>
          <w:lang w:val="en-US" w:eastAsia="en-US"/>
        </w:rPr>
        <w:t xml:space="preserve">New Zealand law, or the law of another country, or international law, on human rights </w:t>
      </w:r>
    </w:p>
    <w:p w:rsidR="004757B9" w:rsidRDefault="004757B9" w:rsidP="004757B9">
      <w:pPr>
        <w:tabs>
          <w:tab w:val="left" w:pos="567"/>
          <w:tab w:val="left" w:pos="1134"/>
          <w:tab w:val="num" w:pos="1276"/>
        </w:tabs>
        <w:ind w:firstLine="567"/>
        <w:rPr>
          <w:rFonts w:ascii="Arial" w:hAnsi="Arial" w:cs="Arial"/>
          <w:snapToGrid w:val="0"/>
          <w:sz w:val="23"/>
          <w:szCs w:val="23"/>
          <w:lang w:val="en-US" w:eastAsia="en-US"/>
        </w:rPr>
      </w:pPr>
      <w:r>
        <w:rPr>
          <w:rFonts w:ascii="Arial" w:hAnsi="Arial" w:cs="Arial"/>
          <w:snapToGrid w:val="0"/>
          <w:sz w:val="23"/>
          <w:szCs w:val="23"/>
          <w:lang w:val="en-US" w:eastAsia="en-US"/>
        </w:rPr>
        <w:t>(iii)</w:t>
      </w:r>
      <w:r>
        <w:rPr>
          <w:rFonts w:ascii="Arial" w:hAnsi="Arial" w:cs="Arial"/>
          <w:snapToGrid w:val="0"/>
          <w:sz w:val="23"/>
          <w:szCs w:val="23"/>
          <w:lang w:val="en-US" w:eastAsia="en-US"/>
        </w:rPr>
        <w:tab/>
        <w:t>the Treaty of Waitangi and rights of indigenous peoples</w:t>
      </w:r>
    </w:p>
    <w:p w:rsidR="004757B9" w:rsidRDefault="004757B9" w:rsidP="004757B9">
      <w:pPr>
        <w:tabs>
          <w:tab w:val="left" w:pos="567"/>
          <w:tab w:val="left" w:pos="1134"/>
          <w:tab w:val="num" w:pos="1276"/>
        </w:tabs>
        <w:rPr>
          <w:rFonts w:ascii="Arial" w:hAnsi="Arial" w:cs="Arial"/>
          <w:snapToGrid w:val="0"/>
          <w:sz w:val="23"/>
          <w:szCs w:val="23"/>
          <w:lang w:val="en-US" w:eastAsia="en-US"/>
        </w:rPr>
      </w:pPr>
      <w:r>
        <w:rPr>
          <w:rFonts w:ascii="Arial" w:hAnsi="Arial" w:cs="Arial"/>
          <w:snapToGrid w:val="0"/>
          <w:sz w:val="23"/>
          <w:szCs w:val="23"/>
          <w:lang w:val="en-US" w:eastAsia="en-US"/>
        </w:rPr>
        <w:tab/>
        <w:t>(iv)</w:t>
      </w:r>
      <w:r>
        <w:rPr>
          <w:rFonts w:ascii="Arial" w:hAnsi="Arial" w:cs="Arial"/>
          <w:snapToGrid w:val="0"/>
          <w:sz w:val="23"/>
          <w:szCs w:val="23"/>
          <w:lang w:val="en-US" w:eastAsia="en-US"/>
        </w:rPr>
        <w:tab/>
        <w:t>current economic, employment, or social issues</w:t>
      </w:r>
    </w:p>
    <w:p w:rsidR="004757B9" w:rsidRDefault="004757B9" w:rsidP="004757B9">
      <w:pPr>
        <w:pStyle w:val="BodyTextIndent"/>
        <w:tabs>
          <w:tab w:val="left" w:pos="567"/>
          <w:tab w:val="left" w:pos="1134"/>
        </w:tabs>
        <w:ind w:left="1134" w:hanging="567"/>
        <w:rPr>
          <w:rFonts w:ascii="Arial" w:hAnsi="Arial" w:cs="Arial"/>
          <w:sz w:val="23"/>
          <w:szCs w:val="23"/>
          <w:lang w:val="en-US" w:eastAsia="en-US"/>
        </w:rPr>
      </w:pPr>
      <w:r>
        <w:rPr>
          <w:rFonts w:ascii="Arial" w:hAnsi="Arial" w:cs="Arial"/>
          <w:sz w:val="23"/>
          <w:szCs w:val="23"/>
        </w:rPr>
        <w:t>(v)</w:t>
      </w:r>
      <w:r>
        <w:rPr>
          <w:rFonts w:ascii="Arial" w:hAnsi="Arial" w:cs="Arial"/>
          <w:sz w:val="23"/>
          <w:szCs w:val="23"/>
        </w:rPr>
        <w:tab/>
        <w:t>cultural issues and the needs and aspirations (including life experiences) of different communities of interest and population groups in New Zealand society.</w:t>
      </w:r>
    </w:p>
    <w:p w:rsidR="004757B9" w:rsidRDefault="004757B9" w:rsidP="004757B9">
      <w:pPr>
        <w:numPr>
          <w:ilvl w:val="0"/>
          <w:numId w:val="4"/>
        </w:numPr>
        <w:tabs>
          <w:tab w:val="num" w:pos="1276"/>
        </w:tabs>
        <w:rPr>
          <w:rFonts w:ascii="Arial" w:hAnsi="Arial" w:cs="Arial"/>
          <w:snapToGrid w:val="0"/>
          <w:sz w:val="23"/>
          <w:szCs w:val="23"/>
          <w:lang w:val="en-US" w:eastAsia="en-US"/>
        </w:rPr>
      </w:pPr>
      <w:r>
        <w:rPr>
          <w:rFonts w:ascii="Arial" w:hAnsi="Arial" w:cs="Arial"/>
          <w:snapToGrid w:val="0"/>
          <w:sz w:val="23"/>
          <w:szCs w:val="23"/>
          <w:lang w:val="en-US" w:eastAsia="en-US"/>
        </w:rPr>
        <w:t>skills in, or experience in:</w:t>
      </w:r>
    </w:p>
    <w:p w:rsidR="004757B9" w:rsidRDefault="004757B9" w:rsidP="004757B9">
      <w:pPr>
        <w:tabs>
          <w:tab w:val="left" w:pos="720"/>
          <w:tab w:val="left" w:pos="1134"/>
          <w:tab w:val="num" w:pos="1276"/>
        </w:tabs>
        <w:ind w:firstLine="567"/>
        <w:rPr>
          <w:rFonts w:ascii="Arial" w:hAnsi="Arial" w:cs="Arial"/>
          <w:snapToGrid w:val="0"/>
          <w:sz w:val="23"/>
          <w:szCs w:val="23"/>
          <w:lang w:val="en-US" w:eastAsia="en-US"/>
        </w:rPr>
      </w:pPr>
      <w:r>
        <w:rPr>
          <w:rFonts w:ascii="Arial" w:hAnsi="Arial" w:cs="Arial"/>
          <w:snapToGrid w:val="0"/>
          <w:sz w:val="23"/>
          <w:szCs w:val="23"/>
          <w:lang w:val="en-US" w:eastAsia="en-US"/>
        </w:rPr>
        <w:t>(</w:t>
      </w:r>
      <w:proofErr w:type="spellStart"/>
      <w:r>
        <w:rPr>
          <w:rFonts w:ascii="Arial" w:hAnsi="Arial" w:cs="Arial"/>
          <w:snapToGrid w:val="0"/>
          <w:sz w:val="23"/>
          <w:szCs w:val="23"/>
          <w:lang w:val="en-US" w:eastAsia="en-US"/>
        </w:rPr>
        <w:t>i</w:t>
      </w:r>
      <w:proofErr w:type="spellEnd"/>
      <w:r>
        <w:rPr>
          <w:rFonts w:ascii="Arial" w:hAnsi="Arial" w:cs="Arial"/>
          <w:snapToGrid w:val="0"/>
          <w:sz w:val="23"/>
          <w:szCs w:val="23"/>
          <w:lang w:val="en-US" w:eastAsia="en-US"/>
        </w:rPr>
        <w:t>)</w:t>
      </w:r>
      <w:r>
        <w:rPr>
          <w:rFonts w:ascii="Arial" w:hAnsi="Arial" w:cs="Arial"/>
          <w:snapToGrid w:val="0"/>
          <w:sz w:val="23"/>
          <w:szCs w:val="23"/>
          <w:lang w:val="en-US" w:eastAsia="en-US"/>
        </w:rPr>
        <w:tab/>
        <w:t>advocacy or public education</w:t>
      </w:r>
    </w:p>
    <w:p w:rsidR="004757B9" w:rsidRDefault="004757B9" w:rsidP="004757B9">
      <w:pPr>
        <w:tabs>
          <w:tab w:val="left" w:pos="1134"/>
        </w:tabs>
        <w:ind w:left="1134" w:hanging="567"/>
        <w:rPr>
          <w:rFonts w:ascii="Arial" w:hAnsi="Arial" w:cs="Arial"/>
          <w:snapToGrid w:val="0"/>
          <w:sz w:val="23"/>
          <w:szCs w:val="23"/>
          <w:lang w:val="en-US" w:eastAsia="en-US"/>
        </w:rPr>
      </w:pPr>
      <w:r>
        <w:rPr>
          <w:rFonts w:ascii="Arial" w:hAnsi="Arial" w:cs="Arial"/>
          <w:snapToGrid w:val="0"/>
          <w:sz w:val="23"/>
          <w:szCs w:val="23"/>
          <w:lang w:val="en-US" w:eastAsia="en-US"/>
        </w:rPr>
        <w:t>(ii)</w:t>
      </w:r>
      <w:r>
        <w:rPr>
          <w:rFonts w:ascii="Arial" w:hAnsi="Arial" w:cs="Arial"/>
          <w:snapToGrid w:val="0"/>
          <w:sz w:val="23"/>
          <w:szCs w:val="23"/>
          <w:lang w:val="en-US" w:eastAsia="en-US"/>
        </w:rPr>
        <w:tab/>
        <w:t>business, commerce, economics, industry, or financial or personnel management</w:t>
      </w:r>
    </w:p>
    <w:p w:rsidR="004757B9" w:rsidRDefault="004757B9" w:rsidP="004757B9">
      <w:pPr>
        <w:ind w:left="1134" w:hanging="567"/>
        <w:rPr>
          <w:rFonts w:ascii="Arial" w:hAnsi="Arial" w:cs="Arial"/>
          <w:snapToGrid w:val="0"/>
          <w:sz w:val="23"/>
          <w:szCs w:val="23"/>
          <w:lang w:val="en-US" w:eastAsia="en-US"/>
        </w:rPr>
      </w:pPr>
      <w:r>
        <w:rPr>
          <w:rFonts w:ascii="Arial" w:hAnsi="Arial" w:cs="Arial"/>
          <w:snapToGrid w:val="0"/>
          <w:sz w:val="23"/>
          <w:szCs w:val="23"/>
          <w:lang w:val="en-US" w:eastAsia="en-US"/>
        </w:rPr>
        <w:t xml:space="preserve">(iii) </w:t>
      </w:r>
      <w:r>
        <w:rPr>
          <w:rFonts w:ascii="Arial" w:hAnsi="Arial" w:cs="Arial"/>
          <w:snapToGrid w:val="0"/>
          <w:sz w:val="23"/>
          <w:szCs w:val="23"/>
          <w:lang w:val="en-US" w:eastAsia="en-US"/>
        </w:rPr>
        <w:tab/>
        <w:t>community affairs</w:t>
      </w:r>
    </w:p>
    <w:p w:rsidR="004757B9" w:rsidRDefault="004757B9" w:rsidP="004757B9">
      <w:pPr>
        <w:numPr>
          <w:ilvl w:val="0"/>
          <w:numId w:val="5"/>
        </w:numPr>
        <w:tabs>
          <w:tab w:val="num" w:pos="1134"/>
        </w:tabs>
        <w:ind w:left="1134" w:hanging="567"/>
        <w:jc w:val="both"/>
        <w:rPr>
          <w:rFonts w:ascii="Arial" w:hAnsi="Arial" w:cs="Arial"/>
          <w:b/>
          <w:snapToGrid w:val="0"/>
          <w:sz w:val="23"/>
          <w:szCs w:val="23"/>
          <w:lang w:val="en-US" w:eastAsia="en-US"/>
        </w:rPr>
      </w:pPr>
      <w:r>
        <w:rPr>
          <w:rFonts w:ascii="Arial" w:hAnsi="Arial" w:cs="Arial"/>
          <w:snapToGrid w:val="0"/>
          <w:sz w:val="23"/>
          <w:szCs w:val="23"/>
          <w:lang w:val="en-US" w:eastAsia="en-US"/>
        </w:rPr>
        <w:t>public administration, or the law relating to public administration.</w:t>
      </w:r>
    </w:p>
    <w:p w:rsidR="004757B9" w:rsidRDefault="004757B9" w:rsidP="004757B9">
      <w:pPr>
        <w:tabs>
          <w:tab w:val="left" w:pos="450"/>
          <w:tab w:val="left" w:pos="900"/>
          <w:tab w:val="left" w:pos="990"/>
          <w:tab w:val="left" w:pos="1350"/>
          <w:tab w:val="left" w:pos="1701"/>
          <w:tab w:val="left" w:pos="1800"/>
          <w:tab w:val="left" w:pos="1980"/>
          <w:tab w:val="left" w:pos="3690"/>
        </w:tabs>
        <w:jc w:val="both"/>
        <w:rPr>
          <w:rFonts w:ascii="Arial" w:hAnsi="Arial" w:cs="Arial"/>
          <w:b/>
          <w:snapToGrid w:val="0"/>
          <w:sz w:val="23"/>
          <w:szCs w:val="23"/>
          <w:lang w:val="en-US" w:eastAsia="en-US"/>
        </w:rPr>
      </w:pPr>
    </w:p>
    <w:p w:rsidR="004757B9" w:rsidRDefault="004757B9" w:rsidP="004757B9">
      <w:pPr>
        <w:spacing w:after="200" w:line="276" w:lineRule="auto"/>
        <w:rPr>
          <w:rFonts w:ascii="Arial" w:hAnsi="Arial" w:cs="Arial"/>
          <w:b/>
          <w:snapToGrid w:val="0"/>
          <w:sz w:val="23"/>
          <w:szCs w:val="23"/>
          <w:lang w:val="en-US" w:eastAsia="en-US"/>
        </w:rPr>
      </w:pPr>
      <w:r>
        <w:rPr>
          <w:rFonts w:ascii="Arial" w:hAnsi="Arial" w:cs="Arial"/>
          <w:b/>
          <w:snapToGrid w:val="0"/>
          <w:sz w:val="23"/>
          <w:szCs w:val="23"/>
          <w:lang w:val="en-US" w:eastAsia="en-US"/>
        </w:rPr>
        <w:br w:type="page"/>
      </w:r>
    </w:p>
    <w:p w:rsidR="004757B9" w:rsidRDefault="004757B9" w:rsidP="004757B9">
      <w:pPr>
        <w:tabs>
          <w:tab w:val="left" w:pos="450"/>
          <w:tab w:val="left" w:pos="900"/>
          <w:tab w:val="left" w:pos="990"/>
          <w:tab w:val="left" w:pos="1350"/>
          <w:tab w:val="left" w:pos="1701"/>
          <w:tab w:val="left" w:pos="1800"/>
          <w:tab w:val="left" w:pos="1980"/>
          <w:tab w:val="left" w:pos="3690"/>
        </w:tabs>
        <w:jc w:val="both"/>
        <w:rPr>
          <w:rFonts w:ascii="Arial" w:hAnsi="Arial" w:cs="Arial"/>
          <w:b/>
          <w:snapToGrid w:val="0"/>
          <w:sz w:val="23"/>
          <w:szCs w:val="23"/>
          <w:lang w:val="en-US" w:eastAsia="en-US"/>
        </w:rPr>
      </w:pPr>
      <w:r>
        <w:rPr>
          <w:rFonts w:ascii="Arial" w:hAnsi="Arial" w:cs="Arial"/>
          <w:b/>
          <w:snapToGrid w:val="0"/>
          <w:sz w:val="23"/>
          <w:szCs w:val="23"/>
          <w:lang w:val="en-US" w:eastAsia="en-US"/>
        </w:rPr>
        <w:lastRenderedPageBreak/>
        <w:t>Additional criteria relevant to the Race Relations Commissioner</w:t>
      </w:r>
    </w:p>
    <w:p w:rsidR="004757B9" w:rsidRPr="004757B9" w:rsidRDefault="004757B9" w:rsidP="004757B9">
      <w:pPr>
        <w:shd w:val="clear" w:color="auto" w:fill="FFFFFF"/>
        <w:jc w:val="both"/>
        <w:outlineLvl w:val="5"/>
        <w:rPr>
          <w:rFonts w:ascii="Arial" w:hAnsi="Arial" w:cs="Arial"/>
          <w:sz w:val="23"/>
          <w:szCs w:val="23"/>
        </w:rPr>
      </w:pPr>
      <w:r w:rsidRPr="004757B9">
        <w:rPr>
          <w:rFonts w:ascii="Arial" w:hAnsi="Arial" w:cs="Arial"/>
          <w:bCs/>
          <w:sz w:val="23"/>
          <w:szCs w:val="23"/>
        </w:rPr>
        <w:t xml:space="preserve">Section 13 of the Act provides that </w:t>
      </w:r>
      <w:r w:rsidRPr="004757B9">
        <w:rPr>
          <w:rFonts w:ascii="Arial" w:hAnsi="Arial" w:cs="Arial"/>
          <w:b/>
          <w:bCs/>
          <w:sz w:val="23"/>
          <w:szCs w:val="23"/>
        </w:rPr>
        <w:t>i</w:t>
      </w:r>
      <w:r w:rsidRPr="004757B9">
        <w:rPr>
          <w:rFonts w:ascii="Arial" w:hAnsi="Arial" w:cs="Arial"/>
          <w:sz w:val="23"/>
          <w:szCs w:val="23"/>
        </w:rPr>
        <w:t xml:space="preserve">n recommending a person for appointment as a Commissioner appointed to lead the work of the Commission in a priority area under </w:t>
      </w:r>
      <w:bookmarkStart w:id="3" w:name="DLM304289"/>
      <w:r w:rsidRPr="004757B9">
        <w:rPr>
          <w:rFonts w:ascii="Arial" w:hAnsi="Arial" w:cs="Arial"/>
          <w:sz w:val="23"/>
          <w:szCs w:val="23"/>
        </w:rPr>
        <w:fldChar w:fldCharType="begin"/>
      </w:r>
      <w:r w:rsidRPr="004757B9">
        <w:rPr>
          <w:rFonts w:ascii="Arial" w:hAnsi="Arial" w:cs="Arial"/>
          <w:sz w:val="23"/>
          <w:szCs w:val="23"/>
        </w:rPr>
        <w:instrText xml:space="preserve"> HYPERLINK "http://www.legislation.govt.nz/act/public/1993/0082/latest/link.aspx?id=DLM304289" \l "DLM304289" </w:instrText>
      </w:r>
      <w:r w:rsidRPr="004757B9">
        <w:rPr>
          <w:rFonts w:ascii="Arial" w:hAnsi="Arial" w:cs="Arial"/>
          <w:sz w:val="23"/>
          <w:szCs w:val="23"/>
        </w:rPr>
        <w:fldChar w:fldCharType="separate"/>
      </w:r>
      <w:r w:rsidRPr="004757B9">
        <w:rPr>
          <w:rStyle w:val="Hyperlink"/>
          <w:rFonts w:ascii="Arial" w:hAnsi="Arial" w:cs="Arial"/>
          <w:color w:val="auto"/>
          <w:sz w:val="23"/>
          <w:szCs w:val="23"/>
          <w:u w:val="none"/>
        </w:rPr>
        <w:t>section 8(1A)</w:t>
      </w:r>
      <w:r w:rsidRPr="004757B9">
        <w:rPr>
          <w:rFonts w:ascii="Arial" w:hAnsi="Arial" w:cs="Arial"/>
          <w:sz w:val="23"/>
          <w:szCs w:val="23"/>
        </w:rPr>
        <w:fldChar w:fldCharType="end"/>
      </w:r>
      <w:bookmarkEnd w:id="3"/>
      <w:r w:rsidRPr="004757B9">
        <w:rPr>
          <w:rFonts w:ascii="Arial" w:hAnsi="Arial" w:cs="Arial"/>
          <w:sz w:val="23"/>
          <w:szCs w:val="23"/>
        </w:rPr>
        <w:t xml:space="preserve">, the Minister must have regard not only to the criteria stated in </w:t>
      </w:r>
      <w:bookmarkStart w:id="4" w:name="DLM304402"/>
      <w:r w:rsidRPr="004757B9">
        <w:rPr>
          <w:rFonts w:ascii="Arial" w:hAnsi="Arial" w:cs="Arial"/>
          <w:sz w:val="23"/>
          <w:szCs w:val="23"/>
        </w:rPr>
        <w:fldChar w:fldCharType="begin"/>
      </w:r>
      <w:r w:rsidRPr="004757B9">
        <w:rPr>
          <w:rFonts w:ascii="Arial" w:hAnsi="Arial" w:cs="Arial"/>
          <w:sz w:val="23"/>
          <w:szCs w:val="23"/>
        </w:rPr>
        <w:instrText xml:space="preserve"> HYPERLINK "http://www.legislation.govt.nz/act/public/1993/0082/latest/link.aspx?id=DLM304402" \l "DLM304402" </w:instrText>
      </w:r>
      <w:r w:rsidRPr="004757B9">
        <w:rPr>
          <w:rFonts w:ascii="Arial" w:hAnsi="Arial" w:cs="Arial"/>
          <w:sz w:val="23"/>
          <w:szCs w:val="23"/>
        </w:rPr>
        <w:fldChar w:fldCharType="separate"/>
      </w:r>
      <w:r w:rsidRPr="004757B9">
        <w:rPr>
          <w:rStyle w:val="Hyperlink"/>
          <w:rFonts w:ascii="Arial" w:hAnsi="Arial" w:cs="Arial"/>
          <w:color w:val="auto"/>
          <w:sz w:val="23"/>
          <w:szCs w:val="23"/>
          <w:u w:val="none"/>
        </w:rPr>
        <w:t>section 11</w:t>
      </w:r>
      <w:r w:rsidRPr="004757B9">
        <w:rPr>
          <w:rFonts w:ascii="Arial" w:hAnsi="Arial" w:cs="Arial"/>
          <w:sz w:val="23"/>
          <w:szCs w:val="23"/>
        </w:rPr>
        <w:fldChar w:fldCharType="end"/>
      </w:r>
      <w:bookmarkEnd w:id="4"/>
      <w:r w:rsidRPr="004757B9">
        <w:rPr>
          <w:rFonts w:ascii="Arial" w:hAnsi="Arial" w:cs="Arial"/>
          <w:sz w:val="23"/>
          <w:szCs w:val="23"/>
        </w:rPr>
        <w:t xml:space="preserve"> but also to the person’s—</w:t>
      </w:r>
    </w:p>
    <w:p w:rsidR="004757B9" w:rsidRPr="004757B9" w:rsidRDefault="004757B9" w:rsidP="004757B9">
      <w:pPr>
        <w:shd w:val="clear" w:color="auto" w:fill="FFFFFF"/>
        <w:ind w:left="720" w:hanging="720"/>
        <w:jc w:val="both"/>
        <w:outlineLvl w:val="5"/>
        <w:rPr>
          <w:rFonts w:ascii="Arial" w:hAnsi="Arial" w:cs="Arial"/>
          <w:sz w:val="23"/>
          <w:szCs w:val="23"/>
        </w:rPr>
      </w:pPr>
      <w:r w:rsidRPr="004757B9">
        <w:rPr>
          <w:rFonts w:ascii="Arial" w:hAnsi="Arial" w:cs="Arial"/>
          <w:sz w:val="23"/>
          <w:szCs w:val="23"/>
        </w:rPr>
        <w:t xml:space="preserve">(a) </w:t>
      </w:r>
      <w:r w:rsidRPr="004757B9">
        <w:rPr>
          <w:rFonts w:ascii="Arial" w:hAnsi="Arial" w:cs="Arial"/>
          <w:sz w:val="23"/>
          <w:szCs w:val="23"/>
        </w:rPr>
        <w:tab/>
        <w:t>understanding of the principles and practice of the priority area in question, including its origin and development in New Zealand:</w:t>
      </w:r>
    </w:p>
    <w:p w:rsidR="004757B9" w:rsidRPr="004757B9" w:rsidRDefault="004757B9" w:rsidP="004757B9">
      <w:pPr>
        <w:shd w:val="clear" w:color="auto" w:fill="FFFFFF"/>
        <w:ind w:left="720" w:hanging="720"/>
        <w:jc w:val="both"/>
        <w:outlineLvl w:val="5"/>
        <w:rPr>
          <w:rFonts w:ascii="Arial" w:hAnsi="Arial" w:cs="Arial"/>
          <w:sz w:val="23"/>
          <w:szCs w:val="23"/>
        </w:rPr>
      </w:pPr>
      <w:r w:rsidRPr="004757B9">
        <w:rPr>
          <w:rFonts w:ascii="Arial" w:hAnsi="Arial" w:cs="Arial"/>
          <w:sz w:val="23"/>
          <w:szCs w:val="23"/>
        </w:rPr>
        <w:t xml:space="preserve">(b) </w:t>
      </w:r>
      <w:r w:rsidRPr="004757B9">
        <w:rPr>
          <w:rFonts w:ascii="Arial" w:hAnsi="Arial" w:cs="Arial"/>
          <w:sz w:val="23"/>
          <w:szCs w:val="23"/>
        </w:rPr>
        <w:tab/>
        <w:t>appreciation of issues, trends, and developments, in other countries and internationally, affecting the priority area in question, and the relevance of those issues, trends, or developments for New Zealand:</w:t>
      </w:r>
    </w:p>
    <w:p w:rsidR="004757B9" w:rsidRPr="004757B9" w:rsidRDefault="004757B9" w:rsidP="004757B9">
      <w:pPr>
        <w:shd w:val="clear" w:color="auto" w:fill="FFFFFF"/>
        <w:jc w:val="both"/>
        <w:outlineLvl w:val="5"/>
        <w:rPr>
          <w:rFonts w:ascii="Arial" w:hAnsi="Arial" w:cs="Arial"/>
          <w:sz w:val="23"/>
          <w:szCs w:val="23"/>
        </w:rPr>
      </w:pPr>
      <w:r w:rsidRPr="004757B9">
        <w:rPr>
          <w:rFonts w:ascii="Arial" w:hAnsi="Arial" w:cs="Arial"/>
          <w:sz w:val="23"/>
          <w:szCs w:val="23"/>
        </w:rPr>
        <w:t xml:space="preserve">(c) </w:t>
      </w:r>
      <w:r w:rsidRPr="004757B9">
        <w:rPr>
          <w:rFonts w:ascii="Arial" w:hAnsi="Arial" w:cs="Arial"/>
          <w:sz w:val="23"/>
          <w:szCs w:val="23"/>
        </w:rPr>
        <w:tab/>
        <w:t xml:space="preserve">ability to perform the functions stated in </w:t>
      </w:r>
      <w:bookmarkStart w:id="5" w:name="DLM304415"/>
      <w:r w:rsidRPr="004757B9">
        <w:rPr>
          <w:rFonts w:ascii="Arial" w:hAnsi="Arial" w:cs="Arial"/>
          <w:sz w:val="23"/>
          <w:szCs w:val="23"/>
        </w:rPr>
        <w:fldChar w:fldCharType="begin"/>
      </w:r>
      <w:r w:rsidRPr="004757B9">
        <w:rPr>
          <w:rFonts w:ascii="Arial" w:hAnsi="Arial" w:cs="Arial"/>
          <w:sz w:val="23"/>
          <w:szCs w:val="23"/>
        </w:rPr>
        <w:instrText xml:space="preserve"> HYPERLINK "http://www.legislation.govt.nz/act/public/1993/0082/latest/link.aspx?id=DLM304415" \l "DLM304415" </w:instrText>
      </w:r>
      <w:r w:rsidRPr="004757B9">
        <w:rPr>
          <w:rFonts w:ascii="Arial" w:hAnsi="Arial" w:cs="Arial"/>
          <w:sz w:val="23"/>
          <w:szCs w:val="23"/>
        </w:rPr>
        <w:fldChar w:fldCharType="separate"/>
      </w:r>
      <w:r w:rsidRPr="004757B9">
        <w:rPr>
          <w:rStyle w:val="Hyperlink"/>
          <w:rFonts w:ascii="Arial" w:hAnsi="Arial" w:cs="Arial"/>
          <w:color w:val="auto"/>
          <w:sz w:val="23"/>
          <w:szCs w:val="23"/>
          <w:u w:val="none"/>
        </w:rPr>
        <w:t>section 16</w:t>
      </w:r>
      <w:r w:rsidRPr="004757B9">
        <w:rPr>
          <w:rFonts w:ascii="Arial" w:hAnsi="Arial" w:cs="Arial"/>
          <w:sz w:val="23"/>
          <w:szCs w:val="23"/>
        </w:rPr>
        <w:fldChar w:fldCharType="end"/>
      </w:r>
      <w:bookmarkEnd w:id="5"/>
      <w:r w:rsidRPr="004757B9">
        <w:rPr>
          <w:rFonts w:ascii="Arial" w:hAnsi="Arial" w:cs="Arial"/>
          <w:sz w:val="23"/>
          <w:szCs w:val="23"/>
        </w:rPr>
        <w:t>.</w:t>
      </w:r>
    </w:p>
    <w:p w:rsidR="004757B9" w:rsidRPr="004757B9" w:rsidRDefault="004757B9" w:rsidP="004757B9">
      <w:pPr>
        <w:tabs>
          <w:tab w:val="left" w:pos="1701"/>
          <w:tab w:val="left" w:pos="1980"/>
          <w:tab w:val="left" w:pos="3690"/>
        </w:tabs>
        <w:jc w:val="both"/>
        <w:rPr>
          <w:rFonts w:ascii="Arial" w:hAnsi="Arial" w:cs="Arial"/>
          <w:b/>
          <w:snapToGrid w:val="0"/>
          <w:sz w:val="23"/>
          <w:szCs w:val="23"/>
          <w:lang w:val="en-US" w:eastAsia="en-US"/>
        </w:rPr>
      </w:pPr>
    </w:p>
    <w:p w:rsidR="004757B9" w:rsidRDefault="004757B9" w:rsidP="004757B9">
      <w:pPr>
        <w:tabs>
          <w:tab w:val="left" w:pos="567"/>
          <w:tab w:val="left" w:pos="1134"/>
          <w:tab w:val="left" w:pos="1980"/>
          <w:tab w:val="left" w:pos="3690"/>
        </w:tabs>
        <w:jc w:val="both"/>
        <w:rPr>
          <w:rFonts w:ascii="Arial" w:hAnsi="Arial" w:cs="Arial"/>
          <w:b/>
          <w:snapToGrid w:val="0"/>
          <w:sz w:val="23"/>
          <w:szCs w:val="23"/>
          <w:lang w:val="en-US" w:eastAsia="en-US"/>
        </w:rPr>
      </w:pPr>
      <w:r>
        <w:rPr>
          <w:rFonts w:ascii="Arial" w:hAnsi="Arial" w:cs="Arial"/>
          <w:b/>
          <w:snapToGrid w:val="0"/>
          <w:sz w:val="23"/>
          <w:szCs w:val="23"/>
          <w:lang w:val="en-US" w:eastAsia="en-US"/>
        </w:rPr>
        <w:t>Functions of the Race Relations Commissioner</w:t>
      </w:r>
    </w:p>
    <w:p w:rsidR="004757B9" w:rsidRDefault="004757B9" w:rsidP="004757B9">
      <w:pPr>
        <w:tabs>
          <w:tab w:val="left" w:pos="567"/>
          <w:tab w:val="left" w:pos="1134"/>
          <w:tab w:val="left" w:pos="1980"/>
          <w:tab w:val="left" w:pos="3690"/>
        </w:tabs>
        <w:jc w:val="both"/>
        <w:rPr>
          <w:rFonts w:ascii="Arial" w:hAnsi="Arial" w:cs="Arial"/>
          <w:color w:val="000000" w:themeColor="text1"/>
          <w:sz w:val="23"/>
          <w:szCs w:val="23"/>
        </w:rPr>
      </w:pPr>
      <w:r>
        <w:rPr>
          <w:rFonts w:ascii="Arial" w:hAnsi="Arial" w:cs="Arial"/>
          <w:bCs/>
          <w:color w:val="000000" w:themeColor="text1"/>
          <w:sz w:val="23"/>
          <w:szCs w:val="23"/>
        </w:rPr>
        <w:t>Section 16 of the Act provides a</w:t>
      </w:r>
      <w:r>
        <w:rPr>
          <w:rFonts w:ascii="Arial" w:hAnsi="Arial" w:cs="Arial"/>
          <w:color w:val="000000" w:themeColor="text1"/>
          <w:sz w:val="23"/>
          <w:szCs w:val="23"/>
        </w:rPr>
        <w:t xml:space="preserve"> Commissioner who is appointed or designated to lead the work of the Commission in a priority area under </w:t>
      </w:r>
      <w:hyperlink r:id="rId6" w:anchor="DLM304289" w:history="1">
        <w:r w:rsidRPr="00C10CDF">
          <w:rPr>
            <w:rStyle w:val="Hyperlink"/>
            <w:rFonts w:ascii="Arial" w:hAnsi="Arial" w:cs="Arial"/>
            <w:color w:val="000000" w:themeColor="text1"/>
            <w:sz w:val="23"/>
            <w:szCs w:val="23"/>
            <w:u w:val="none"/>
          </w:rPr>
          <w:t>s</w:t>
        </w:r>
        <w:r w:rsidRPr="004757B9">
          <w:rPr>
            <w:rStyle w:val="Hyperlink"/>
            <w:rFonts w:ascii="Arial" w:hAnsi="Arial" w:cs="Arial"/>
            <w:color w:val="000000" w:themeColor="text1"/>
            <w:sz w:val="23"/>
            <w:szCs w:val="23"/>
            <w:u w:val="none"/>
          </w:rPr>
          <w:t>ection 8(1A) or (1B)</w:t>
        </w:r>
      </w:hyperlink>
      <w:r>
        <w:rPr>
          <w:rFonts w:ascii="Arial" w:hAnsi="Arial" w:cs="Arial"/>
          <w:color w:val="000000" w:themeColor="text1"/>
          <w:sz w:val="23"/>
          <w:szCs w:val="23"/>
        </w:rPr>
        <w:t xml:space="preserve"> has the following additional functions:</w:t>
      </w:r>
    </w:p>
    <w:p w:rsidR="004757B9" w:rsidRDefault="004757B9" w:rsidP="004757B9">
      <w:pPr>
        <w:shd w:val="clear" w:color="auto" w:fill="FFFFFF"/>
        <w:spacing w:line="288" w:lineRule="atLeast"/>
        <w:ind w:left="720" w:hanging="720"/>
        <w:jc w:val="both"/>
        <w:outlineLvl w:val="5"/>
        <w:rPr>
          <w:rFonts w:ascii="Arial" w:hAnsi="Arial" w:cs="Arial"/>
          <w:color w:val="000000" w:themeColor="text1"/>
          <w:sz w:val="23"/>
          <w:szCs w:val="23"/>
        </w:rPr>
      </w:pPr>
      <w:r>
        <w:rPr>
          <w:rFonts w:ascii="Arial" w:hAnsi="Arial" w:cs="Arial"/>
          <w:color w:val="000000" w:themeColor="text1"/>
          <w:sz w:val="23"/>
          <w:szCs w:val="23"/>
        </w:rPr>
        <w:t xml:space="preserve">(a) </w:t>
      </w:r>
      <w:r>
        <w:rPr>
          <w:rFonts w:ascii="Arial" w:hAnsi="Arial" w:cs="Arial"/>
          <w:color w:val="000000" w:themeColor="text1"/>
          <w:sz w:val="23"/>
          <w:szCs w:val="23"/>
        </w:rPr>
        <w:tab/>
        <w:t>to lead discussions of the Commission in relation to that priority area of work:</w:t>
      </w:r>
    </w:p>
    <w:p w:rsidR="004757B9" w:rsidRDefault="004757B9" w:rsidP="004757B9">
      <w:pPr>
        <w:shd w:val="clear" w:color="auto" w:fill="FFFFFF"/>
        <w:spacing w:line="288" w:lineRule="atLeast"/>
        <w:ind w:left="720" w:hanging="720"/>
        <w:jc w:val="both"/>
        <w:outlineLvl w:val="5"/>
        <w:rPr>
          <w:rFonts w:ascii="Arial" w:hAnsi="Arial" w:cs="Arial"/>
          <w:color w:val="000000" w:themeColor="text1"/>
          <w:sz w:val="23"/>
          <w:szCs w:val="23"/>
        </w:rPr>
      </w:pPr>
      <w:r>
        <w:rPr>
          <w:rFonts w:ascii="Arial" w:hAnsi="Arial" w:cs="Arial"/>
          <w:color w:val="000000" w:themeColor="text1"/>
          <w:sz w:val="23"/>
          <w:szCs w:val="23"/>
        </w:rPr>
        <w:t xml:space="preserve">(b) </w:t>
      </w:r>
      <w:r>
        <w:rPr>
          <w:rFonts w:ascii="Arial" w:hAnsi="Arial" w:cs="Arial"/>
          <w:color w:val="000000" w:themeColor="text1"/>
          <w:sz w:val="23"/>
          <w:szCs w:val="23"/>
        </w:rPr>
        <w:tab/>
        <w:t xml:space="preserve">to provide advice and leadership on matters in that priority area of work that arise </w:t>
      </w:r>
      <w:proofErr w:type="gramStart"/>
      <w:r>
        <w:rPr>
          <w:rFonts w:ascii="Arial" w:hAnsi="Arial" w:cs="Arial"/>
          <w:color w:val="000000" w:themeColor="text1"/>
          <w:sz w:val="23"/>
          <w:szCs w:val="23"/>
        </w:rPr>
        <w:t>in the course of</w:t>
      </w:r>
      <w:proofErr w:type="gramEnd"/>
      <w:r>
        <w:rPr>
          <w:rFonts w:ascii="Arial" w:hAnsi="Arial" w:cs="Arial"/>
          <w:color w:val="000000" w:themeColor="text1"/>
          <w:sz w:val="23"/>
          <w:szCs w:val="23"/>
        </w:rPr>
        <w:t xml:space="preserve"> activities undertaken in the performance of the Commission’s functions, both when engaging in those activities and when consulted:</w:t>
      </w:r>
    </w:p>
    <w:p w:rsidR="004757B9" w:rsidRDefault="004757B9" w:rsidP="004757B9">
      <w:pPr>
        <w:shd w:val="clear" w:color="auto" w:fill="FFFFFF"/>
        <w:spacing w:line="288" w:lineRule="atLeast"/>
        <w:jc w:val="both"/>
        <w:outlineLvl w:val="5"/>
        <w:rPr>
          <w:rFonts w:ascii="Arial" w:hAnsi="Arial" w:cs="Arial"/>
          <w:color w:val="000000" w:themeColor="text1"/>
          <w:sz w:val="23"/>
          <w:szCs w:val="23"/>
        </w:rPr>
      </w:pPr>
      <w:r>
        <w:rPr>
          <w:rFonts w:ascii="Arial" w:hAnsi="Arial" w:cs="Arial"/>
          <w:color w:val="000000" w:themeColor="text1"/>
          <w:sz w:val="23"/>
          <w:szCs w:val="23"/>
        </w:rPr>
        <w:t xml:space="preserve">(c) </w:t>
      </w:r>
      <w:r>
        <w:rPr>
          <w:rFonts w:ascii="Arial" w:hAnsi="Arial" w:cs="Arial"/>
          <w:color w:val="000000" w:themeColor="text1"/>
          <w:sz w:val="23"/>
          <w:szCs w:val="23"/>
        </w:rPr>
        <w:tab/>
        <w:t>to contribute to the public debate on matters in that priority area of work:</w:t>
      </w:r>
    </w:p>
    <w:p w:rsidR="004757B9" w:rsidRDefault="004757B9" w:rsidP="004757B9">
      <w:pPr>
        <w:shd w:val="clear" w:color="auto" w:fill="FFFFFF"/>
        <w:spacing w:line="288" w:lineRule="atLeast"/>
        <w:ind w:left="720" w:hanging="720"/>
        <w:jc w:val="both"/>
        <w:outlineLvl w:val="5"/>
        <w:rPr>
          <w:rFonts w:ascii="Arial" w:hAnsi="Arial" w:cs="Arial"/>
          <w:color w:val="000000" w:themeColor="text1"/>
          <w:sz w:val="23"/>
          <w:szCs w:val="23"/>
        </w:rPr>
      </w:pPr>
      <w:r>
        <w:rPr>
          <w:rFonts w:ascii="Arial" w:hAnsi="Arial" w:cs="Arial"/>
          <w:color w:val="000000" w:themeColor="text1"/>
          <w:sz w:val="23"/>
          <w:szCs w:val="23"/>
        </w:rPr>
        <w:t xml:space="preserve">(d) </w:t>
      </w:r>
      <w:r>
        <w:rPr>
          <w:rFonts w:ascii="Arial" w:hAnsi="Arial" w:cs="Arial"/>
          <w:color w:val="000000" w:themeColor="text1"/>
          <w:sz w:val="23"/>
          <w:szCs w:val="23"/>
        </w:rPr>
        <w:tab/>
        <w:t>any other functions or duties conferred or imposed upon him or her by or under this Act or any other enactment.</w:t>
      </w:r>
    </w:p>
    <w:p w:rsidR="004757B9" w:rsidRDefault="004757B9" w:rsidP="004757B9">
      <w:pPr>
        <w:ind w:left="720" w:hanging="720"/>
        <w:jc w:val="both"/>
        <w:rPr>
          <w:rFonts w:ascii="Arial" w:hAnsi="Arial" w:cs="Arial"/>
          <w:color w:val="000000" w:themeColor="text1"/>
          <w:sz w:val="23"/>
          <w:szCs w:val="23"/>
        </w:rPr>
      </w:pPr>
      <w:r>
        <w:rPr>
          <w:rFonts w:ascii="Arial" w:hAnsi="Arial" w:cs="Arial"/>
          <w:color w:val="000000" w:themeColor="text1"/>
          <w:sz w:val="23"/>
          <w:szCs w:val="23"/>
        </w:rPr>
        <w:t>(e)</w:t>
      </w:r>
      <w:r>
        <w:rPr>
          <w:rFonts w:ascii="Arial" w:hAnsi="Arial" w:cs="Arial"/>
          <w:color w:val="000000" w:themeColor="text1"/>
          <w:sz w:val="23"/>
          <w:szCs w:val="23"/>
        </w:rPr>
        <w:tab/>
        <w:t>any other functions, powers, or duties conferred or imposed on him or her by or under this Act or any other enactment.</w:t>
      </w:r>
    </w:p>
    <w:p w:rsidR="004757B9" w:rsidRDefault="004757B9" w:rsidP="004757B9">
      <w:pPr>
        <w:tabs>
          <w:tab w:val="left" w:pos="450"/>
          <w:tab w:val="left" w:pos="900"/>
          <w:tab w:val="left" w:pos="990"/>
          <w:tab w:val="left" w:pos="1350"/>
          <w:tab w:val="left" w:pos="1701"/>
          <w:tab w:val="left" w:pos="1800"/>
          <w:tab w:val="left" w:pos="1980"/>
          <w:tab w:val="left" w:pos="3690"/>
        </w:tabs>
        <w:jc w:val="both"/>
        <w:rPr>
          <w:rFonts w:ascii="Arial" w:hAnsi="Arial" w:cs="Arial"/>
          <w:snapToGrid w:val="0"/>
          <w:color w:val="000000" w:themeColor="text1"/>
          <w:sz w:val="23"/>
          <w:szCs w:val="23"/>
          <w:lang w:val="en-US" w:eastAsia="en-US"/>
        </w:rPr>
      </w:pPr>
    </w:p>
    <w:p w:rsidR="004757B9" w:rsidRDefault="004757B9" w:rsidP="004757B9">
      <w:pPr>
        <w:spacing w:after="200" w:line="276" w:lineRule="auto"/>
        <w:rPr>
          <w:rFonts w:ascii="Arial" w:hAnsi="Arial" w:cs="Arial"/>
          <w:b/>
          <w:sz w:val="23"/>
          <w:szCs w:val="23"/>
          <w:lang w:val="en-GB"/>
        </w:rPr>
      </w:pPr>
      <w:r>
        <w:rPr>
          <w:rFonts w:ascii="Arial" w:hAnsi="Arial" w:cs="Arial"/>
          <w:b/>
          <w:sz w:val="23"/>
          <w:szCs w:val="23"/>
          <w:lang w:val="en-GB"/>
        </w:rPr>
        <w:br w:type="page"/>
      </w:r>
    </w:p>
    <w:p w:rsidR="004757B9" w:rsidRPr="004757B9" w:rsidRDefault="004757B9" w:rsidP="004757B9">
      <w:pPr>
        <w:spacing w:line="276" w:lineRule="auto"/>
        <w:jc w:val="center"/>
        <w:rPr>
          <w:rFonts w:ascii="Arial" w:hAnsi="Arial" w:cs="Arial"/>
          <w:b/>
          <w:sz w:val="26"/>
          <w:szCs w:val="26"/>
        </w:rPr>
      </w:pPr>
      <w:r w:rsidRPr="004757B9">
        <w:rPr>
          <w:rFonts w:ascii="Arial" w:hAnsi="Arial" w:cs="Arial"/>
          <w:b/>
          <w:sz w:val="26"/>
          <w:szCs w:val="26"/>
        </w:rPr>
        <w:lastRenderedPageBreak/>
        <w:t xml:space="preserve">RACE RELATIONS COMMISSIONER – TE TOIHAU WHAKAWHANAUNGA Ā-IWI </w:t>
      </w:r>
    </w:p>
    <w:p w:rsidR="004757B9" w:rsidRDefault="004757B9" w:rsidP="004757B9">
      <w:pPr>
        <w:spacing w:line="276" w:lineRule="auto"/>
        <w:jc w:val="center"/>
        <w:rPr>
          <w:rFonts w:ascii="Arial" w:hAnsi="Arial" w:cs="Arial"/>
          <w:szCs w:val="24"/>
        </w:rPr>
      </w:pPr>
    </w:p>
    <w:p w:rsidR="004757B9" w:rsidRDefault="004757B9" w:rsidP="004757B9">
      <w:pPr>
        <w:spacing w:before="120" w:after="120"/>
        <w:jc w:val="center"/>
        <w:rPr>
          <w:rFonts w:ascii="Arial" w:hAnsi="Arial" w:cs="Arial"/>
          <w:b/>
          <w:sz w:val="23"/>
          <w:szCs w:val="23"/>
          <w:lang w:val="en-GB"/>
        </w:rPr>
      </w:pPr>
      <w:r>
        <w:rPr>
          <w:rFonts w:ascii="Arial" w:hAnsi="Arial" w:cs="Arial"/>
          <w:b/>
          <w:sz w:val="23"/>
          <w:szCs w:val="23"/>
          <w:lang w:val="en-GB"/>
        </w:rPr>
        <w:t>KEY COMPETENCIES</w:t>
      </w:r>
    </w:p>
    <w:p w:rsidR="004757B9" w:rsidRDefault="004757B9" w:rsidP="004757B9">
      <w:pPr>
        <w:spacing w:before="120" w:after="120"/>
        <w:jc w:val="center"/>
        <w:rPr>
          <w:rFonts w:ascii="Arial" w:hAnsi="Arial" w:cs="Arial"/>
          <w:b/>
          <w:sz w:val="23"/>
          <w:szCs w:val="23"/>
          <w:lang w:val="en-GB"/>
        </w:rPr>
      </w:pPr>
    </w:p>
    <w:p w:rsidR="004757B9" w:rsidRDefault="004757B9" w:rsidP="004757B9">
      <w:pPr>
        <w:jc w:val="both"/>
        <w:rPr>
          <w:rFonts w:ascii="Arial" w:hAnsi="Arial" w:cs="Arial"/>
          <w:sz w:val="23"/>
          <w:szCs w:val="23"/>
        </w:rPr>
      </w:pPr>
    </w:p>
    <w:p w:rsidR="004757B9" w:rsidRDefault="004757B9" w:rsidP="004757B9">
      <w:pPr>
        <w:pStyle w:val="Tablebullet"/>
        <w:numPr>
          <w:ilvl w:val="0"/>
          <w:numId w:val="6"/>
        </w:numPr>
        <w:tabs>
          <w:tab w:val="left" w:pos="426"/>
        </w:tabs>
        <w:spacing w:line="360" w:lineRule="auto"/>
        <w:ind w:hanging="720"/>
        <w:rPr>
          <w:rFonts w:ascii="Arial" w:hAnsi="Arial" w:cs="Arial"/>
          <w:b/>
          <w:szCs w:val="24"/>
        </w:rPr>
      </w:pPr>
      <w:r>
        <w:rPr>
          <w:rFonts w:ascii="Arial" w:hAnsi="Arial" w:cs="Arial"/>
          <w:b/>
          <w:szCs w:val="24"/>
        </w:rPr>
        <w:t>Relevant professional qualifications or experience</w:t>
      </w:r>
    </w:p>
    <w:p w:rsidR="004757B9" w:rsidRDefault="004757B9" w:rsidP="004757B9">
      <w:pPr>
        <w:pStyle w:val="Tablebullet"/>
        <w:numPr>
          <w:ilvl w:val="0"/>
          <w:numId w:val="6"/>
        </w:numPr>
        <w:tabs>
          <w:tab w:val="left" w:pos="426"/>
        </w:tabs>
        <w:spacing w:line="360" w:lineRule="auto"/>
        <w:ind w:hanging="720"/>
        <w:rPr>
          <w:rFonts w:ascii="Arial" w:hAnsi="Arial" w:cs="Arial"/>
          <w:b/>
          <w:szCs w:val="24"/>
        </w:rPr>
      </w:pPr>
      <w:r>
        <w:rPr>
          <w:rFonts w:ascii="Arial" w:hAnsi="Arial" w:cs="Arial"/>
          <w:b/>
          <w:szCs w:val="24"/>
        </w:rPr>
        <w:t>Appreciation of human rights and race relations issues</w:t>
      </w:r>
    </w:p>
    <w:p w:rsidR="004757B9" w:rsidRDefault="004757B9" w:rsidP="004757B9">
      <w:pPr>
        <w:pStyle w:val="Tablebullet"/>
        <w:numPr>
          <w:ilvl w:val="0"/>
          <w:numId w:val="6"/>
        </w:numPr>
        <w:tabs>
          <w:tab w:val="left" w:pos="426"/>
        </w:tabs>
        <w:spacing w:line="360" w:lineRule="auto"/>
        <w:ind w:hanging="720"/>
        <w:rPr>
          <w:rFonts w:ascii="Arial" w:hAnsi="Arial" w:cs="Arial"/>
          <w:b/>
          <w:szCs w:val="24"/>
        </w:rPr>
      </w:pPr>
      <w:r>
        <w:rPr>
          <w:rFonts w:ascii="Arial" w:hAnsi="Arial" w:cs="Arial"/>
          <w:b/>
          <w:szCs w:val="24"/>
        </w:rPr>
        <w:t xml:space="preserve">Governance </w:t>
      </w:r>
      <w:r w:rsidR="0044022D">
        <w:rPr>
          <w:rFonts w:ascii="Arial" w:hAnsi="Arial" w:cs="Arial"/>
          <w:b/>
          <w:szCs w:val="24"/>
        </w:rPr>
        <w:t>s</w:t>
      </w:r>
      <w:r>
        <w:rPr>
          <w:rFonts w:ascii="Arial" w:hAnsi="Arial" w:cs="Arial"/>
          <w:b/>
          <w:szCs w:val="24"/>
        </w:rPr>
        <w:t>kills</w:t>
      </w:r>
    </w:p>
    <w:p w:rsidR="004757B9" w:rsidRDefault="004757B9" w:rsidP="004757B9">
      <w:pPr>
        <w:pStyle w:val="Tablebullet"/>
        <w:numPr>
          <w:ilvl w:val="0"/>
          <w:numId w:val="6"/>
        </w:numPr>
        <w:tabs>
          <w:tab w:val="left" w:pos="426"/>
        </w:tabs>
        <w:spacing w:line="360" w:lineRule="auto"/>
        <w:ind w:hanging="720"/>
        <w:rPr>
          <w:rFonts w:ascii="Arial" w:hAnsi="Arial" w:cs="Arial"/>
          <w:b/>
          <w:szCs w:val="24"/>
        </w:rPr>
      </w:pPr>
      <w:r>
        <w:rPr>
          <w:rFonts w:ascii="Arial" w:hAnsi="Arial" w:cs="Arial"/>
          <w:b/>
          <w:szCs w:val="24"/>
        </w:rPr>
        <w:t>Relationship managements</w:t>
      </w:r>
    </w:p>
    <w:p w:rsidR="004757B9" w:rsidRDefault="004757B9" w:rsidP="004757B9">
      <w:pPr>
        <w:spacing w:line="360" w:lineRule="auto"/>
        <w:jc w:val="both"/>
        <w:rPr>
          <w:rFonts w:ascii="Arial" w:hAnsi="Arial" w:cs="Arial"/>
          <w:sz w:val="23"/>
          <w:szCs w:val="23"/>
        </w:rPr>
      </w:pPr>
    </w:p>
    <w:p w:rsidR="004757B9" w:rsidRDefault="004757B9" w:rsidP="004757B9">
      <w:pPr>
        <w:rPr>
          <w:rFonts w:ascii="Arial" w:hAnsi="Arial" w:cs="Arial"/>
          <w:sz w:val="23"/>
          <w:szCs w:val="23"/>
        </w:rPr>
      </w:pPr>
      <w:r>
        <w:rPr>
          <w:rFonts w:ascii="Arial" w:hAnsi="Arial" w:cs="Arial"/>
          <w:sz w:val="23"/>
          <w:szCs w:val="23"/>
        </w:rPr>
        <w:t>The successful applicants will have/be able to demonstrate:</w:t>
      </w:r>
    </w:p>
    <w:p w:rsidR="004757B9" w:rsidRDefault="004757B9" w:rsidP="004757B9">
      <w:pPr>
        <w:rPr>
          <w:rFonts w:ascii="Arial" w:hAnsi="Arial" w:cs="Arial"/>
          <w:sz w:val="23"/>
          <w:szCs w:val="23"/>
        </w:rPr>
      </w:pPr>
    </w:p>
    <w:p w:rsidR="004757B9" w:rsidRDefault="004757B9" w:rsidP="004757B9">
      <w:pPr>
        <w:pStyle w:val="Heading2"/>
        <w:rPr>
          <w:rFonts w:ascii="Arial" w:hAnsi="Arial" w:cs="Arial"/>
          <w:i w:val="0"/>
          <w:sz w:val="23"/>
          <w:szCs w:val="23"/>
        </w:rPr>
      </w:pPr>
      <w:r>
        <w:rPr>
          <w:rFonts w:ascii="Arial" w:hAnsi="Arial" w:cs="Arial"/>
          <w:i w:val="0"/>
          <w:sz w:val="23"/>
          <w:szCs w:val="23"/>
        </w:rPr>
        <w:t>Relevant professional qualifications or experience</w:t>
      </w:r>
    </w:p>
    <w:p w:rsidR="004757B9" w:rsidRDefault="004757B9" w:rsidP="004757B9">
      <w:pPr>
        <w:pStyle w:val="Tablebullet"/>
        <w:numPr>
          <w:ilvl w:val="0"/>
          <w:numId w:val="7"/>
        </w:numPr>
        <w:jc w:val="both"/>
        <w:rPr>
          <w:rFonts w:ascii="Arial" w:hAnsi="Arial" w:cs="Arial"/>
          <w:sz w:val="23"/>
          <w:szCs w:val="23"/>
        </w:rPr>
      </w:pPr>
      <w:r>
        <w:rPr>
          <w:rFonts w:ascii="Arial" w:hAnsi="Arial" w:cs="Arial"/>
          <w:sz w:val="23"/>
          <w:szCs w:val="23"/>
        </w:rPr>
        <w:t>A tertiary qualification in a relevant discipline or comparable career experience.</w:t>
      </w:r>
    </w:p>
    <w:p w:rsidR="004757B9" w:rsidRDefault="004757B9" w:rsidP="004757B9">
      <w:pPr>
        <w:pStyle w:val="Tablebullet"/>
        <w:numPr>
          <w:ilvl w:val="0"/>
          <w:numId w:val="7"/>
        </w:numPr>
        <w:jc w:val="both"/>
        <w:rPr>
          <w:rFonts w:ascii="Arial" w:hAnsi="Arial" w:cs="Arial"/>
          <w:snapToGrid w:val="0"/>
          <w:sz w:val="23"/>
          <w:szCs w:val="23"/>
          <w:lang w:val="en-US" w:eastAsia="en-US"/>
        </w:rPr>
      </w:pPr>
      <w:r>
        <w:rPr>
          <w:rFonts w:ascii="Arial" w:hAnsi="Arial" w:cs="Arial"/>
          <w:sz w:val="23"/>
          <w:szCs w:val="23"/>
        </w:rPr>
        <w:t>Career experience at a senior level reflecting good judgement, integrity and impartiality</w:t>
      </w:r>
      <w:r>
        <w:rPr>
          <w:rFonts w:ascii="Arial" w:hAnsi="Arial" w:cs="Arial"/>
          <w:snapToGrid w:val="0"/>
          <w:sz w:val="23"/>
          <w:szCs w:val="23"/>
          <w:lang w:val="en-US" w:eastAsia="en-US"/>
        </w:rPr>
        <w:t>.</w:t>
      </w:r>
    </w:p>
    <w:p w:rsidR="004757B9" w:rsidRDefault="004757B9" w:rsidP="004757B9">
      <w:pPr>
        <w:pStyle w:val="Tablebullet"/>
        <w:numPr>
          <w:ilvl w:val="0"/>
          <w:numId w:val="7"/>
        </w:numPr>
        <w:jc w:val="both"/>
        <w:rPr>
          <w:rFonts w:ascii="Arial" w:hAnsi="Arial" w:cs="Arial"/>
          <w:color w:val="000000"/>
          <w:sz w:val="23"/>
          <w:szCs w:val="23"/>
        </w:rPr>
      </w:pPr>
      <w:r>
        <w:rPr>
          <w:rFonts w:ascii="Arial" w:hAnsi="Arial" w:cs="Arial"/>
          <w:sz w:val="23"/>
          <w:szCs w:val="23"/>
        </w:rPr>
        <w:t>Analytical skill and demonstrable clarity of thought.</w:t>
      </w:r>
    </w:p>
    <w:p w:rsidR="004757B9" w:rsidRDefault="004757B9" w:rsidP="004757B9">
      <w:pPr>
        <w:pStyle w:val="Tablebullet"/>
        <w:numPr>
          <w:ilvl w:val="0"/>
          <w:numId w:val="7"/>
        </w:numPr>
        <w:jc w:val="both"/>
        <w:rPr>
          <w:rFonts w:ascii="Arial" w:hAnsi="Arial" w:cs="Arial"/>
          <w:color w:val="000000"/>
          <w:sz w:val="23"/>
          <w:szCs w:val="23"/>
        </w:rPr>
      </w:pPr>
      <w:r>
        <w:rPr>
          <w:rFonts w:ascii="Arial" w:hAnsi="Arial" w:cs="Arial"/>
          <w:sz w:val="23"/>
          <w:szCs w:val="23"/>
        </w:rPr>
        <w:t>Ability to write clearly and concisely.</w:t>
      </w:r>
    </w:p>
    <w:p w:rsidR="004757B9" w:rsidRDefault="004757B9" w:rsidP="004757B9">
      <w:pPr>
        <w:pStyle w:val="Tablebullet"/>
        <w:numPr>
          <w:ilvl w:val="0"/>
          <w:numId w:val="7"/>
        </w:numPr>
        <w:jc w:val="both"/>
        <w:rPr>
          <w:rFonts w:ascii="Arial" w:hAnsi="Arial" w:cs="Arial"/>
          <w:color w:val="000000"/>
          <w:sz w:val="23"/>
          <w:szCs w:val="23"/>
        </w:rPr>
      </w:pPr>
      <w:r>
        <w:rPr>
          <w:rFonts w:ascii="Arial" w:hAnsi="Arial" w:cs="Arial"/>
          <w:sz w:val="23"/>
          <w:szCs w:val="23"/>
        </w:rPr>
        <w:t>Experience in advocacy or public education.</w:t>
      </w:r>
    </w:p>
    <w:p w:rsidR="004757B9" w:rsidRDefault="004757B9" w:rsidP="004757B9">
      <w:pPr>
        <w:pStyle w:val="Tablebullet"/>
        <w:numPr>
          <w:ilvl w:val="0"/>
          <w:numId w:val="7"/>
        </w:numPr>
        <w:jc w:val="both"/>
        <w:rPr>
          <w:rFonts w:ascii="Arial" w:hAnsi="Arial" w:cs="Arial"/>
          <w:color w:val="000000"/>
          <w:sz w:val="23"/>
          <w:szCs w:val="23"/>
        </w:rPr>
      </w:pPr>
      <w:r>
        <w:rPr>
          <w:rFonts w:ascii="Arial" w:hAnsi="Arial" w:cs="Arial"/>
          <w:sz w:val="23"/>
          <w:szCs w:val="23"/>
        </w:rPr>
        <w:t>Experience in governance.</w:t>
      </w:r>
    </w:p>
    <w:p w:rsidR="004757B9" w:rsidRDefault="004757B9" w:rsidP="004757B9">
      <w:pPr>
        <w:pStyle w:val="Tablebullet"/>
        <w:numPr>
          <w:ilvl w:val="0"/>
          <w:numId w:val="7"/>
        </w:numPr>
        <w:jc w:val="both"/>
        <w:rPr>
          <w:rFonts w:ascii="Arial" w:hAnsi="Arial" w:cs="Arial"/>
          <w:color w:val="000000"/>
          <w:sz w:val="23"/>
          <w:szCs w:val="23"/>
        </w:rPr>
      </w:pPr>
      <w:r>
        <w:rPr>
          <w:rFonts w:ascii="Arial" w:hAnsi="Arial" w:cs="Arial"/>
          <w:sz w:val="23"/>
          <w:szCs w:val="23"/>
        </w:rPr>
        <w:t>Experience in working with diverse groups and familiarity with dispute resolution processes.</w:t>
      </w:r>
    </w:p>
    <w:p w:rsidR="004757B9" w:rsidRDefault="004757B9" w:rsidP="004757B9">
      <w:pPr>
        <w:rPr>
          <w:rFonts w:ascii="Arial" w:hAnsi="Arial" w:cs="Arial"/>
          <w:color w:val="000000"/>
          <w:sz w:val="23"/>
          <w:szCs w:val="23"/>
        </w:rPr>
      </w:pPr>
    </w:p>
    <w:p w:rsidR="004757B9" w:rsidRDefault="004757B9" w:rsidP="004757B9">
      <w:pPr>
        <w:pStyle w:val="Tablebullet"/>
        <w:numPr>
          <w:ilvl w:val="0"/>
          <w:numId w:val="0"/>
        </w:numPr>
        <w:tabs>
          <w:tab w:val="left" w:pos="720"/>
        </w:tabs>
        <w:rPr>
          <w:rFonts w:ascii="Arial" w:hAnsi="Arial" w:cs="Arial"/>
          <w:sz w:val="23"/>
          <w:szCs w:val="23"/>
        </w:rPr>
      </w:pPr>
      <w:r>
        <w:rPr>
          <w:rFonts w:ascii="Arial" w:hAnsi="Arial" w:cs="Arial"/>
          <w:b/>
          <w:sz w:val="23"/>
          <w:szCs w:val="23"/>
        </w:rPr>
        <w:t>Appreciation of human rights issues</w:t>
      </w:r>
    </w:p>
    <w:p w:rsidR="004757B9" w:rsidRDefault="004757B9" w:rsidP="004757B9">
      <w:pPr>
        <w:pStyle w:val="Tablebullet"/>
        <w:numPr>
          <w:ilvl w:val="0"/>
          <w:numId w:val="8"/>
        </w:numPr>
        <w:jc w:val="both"/>
        <w:rPr>
          <w:rFonts w:ascii="Arial" w:hAnsi="Arial" w:cs="Arial"/>
          <w:sz w:val="23"/>
          <w:szCs w:val="23"/>
        </w:rPr>
      </w:pPr>
      <w:r>
        <w:rPr>
          <w:rFonts w:ascii="Arial" w:hAnsi="Arial" w:cs="Arial"/>
          <w:sz w:val="23"/>
          <w:szCs w:val="23"/>
        </w:rPr>
        <w:t>Understanding of the Human Rights Act 1993, the New Zealand Bill of Rights Act 1990 and New Zealand’s obligations under various United Nations conventions.</w:t>
      </w:r>
    </w:p>
    <w:p w:rsidR="004757B9" w:rsidRDefault="004757B9" w:rsidP="004757B9">
      <w:pPr>
        <w:pStyle w:val="Tablebullet"/>
        <w:numPr>
          <w:ilvl w:val="0"/>
          <w:numId w:val="9"/>
        </w:numPr>
        <w:jc w:val="both"/>
        <w:rPr>
          <w:rFonts w:ascii="Arial" w:hAnsi="Arial" w:cs="Arial"/>
          <w:sz w:val="23"/>
          <w:szCs w:val="23"/>
        </w:rPr>
      </w:pPr>
      <w:r>
        <w:rPr>
          <w:rFonts w:ascii="Arial" w:hAnsi="Arial" w:cs="Arial"/>
          <w:sz w:val="23"/>
          <w:szCs w:val="23"/>
        </w:rPr>
        <w:t>Understanding of the Treaty of Waitangi and its contemporary application.</w:t>
      </w:r>
    </w:p>
    <w:p w:rsidR="004757B9" w:rsidRDefault="004757B9" w:rsidP="004757B9">
      <w:pPr>
        <w:pStyle w:val="Tablebullet"/>
        <w:numPr>
          <w:ilvl w:val="0"/>
          <w:numId w:val="9"/>
        </w:numPr>
        <w:jc w:val="both"/>
        <w:rPr>
          <w:rFonts w:ascii="Arial" w:hAnsi="Arial" w:cs="Arial"/>
          <w:sz w:val="23"/>
          <w:szCs w:val="23"/>
        </w:rPr>
      </w:pPr>
      <w:r>
        <w:rPr>
          <w:rFonts w:ascii="Arial" w:hAnsi="Arial" w:cs="Arial"/>
          <w:sz w:val="23"/>
          <w:szCs w:val="23"/>
        </w:rPr>
        <w:t>Appreciation of issues, trends and developments in human rights and race relations arising in other countries or internationally, and of the relevance of those issues or trends in New Zealand.</w:t>
      </w:r>
    </w:p>
    <w:p w:rsidR="004757B9" w:rsidRDefault="004757B9" w:rsidP="004757B9">
      <w:pPr>
        <w:pStyle w:val="Tablebullet"/>
        <w:numPr>
          <w:ilvl w:val="0"/>
          <w:numId w:val="10"/>
        </w:numPr>
        <w:jc w:val="both"/>
        <w:rPr>
          <w:rFonts w:ascii="Arial" w:hAnsi="Arial" w:cs="Arial"/>
          <w:sz w:val="23"/>
          <w:szCs w:val="23"/>
        </w:rPr>
      </w:pPr>
      <w:r>
        <w:rPr>
          <w:rFonts w:ascii="Arial" w:hAnsi="Arial" w:cs="Arial"/>
          <w:sz w:val="23"/>
          <w:szCs w:val="23"/>
        </w:rPr>
        <w:t>Familiarity with issues relating to indigenous, minority and disadvantaged groups.</w:t>
      </w:r>
    </w:p>
    <w:p w:rsidR="004757B9" w:rsidRDefault="004757B9" w:rsidP="004757B9">
      <w:pPr>
        <w:pStyle w:val="Tablebullet"/>
        <w:numPr>
          <w:ilvl w:val="0"/>
          <w:numId w:val="10"/>
        </w:numPr>
        <w:jc w:val="both"/>
        <w:rPr>
          <w:rFonts w:ascii="Arial" w:hAnsi="Arial" w:cs="Arial"/>
          <w:sz w:val="23"/>
          <w:szCs w:val="23"/>
        </w:rPr>
      </w:pPr>
      <w:r>
        <w:rPr>
          <w:rFonts w:ascii="Arial" w:hAnsi="Arial" w:cs="Arial"/>
          <w:sz w:val="23"/>
          <w:szCs w:val="23"/>
        </w:rPr>
        <w:t xml:space="preserve">Understanding of the issues arising from the bicultural and multicultural nature of New Zealand society, including the need for different strategies and networks to communicate successfully with Māori, </w:t>
      </w:r>
      <w:proofErr w:type="spellStart"/>
      <w:r>
        <w:rPr>
          <w:rFonts w:ascii="Arial" w:hAnsi="Arial" w:cs="Arial"/>
          <w:sz w:val="23"/>
          <w:szCs w:val="23"/>
        </w:rPr>
        <w:t>Pākehā</w:t>
      </w:r>
      <w:proofErr w:type="spellEnd"/>
      <w:r>
        <w:rPr>
          <w:rFonts w:ascii="Arial" w:hAnsi="Arial" w:cs="Arial"/>
          <w:sz w:val="23"/>
          <w:szCs w:val="23"/>
        </w:rPr>
        <w:t xml:space="preserve"> and the various minority</w:t>
      </w:r>
      <w:r w:rsidR="0044022D">
        <w:rPr>
          <w:rFonts w:ascii="Arial" w:hAnsi="Arial" w:cs="Arial"/>
          <w:sz w:val="23"/>
          <w:szCs w:val="23"/>
        </w:rPr>
        <w:t xml:space="preserve"> </w:t>
      </w:r>
      <w:r>
        <w:rPr>
          <w:rFonts w:ascii="Arial" w:hAnsi="Arial" w:cs="Arial"/>
          <w:sz w:val="23"/>
          <w:szCs w:val="23"/>
        </w:rPr>
        <w:t>ethnic communities.</w:t>
      </w:r>
    </w:p>
    <w:p w:rsidR="004757B9" w:rsidRDefault="004757B9" w:rsidP="004757B9">
      <w:pPr>
        <w:pStyle w:val="Tablebullet"/>
        <w:numPr>
          <w:ilvl w:val="0"/>
          <w:numId w:val="11"/>
        </w:numPr>
        <w:jc w:val="both"/>
        <w:rPr>
          <w:rFonts w:ascii="Arial" w:hAnsi="Arial" w:cs="Arial"/>
          <w:sz w:val="23"/>
          <w:szCs w:val="23"/>
        </w:rPr>
      </w:pPr>
      <w:r>
        <w:rPr>
          <w:rFonts w:ascii="Arial" w:hAnsi="Arial" w:cs="Arial"/>
          <w:sz w:val="23"/>
          <w:szCs w:val="23"/>
        </w:rPr>
        <w:t>Familiarity with issues facing employers and employees in a diverse workforce.</w:t>
      </w:r>
    </w:p>
    <w:p w:rsidR="004757B9" w:rsidRDefault="004757B9" w:rsidP="004757B9">
      <w:pPr>
        <w:pStyle w:val="Tablebullet"/>
        <w:numPr>
          <w:ilvl w:val="0"/>
          <w:numId w:val="11"/>
        </w:numPr>
        <w:jc w:val="both"/>
        <w:rPr>
          <w:rFonts w:ascii="Arial" w:hAnsi="Arial" w:cs="Arial"/>
          <w:sz w:val="23"/>
          <w:szCs w:val="23"/>
        </w:rPr>
      </w:pPr>
      <w:r>
        <w:rPr>
          <w:rFonts w:ascii="Arial" w:hAnsi="Arial" w:cs="Arial"/>
          <w:sz w:val="23"/>
          <w:szCs w:val="23"/>
        </w:rPr>
        <w:t>Appreciation of the key goals of Government and their relevance to significant social issues.</w:t>
      </w:r>
    </w:p>
    <w:p w:rsidR="004757B9" w:rsidRDefault="004757B9" w:rsidP="004757B9">
      <w:pPr>
        <w:rPr>
          <w:rFonts w:ascii="Arial" w:hAnsi="Arial" w:cs="Arial"/>
          <w:sz w:val="23"/>
          <w:szCs w:val="23"/>
        </w:rPr>
      </w:pPr>
    </w:p>
    <w:p w:rsidR="004757B9" w:rsidRDefault="004757B9" w:rsidP="004757B9">
      <w:pPr>
        <w:rPr>
          <w:rFonts w:ascii="Arial" w:hAnsi="Arial" w:cs="Arial"/>
          <w:sz w:val="23"/>
          <w:szCs w:val="23"/>
        </w:rPr>
      </w:pPr>
      <w:r>
        <w:rPr>
          <w:rFonts w:ascii="Arial" w:hAnsi="Arial" w:cs="Arial"/>
          <w:b/>
          <w:sz w:val="23"/>
          <w:szCs w:val="23"/>
        </w:rPr>
        <w:t>Governance Skills</w:t>
      </w:r>
    </w:p>
    <w:p w:rsidR="004757B9" w:rsidRDefault="004757B9" w:rsidP="004757B9">
      <w:pPr>
        <w:pStyle w:val="Tablebullet"/>
        <w:numPr>
          <w:ilvl w:val="0"/>
          <w:numId w:val="12"/>
        </w:numPr>
        <w:jc w:val="both"/>
        <w:rPr>
          <w:rFonts w:ascii="Arial" w:hAnsi="Arial" w:cs="Arial"/>
          <w:sz w:val="23"/>
          <w:szCs w:val="23"/>
        </w:rPr>
      </w:pPr>
      <w:r>
        <w:rPr>
          <w:rFonts w:ascii="Arial" w:hAnsi="Arial" w:cs="Arial"/>
          <w:sz w:val="23"/>
          <w:szCs w:val="23"/>
        </w:rPr>
        <w:t>The ability to provide vision and strategic leadership, to set clear policies and priorities, and to motivate staff.</w:t>
      </w:r>
    </w:p>
    <w:p w:rsidR="004757B9" w:rsidRDefault="004757B9" w:rsidP="004757B9">
      <w:pPr>
        <w:pStyle w:val="Tablebullet"/>
        <w:numPr>
          <w:ilvl w:val="0"/>
          <w:numId w:val="12"/>
        </w:numPr>
        <w:jc w:val="both"/>
        <w:rPr>
          <w:rFonts w:ascii="Arial" w:hAnsi="Arial" w:cs="Arial"/>
          <w:sz w:val="23"/>
          <w:szCs w:val="23"/>
        </w:rPr>
      </w:pPr>
      <w:r>
        <w:rPr>
          <w:rFonts w:ascii="Arial" w:hAnsi="Arial" w:cs="Arial"/>
          <w:sz w:val="23"/>
          <w:szCs w:val="23"/>
        </w:rPr>
        <w:t>An understanding of good management practices and the ability to apply these effectively to achieve organisational goals and objectives.</w:t>
      </w:r>
    </w:p>
    <w:p w:rsidR="004757B9" w:rsidRDefault="004757B9" w:rsidP="004757B9">
      <w:pPr>
        <w:pStyle w:val="Tablebullet"/>
        <w:numPr>
          <w:ilvl w:val="0"/>
          <w:numId w:val="12"/>
        </w:numPr>
        <w:jc w:val="both"/>
        <w:rPr>
          <w:rFonts w:ascii="Arial" w:hAnsi="Arial" w:cs="Arial"/>
          <w:sz w:val="23"/>
          <w:szCs w:val="23"/>
        </w:rPr>
      </w:pPr>
      <w:r>
        <w:rPr>
          <w:rFonts w:ascii="Arial" w:hAnsi="Arial" w:cs="Arial"/>
          <w:sz w:val="23"/>
          <w:szCs w:val="23"/>
        </w:rPr>
        <w:t>An appreciation of public sector management as set out in the Public Finance Act 1989.</w:t>
      </w:r>
    </w:p>
    <w:p w:rsidR="004757B9" w:rsidRDefault="004757B9" w:rsidP="004757B9">
      <w:pPr>
        <w:rPr>
          <w:rFonts w:ascii="Arial" w:hAnsi="Arial" w:cs="Arial"/>
          <w:b/>
          <w:sz w:val="23"/>
          <w:szCs w:val="23"/>
        </w:rPr>
      </w:pPr>
    </w:p>
    <w:p w:rsidR="004757B9" w:rsidRDefault="004757B9" w:rsidP="004757B9">
      <w:pPr>
        <w:spacing w:after="200" w:line="276" w:lineRule="auto"/>
        <w:rPr>
          <w:rFonts w:ascii="Arial" w:hAnsi="Arial" w:cs="Arial"/>
          <w:b/>
          <w:sz w:val="23"/>
          <w:szCs w:val="23"/>
        </w:rPr>
      </w:pPr>
      <w:r>
        <w:rPr>
          <w:rFonts w:ascii="Arial" w:hAnsi="Arial" w:cs="Arial"/>
          <w:b/>
          <w:sz w:val="23"/>
          <w:szCs w:val="23"/>
        </w:rPr>
        <w:br w:type="page"/>
      </w:r>
    </w:p>
    <w:p w:rsidR="004757B9" w:rsidRDefault="004757B9" w:rsidP="004757B9">
      <w:pPr>
        <w:rPr>
          <w:rFonts w:ascii="Arial" w:hAnsi="Arial" w:cs="Arial"/>
          <w:sz w:val="23"/>
          <w:szCs w:val="23"/>
        </w:rPr>
      </w:pPr>
      <w:r>
        <w:rPr>
          <w:rFonts w:ascii="Arial" w:hAnsi="Arial" w:cs="Arial"/>
          <w:b/>
          <w:sz w:val="23"/>
          <w:szCs w:val="23"/>
        </w:rPr>
        <w:lastRenderedPageBreak/>
        <w:t>Relationship management ability</w:t>
      </w:r>
    </w:p>
    <w:p w:rsidR="004757B9" w:rsidRDefault="004757B9" w:rsidP="004757B9">
      <w:pPr>
        <w:pStyle w:val="Tablebullet"/>
        <w:numPr>
          <w:ilvl w:val="0"/>
          <w:numId w:val="13"/>
        </w:numPr>
        <w:tabs>
          <w:tab w:val="left" w:pos="720"/>
        </w:tabs>
        <w:ind w:left="426" w:hanging="426"/>
        <w:jc w:val="both"/>
        <w:rPr>
          <w:rFonts w:ascii="Arial" w:hAnsi="Arial" w:cs="Arial"/>
          <w:sz w:val="23"/>
          <w:szCs w:val="23"/>
        </w:rPr>
      </w:pPr>
      <w:r>
        <w:rPr>
          <w:rFonts w:ascii="Arial" w:hAnsi="Arial" w:cs="Arial"/>
          <w:sz w:val="23"/>
          <w:szCs w:val="23"/>
        </w:rPr>
        <w:t>The ability to establish and maintain constructive relationships at all levels across a wide range both externally and internally.</w:t>
      </w:r>
    </w:p>
    <w:p w:rsidR="004757B9" w:rsidRDefault="004757B9" w:rsidP="004757B9">
      <w:pPr>
        <w:pStyle w:val="Tablebullet"/>
        <w:numPr>
          <w:ilvl w:val="0"/>
          <w:numId w:val="13"/>
        </w:numPr>
        <w:tabs>
          <w:tab w:val="left" w:pos="720"/>
        </w:tabs>
        <w:ind w:left="426" w:hanging="426"/>
        <w:jc w:val="both"/>
        <w:rPr>
          <w:rFonts w:ascii="Arial" w:hAnsi="Arial" w:cs="Arial"/>
          <w:sz w:val="23"/>
          <w:szCs w:val="23"/>
        </w:rPr>
      </w:pPr>
      <w:r>
        <w:rPr>
          <w:rFonts w:ascii="Arial" w:hAnsi="Arial" w:cs="Arial"/>
          <w:sz w:val="23"/>
          <w:szCs w:val="23"/>
        </w:rPr>
        <w:t xml:space="preserve">The ability to work collaboratively as part of a governance team, </w:t>
      </w:r>
      <w:proofErr w:type="gramStart"/>
      <w:r>
        <w:rPr>
          <w:rFonts w:ascii="Arial" w:hAnsi="Arial" w:cs="Arial"/>
          <w:sz w:val="23"/>
          <w:szCs w:val="23"/>
        </w:rPr>
        <w:t>taking into account</w:t>
      </w:r>
      <w:proofErr w:type="gramEnd"/>
      <w:r>
        <w:rPr>
          <w:rFonts w:ascii="Arial" w:hAnsi="Arial" w:cs="Arial"/>
          <w:sz w:val="23"/>
          <w:szCs w:val="23"/>
        </w:rPr>
        <w:t xml:space="preserve"> the interests of the whole organisation rather than the portfolio interest.</w:t>
      </w:r>
    </w:p>
    <w:p w:rsidR="004757B9" w:rsidRDefault="004757B9" w:rsidP="004757B9">
      <w:pPr>
        <w:pStyle w:val="Tablebullet"/>
        <w:numPr>
          <w:ilvl w:val="0"/>
          <w:numId w:val="13"/>
        </w:numPr>
        <w:tabs>
          <w:tab w:val="left" w:pos="720"/>
        </w:tabs>
        <w:ind w:left="426" w:hanging="426"/>
        <w:jc w:val="both"/>
        <w:rPr>
          <w:rFonts w:ascii="Arial" w:hAnsi="Arial" w:cs="Arial"/>
          <w:sz w:val="23"/>
          <w:szCs w:val="23"/>
        </w:rPr>
      </w:pPr>
      <w:r>
        <w:rPr>
          <w:rFonts w:ascii="Arial" w:hAnsi="Arial" w:cs="Arial"/>
          <w:sz w:val="23"/>
          <w:szCs w:val="23"/>
        </w:rPr>
        <w:t xml:space="preserve">Respect for the separate role of the Chief executive in managing staff members as their employer. </w:t>
      </w:r>
    </w:p>
    <w:p w:rsidR="004757B9" w:rsidRDefault="004757B9" w:rsidP="004757B9">
      <w:pPr>
        <w:pStyle w:val="Tablebullet"/>
        <w:numPr>
          <w:ilvl w:val="0"/>
          <w:numId w:val="13"/>
        </w:numPr>
        <w:tabs>
          <w:tab w:val="left" w:pos="720"/>
        </w:tabs>
        <w:ind w:left="426" w:hanging="426"/>
        <w:jc w:val="both"/>
        <w:rPr>
          <w:rFonts w:ascii="Arial" w:hAnsi="Arial" w:cs="Arial"/>
          <w:sz w:val="23"/>
          <w:szCs w:val="23"/>
        </w:rPr>
      </w:pPr>
      <w:r>
        <w:rPr>
          <w:rFonts w:ascii="Arial" w:hAnsi="Arial" w:cs="Arial"/>
          <w:sz w:val="23"/>
          <w:szCs w:val="23"/>
        </w:rPr>
        <w:t>A proven commitment to modelling a positive culture and acceptable behaviours.</w:t>
      </w:r>
    </w:p>
    <w:p w:rsidR="004757B9" w:rsidRDefault="004757B9" w:rsidP="004757B9">
      <w:pPr>
        <w:pStyle w:val="Tablebullet"/>
        <w:numPr>
          <w:ilvl w:val="0"/>
          <w:numId w:val="13"/>
        </w:numPr>
        <w:tabs>
          <w:tab w:val="left" w:pos="720"/>
        </w:tabs>
        <w:ind w:left="426" w:hanging="426"/>
        <w:jc w:val="both"/>
        <w:rPr>
          <w:rFonts w:ascii="Arial" w:hAnsi="Arial" w:cs="Arial"/>
          <w:sz w:val="23"/>
          <w:szCs w:val="23"/>
        </w:rPr>
      </w:pPr>
      <w:r>
        <w:rPr>
          <w:rFonts w:ascii="Arial" w:hAnsi="Arial" w:cs="Arial"/>
          <w:sz w:val="23"/>
          <w:szCs w:val="23"/>
        </w:rPr>
        <w:t>Having, and following effective and well-understood accountability processes.</w:t>
      </w:r>
    </w:p>
    <w:p w:rsidR="004757B9" w:rsidRDefault="004757B9" w:rsidP="004757B9">
      <w:pPr>
        <w:pStyle w:val="Tablebullet"/>
        <w:numPr>
          <w:ilvl w:val="0"/>
          <w:numId w:val="14"/>
        </w:numPr>
        <w:jc w:val="both"/>
        <w:rPr>
          <w:rFonts w:ascii="Arial" w:hAnsi="Arial" w:cs="Arial"/>
          <w:sz w:val="23"/>
          <w:szCs w:val="23"/>
        </w:rPr>
      </w:pPr>
      <w:r>
        <w:rPr>
          <w:rFonts w:ascii="Arial" w:hAnsi="Arial" w:cs="Arial"/>
          <w:sz w:val="23"/>
          <w:szCs w:val="23"/>
        </w:rPr>
        <w:t xml:space="preserve">The ability to work collegially with the Chief Commissioner and other Commissioners. </w:t>
      </w:r>
    </w:p>
    <w:p w:rsidR="004757B9" w:rsidRDefault="004757B9" w:rsidP="004757B9">
      <w:pPr>
        <w:pStyle w:val="Tablebullet"/>
        <w:numPr>
          <w:ilvl w:val="0"/>
          <w:numId w:val="14"/>
        </w:numPr>
        <w:jc w:val="both"/>
        <w:rPr>
          <w:rFonts w:ascii="Arial" w:hAnsi="Arial" w:cs="Arial"/>
          <w:sz w:val="23"/>
          <w:szCs w:val="23"/>
        </w:rPr>
      </w:pPr>
      <w:r>
        <w:rPr>
          <w:rFonts w:ascii="Arial" w:hAnsi="Arial" w:cs="Arial"/>
          <w:sz w:val="23"/>
          <w:szCs w:val="23"/>
        </w:rPr>
        <w:t xml:space="preserve">The ability to stimulate interest in, promote understanding of, and encourage action on race relations issues. </w:t>
      </w:r>
    </w:p>
    <w:p w:rsidR="004757B9" w:rsidRDefault="004757B9" w:rsidP="004757B9">
      <w:pPr>
        <w:pStyle w:val="Tablebullet"/>
        <w:numPr>
          <w:ilvl w:val="0"/>
          <w:numId w:val="14"/>
        </w:numPr>
        <w:jc w:val="both"/>
        <w:rPr>
          <w:rFonts w:ascii="Arial" w:hAnsi="Arial" w:cs="Arial"/>
          <w:sz w:val="23"/>
          <w:szCs w:val="23"/>
        </w:rPr>
      </w:pPr>
      <w:r>
        <w:rPr>
          <w:rFonts w:ascii="Arial" w:hAnsi="Arial" w:cs="Arial"/>
          <w:sz w:val="23"/>
          <w:szCs w:val="23"/>
        </w:rPr>
        <w:t>Professionalism and fairness in dealing with others.</w:t>
      </w:r>
    </w:p>
    <w:p w:rsidR="004757B9" w:rsidRDefault="004757B9" w:rsidP="004757B9">
      <w:pPr>
        <w:pStyle w:val="Tablebullet"/>
        <w:numPr>
          <w:ilvl w:val="0"/>
          <w:numId w:val="14"/>
        </w:numPr>
        <w:jc w:val="both"/>
        <w:rPr>
          <w:rFonts w:ascii="Arial" w:hAnsi="Arial" w:cs="Arial"/>
          <w:sz w:val="23"/>
          <w:szCs w:val="23"/>
        </w:rPr>
      </w:pPr>
      <w:r>
        <w:rPr>
          <w:rFonts w:ascii="Arial" w:hAnsi="Arial" w:cs="Arial"/>
          <w:sz w:val="23"/>
          <w:szCs w:val="23"/>
        </w:rPr>
        <w:t>The ability to interact effectively with the media to promote harmonious race relations.</w:t>
      </w:r>
    </w:p>
    <w:p w:rsidR="004757B9" w:rsidRDefault="004757B9" w:rsidP="004757B9">
      <w:pPr>
        <w:pStyle w:val="Tablebullet"/>
        <w:numPr>
          <w:ilvl w:val="0"/>
          <w:numId w:val="14"/>
        </w:numPr>
        <w:jc w:val="both"/>
        <w:rPr>
          <w:rFonts w:ascii="Arial" w:hAnsi="Arial" w:cs="Arial"/>
          <w:sz w:val="23"/>
          <w:szCs w:val="23"/>
        </w:rPr>
      </w:pPr>
      <w:r>
        <w:rPr>
          <w:rFonts w:ascii="Arial" w:hAnsi="Arial" w:cs="Arial"/>
          <w:sz w:val="23"/>
          <w:szCs w:val="23"/>
        </w:rPr>
        <w:t>Superior public speaking and presentation skills.</w:t>
      </w:r>
    </w:p>
    <w:p w:rsidR="004757B9" w:rsidRDefault="004757B9" w:rsidP="004757B9">
      <w:pPr>
        <w:numPr>
          <w:ilvl w:val="0"/>
          <w:numId w:val="14"/>
        </w:numPr>
        <w:jc w:val="both"/>
      </w:pPr>
      <w:r>
        <w:rPr>
          <w:rFonts w:ascii="Arial" w:hAnsi="Arial" w:cs="Arial"/>
          <w:sz w:val="23"/>
          <w:szCs w:val="23"/>
        </w:rPr>
        <w:t>An understanding of the aspirations of a diverse range of people and organisations, including Māori, ethnic communities, central and local government, businesses, non-Government organisations, media representatives, Members of Parliament, diplomats, service organisations, advocacy groups, educational and academic institutions, religious organisations and other sectoral interest groups.</w:t>
      </w:r>
    </w:p>
    <w:p w:rsidR="00283165" w:rsidRDefault="00283165"/>
    <w:sectPr w:rsidR="00283165" w:rsidSect="004757B9">
      <w:pgSz w:w="11906" w:h="16838"/>
      <w:pgMar w:top="1361" w:right="1304"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B32E7"/>
    <w:multiLevelType w:val="multilevel"/>
    <w:tmpl w:val="0B0C44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8A5076D"/>
    <w:multiLevelType w:val="singleLevel"/>
    <w:tmpl w:val="33780E34"/>
    <w:lvl w:ilvl="0">
      <w:start w:val="4"/>
      <w:numFmt w:val="lowerRoman"/>
      <w:lvlText w:val="(%1)"/>
      <w:lvlJc w:val="left"/>
      <w:pPr>
        <w:tabs>
          <w:tab w:val="num" w:pos="1872"/>
        </w:tabs>
        <w:ind w:left="1872" w:hanging="720"/>
      </w:pPr>
      <w:rPr>
        <w:b w:val="0"/>
      </w:rPr>
    </w:lvl>
  </w:abstractNum>
  <w:abstractNum w:abstractNumId="2" w15:restartNumberingAfterBreak="0">
    <w:nsid w:val="28DE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286611"/>
    <w:multiLevelType w:val="hybridMultilevel"/>
    <w:tmpl w:val="CAAA8D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335E6816"/>
    <w:multiLevelType w:val="singleLevel"/>
    <w:tmpl w:val="C436DED6"/>
    <w:lvl w:ilvl="0">
      <w:start w:val="2"/>
      <w:numFmt w:val="lowerRoman"/>
      <w:lvlText w:val="(%1)"/>
      <w:lvlJc w:val="left"/>
      <w:pPr>
        <w:tabs>
          <w:tab w:val="num" w:pos="1170"/>
        </w:tabs>
        <w:ind w:left="1170" w:hanging="720"/>
      </w:pPr>
    </w:lvl>
  </w:abstractNum>
  <w:abstractNum w:abstractNumId="5" w15:restartNumberingAfterBreak="0">
    <w:nsid w:val="360C2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1C6342"/>
    <w:multiLevelType w:val="hybridMultilevel"/>
    <w:tmpl w:val="523C5A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4D711B7D"/>
    <w:multiLevelType w:val="singleLevel"/>
    <w:tmpl w:val="D48CAE4C"/>
    <w:lvl w:ilvl="0">
      <w:start w:val="1"/>
      <w:numFmt w:val="bullet"/>
      <w:pStyle w:val="Tablebullet"/>
      <w:lvlText w:val=""/>
      <w:lvlJc w:val="left"/>
      <w:pPr>
        <w:tabs>
          <w:tab w:val="num" w:pos="360"/>
        </w:tabs>
        <w:ind w:left="284" w:hanging="284"/>
      </w:pPr>
      <w:rPr>
        <w:rFonts w:ascii="Symbol" w:hAnsi="Symbol" w:hint="default"/>
        <w:sz w:val="20"/>
      </w:rPr>
    </w:lvl>
  </w:abstractNum>
  <w:abstractNum w:abstractNumId="8" w15:restartNumberingAfterBreak="0">
    <w:nsid w:val="5CC77E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5954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2C6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F90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923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B05058"/>
    <w:multiLevelType w:val="singleLevel"/>
    <w:tmpl w:val="0D9C8D54"/>
    <w:lvl w:ilvl="0">
      <w:start w:val="2"/>
      <w:numFmt w:val="lowerLetter"/>
      <w:lvlText w:val="(%1)"/>
      <w:lvlJc w:val="left"/>
      <w:pPr>
        <w:tabs>
          <w:tab w:val="num" w:pos="585"/>
        </w:tabs>
        <w:ind w:left="585" w:hanging="585"/>
      </w:pPr>
    </w:lvl>
  </w:abstractNum>
  <w:num w:numId="1">
    <w:abstractNumId w:val="7"/>
  </w:num>
  <w:num w:numId="2">
    <w:abstractNumId w:val="0"/>
  </w:num>
  <w:num w:numId="3">
    <w:abstractNumId w:val="4"/>
    <w:lvlOverride w:ilvl="0">
      <w:startOverride w:val="2"/>
    </w:lvlOverride>
  </w:num>
  <w:num w:numId="4">
    <w:abstractNumId w:val="13"/>
    <w:lvlOverride w:ilvl="0">
      <w:startOverride w:val="2"/>
    </w:lvlOverride>
  </w:num>
  <w:num w:numId="5">
    <w:abstractNumId w:val="1"/>
    <w:lvlOverride w:ilvl="0">
      <w:startOverride w:val="4"/>
    </w:lvlOverride>
  </w:num>
  <w:num w:numId="6">
    <w:abstractNumId w:val="6"/>
  </w:num>
  <w:num w:numId="7">
    <w:abstractNumId w:val="11"/>
  </w:num>
  <w:num w:numId="8">
    <w:abstractNumId w:val="2"/>
  </w:num>
  <w:num w:numId="9">
    <w:abstractNumId w:val="8"/>
  </w:num>
  <w:num w:numId="10">
    <w:abstractNumId w:val="12"/>
  </w:num>
  <w:num w:numId="11">
    <w:abstractNumId w:val="5"/>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B9"/>
    <w:rsid w:val="00283165"/>
    <w:rsid w:val="0044022D"/>
    <w:rsid w:val="004757B9"/>
    <w:rsid w:val="004F0E8F"/>
    <w:rsid w:val="00C10C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E5A6E-C443-4376-8454-086F3E13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7B9"/>
    <w:pPr>
      <w:spacing w:after="0" w:line="240" w:lineRule="auto"/>
    </w:pPr>
    <w:rPr>
      <w:rFonts w:ascii="Times New Roman" w:eastAsia="Times New Roman" w:hAnsi="Times New Roman" w:cs="Times New Roman"/>
      <w:sz w:val="24"/>
      <w:szCs w:val="20"/>
      <w:lang w:eastAsia="en-NZ"/>
    </w:rPr>
  </w:style>
  <w:style w:type="paragraph" w:styleId="Heading2">
    <w:name w:val="heading 2"/>
    <w:basedOn w:val="Normal"/>
    <w:next w:val="Normal"/>
    <w:link w:val="Heading2Char"/>
    <w:semiHidden/>
    <w:unhideWhenUsed/>
    <w:qFormat/>
    <w:rsid w:val="004757B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757B9"/>
    <w:rPr>
      <w:rFonts w:ascii="Cambria" w:eastAsia="Times New Roman" w:hAnsi="Cambria" w:cs="Times New Roman"/>
      <w:b/>
      <w:bCs/>
      <w:i/>
      <w:iCs/>
      <w:sz w:val="28"/>
      <w:szCs w:val="28"/>
      <w:lang w:eastAsia="en-NZ"/>
    </w:rPr>
  </w:style>
  <w:style w:type="character" w:styleId="Hyperlink">
    <w:name w:val="Hyperlink"/>
    <w:basedOn w:val="DefaultParagraphFont"/>
    <w:uiPriority w:val="99"/>
    <w:semiHidden/>
    <w:unhideWhenUsed/>
    <w:rsid w:val="004757B9"/>
    <w:rPr>
      <w:color w:val="0000FF"/>
      <w:u w:val="single"/>
    </w:rPr>
  </w:style>
  <w:style w:type="paragraph" w:styleId="BodyTextIndent">
    <w:name w:val="Body Text Indent"/>
    <w:basedOn w:val="Normal"/>
    <w:link w:val="BodyTextIndentChar"/>
    <w:semiHidden/>
    <w:unhideWhenUsed/>
    <w:rsid w:val="004757B9"/>
    <w:pPr>
      <w:ind w:left="720" w:hanging="720"/>
    </w:pPr>
  </w:style>
  <w:style w:type="character" w:customStyle="1" w:styleId="BodyTextIndentChar">
    <w:name w:val="Body Text Indent Char"/>
    <w:basedOn w:val="DefaultParagraphFont"/>
    <w:link w:val="BodyTextIndent"/>
    <w:semiHidden/>
    <w:rsid w:val="004757B9"/>
    <w:rPr>
      <w:rFonts w:ascii="Times New Roman" w:eastAsia="Times New Roman" w:hAnsi="Times New Roman" w:cs="Times New Roman"/>
      <w:sz w:val="24"/>
      <w:szCs w:val="20"/>
      <w:lang w:eastAsia="en-NZ"/>
    </w:rPr>
  </w:style>
  <w:style w:type="paragraph" w:customStyle="1" w:styleId="Tablebullet">
    <w:name w:val="Table bullet"/>
    <w:basedOn w:val="Normal"/>
    <w:rsid w:val="004757B9"/>
    <w:pPr>
      <w:numPr>
        <w:numId w:val="1"/>
      </w:numPr>
    </w:pPr>
  </w:style>
  <w:style w:type="paragraph" w:styleId="BalloonText">
    <w:name w:val="Balloon Text"/>
    <w:basedOn w:val="Normal"/>
    <w:link w:val="BalloonTextChar"/>
    <w:uiPriority w:val="99"/>
    <w:semiHidden/>
    <w:unhideWhenUsed/>
    <w:rsid w:val="00440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2D"/>
    <w:rPr>
      <w:rFonts w:ascii="Segoe UI" w:eastAsia="Times New Roman"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t.nz/act/public/1993/0082/latest/link.aspx?id=DLM304289" TargetMode="External"/><Relationship Id="rId5" Type="http://schemas.openxmlformats.org/officeDocument/2006/relationships/hyperlink" Target="http://www.legislation.govt.nz/act/public/1993/0082/latest/link.aspx?id=DLM3296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7537907D</Template>
  <TotalTime>2</TotalTime>
  <Pages>5</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Gini, Phil</dc:creator>
  <cp:keywords/>
  <dc:description/>
  <cp:lastModifiedBy>Gini, Phil</cp:lastModifiedBy>
  <cp:revision>3</cp:revision>
  <dcterms:created xsi:type="dcterms:W3CDTF">2019-02-26T01:09:00Z</dcterms:created>
  <dcterms:modified xsi:type="dcterms:W3CDTF">2019-02-26T01:11:00Z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1144332541</vt:i4>
  </property>
  <property fmtid="{D5CDD505-2E9C-101B-9397-08002B2CF9AE}" pid="3" name="_NewReviewCycle">
    <vt:lpwstr/>
  </property>
  <property fmtid="{D5CDD505-2E9C-101B-9397-08002B2CF9AE}" pid="4" name="_EmailSubject">
    <vt:lpwstr>Advertising for Race Relations Commissioner position</vt:lpwstr>
  </property>
  <property fmtid="{D5CDD505-2E9C-101B-9397-08002B2CF9AE}" pid="5" name="_AuthorEmail">
    <vt:lpwstr>philip.gini@justice.govt.nz</vt:lpwstr>
  </property>
  <property fmtid="{D5CDD505-2E9C-101B-9397-08002B2CF9AE}" pid="6" name="_AuthorEmailDisplayName">
    <vt:lpwstr>Gini, Phil</vt:lpwstr>
  </property>
  <property fmtid="{D5CDD505-2E9C-101B-9397-08002B2CF9AE}" pid="7" name="_PreviousAdHocReviewCycleID">
    <vt:i4>1732567660</vt:i4>
  </property>
</Properties>
</file>