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65" w:type="pct"/>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35"/>
        <w:gridCol w:w="8054"/>
      </w:tblGrid>
      <w:tr w:rsidR="002739B0" w:rsidRPr="00DE0577" w14:paraId="41989ADC" w14:textId="77777777" w:rsidTr="00280002">
        <w:tc>
          <w:tcPr>
            <w:tcW w:w="1086" w:type="pct"/>
          </w:tcPr>
          <w:p w14:paraId="708B8324" w14:textId="77777777" w:rsidR="002739B0" w:rsidRPr="00DE0577" w:rsidRDefault="002739B0" w:rsidP="00DE0577">
            <w:pPr>
              <w:spacing w:after="0" w:line="276" w:lineRule="auto"/>
              <w:ind w:left="-104"/>
              <w:jc w:val="center"/>
              <w:rPr>
                <w:rFonts w:ascii="Arial" w:hAnsi="Arial" w:cs="Arial"/>
                <w:b/>
                <w:lang w:val="en-GB"/>
              </w:rPr>
            </w:pPr>
            <w:r w:rsidRPr="00DE0577">
              <w:rPr>
                <w:rFonts w:ascii="Arial" w:hAnsi="Arial" w:cs="Arial"/>
                <w:b/>
                <w:lang w:val="en-GB"/>
              </w:rPr>
              <w:t>ROLE</w:t>
            </w:r>
          </w:p>
        </w:tc>
        <w:tc>
          <w:tcPr>
            <w:tcW w:w="3914" w:type="pct"/>
          </w:tcPr>
          <w:p w14:paraId="3332DEC3" w14:textId="77777777" w:rsidR="002739B0" w:rsidRPr="00DE0577" w:rsidRDefault="002739B0" w:rsidP="00DE0577">
            <w:pPr>
              <w:spacing w:after="0" w:line="276" w:lineRule="auto"/>
              <w:rPr>
                <w:rFonts w:ascii="Arial" w:hAnsi="Arial" w:cs="Arial"/>
                <w:lang w:val="en-GB"/>
              </w:rPr>
            </w:pPr>
            <w:r w:rsidRPr="00DE0577">
              <w:rPr>
                <w:rFonts w:ascii="Arial" w:hAnsi="Arial" w:cs="Arial"/>
                <w:b/>
                <w:lang w:val="en-GB"/>
              </w:rPr>
              <w:t xml:space="preserve">Senior Human Rights Advisor </w:t>
            </w:r>
            <w:r w:rsidR="003D67CD" w:rsidRPr="00DE0577">
              <w:rPr>
                <w:rFonts w:ascii="Arial" w:hAnsi="Arial" w:cs="Arial"/>
                <w:b/>
                <w:lang w:val="en-GB"/>
              </w:rPr>
              <w:t>(Disability Rights)</w:t>
            </w:r>
          </w:p>
        </w:tc>
      </w:tr>
      <w:tr w:rsidR="002739B0" w:rsidRPr="00DE0577" w14:paraId="2D36164D" w14:textId="77777777" w:rsidTr="00280002">
        <w:tc>
          <w:tcPr>
            <w:tcW w:w="1086" w:type="pct"/>
          </w:tcPr>
          <w:p w14:paraId="1679B05B" w14:textId="77777777" w:rsidR="002739B0" w:rsidRPr="00DE0577" w:rsidRDefault="002739B0" w:rsidP="00DE0577">
            <w:pPr>
              <w:spacing w:after="0" w:line="276" w:lineRule="auto"/>
              <w:jc w:val="center"/>
              <w:rPr>
                <w:rFonts w:ascii="Arial" w:hAnsi="Arial" w:cs="Arial"/>
                <w:b/>
                <w:lang w:val="en-GB"/>
              </w:rPr>
            </w:pPr>
            <w:r w:rsidRPr="00DE0577">
              <w:rPr>
                <w:rFonts w:ascii="Arial" w:hAnsi="Arial" w:cs="Arial"/>
                <w:b/>
                <w:lang w:val="en-GB"/>
              </w:rPr>
              <w:t>TEAM</w:t>
            </w:r>
          </w:p>
        </w:tc>
        <w:tc>
          <w:tcPr>
            <w:tcW w:w="3914" w:type="pct"/>
          </w:tcPr>
          <w:p w14:paraId="556F6302"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Human Rights Advisory and Research team</w:t>
            </w:r>
          </w:p>
        </w:tc>
      </w:tr>
      <w:tr w:rsidR="002739B0" w:rsidRPr="00DE0577" w14:paraId="69EDB3C3" w14:textId="77777777" w:rsidTr="00280002">
        <w:tc>
          <w:tcPr>
            <w:tcW w:w="1086" w:type="pct"/>
          </w:tcPr>
          <w:p w14:paraId="0F0241E5" w14:textId="77777777" w:rsidR="002739B0" w:rsidRPr="00DE0577" w:rsidRDefault="002739B0" w:rsidP="00DE0577">
            <w:pPr>
              <w:spacing w:after="0" w:line="276" w:lineRule="auto"/>
              <w:jc w:val="center"/>
              <w:rPr>
                <w:rFonts w:ascii="Arial" w:hAnsi="Arial" w:cs="Arial"/>
                <w:b/>
                <w:lang w:val="en-GB"/>
              </w:rPr>
            </w:pPr>
            <w:r w:rsidRPr="00DE0577">
              <w:rPr>
                <w:rFonts w:ascii="Arial" w:hAnsi="Arial" w:cs="Arial"/>
                <w:b/>
                <w:lang w:val="en-GB"/>
              </w:rPr>
              <w:t>LOCATION</w:t>
            </w:r>
          </w:p>
        </w:tc>
        <w:tc>
          <w:tcPr>
            <w:tcW w:w="3914" w:type="pct"/>
          </w:tcPr>
          <w:p w14:paraId="64A6B153"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 xml:space="preserve">Wellington </w:t>
            </w:r>
          </w:p>
        </w:tc>
      </w:tr>
      <w:tr w:rsidR="002739B0" w:rsidRPr="00DE0577" w14:paraId="5399EC6C" w14:textId="77777777" w:rsidTr="00280002">
        <w:tc>
          <w:tcPr>
            <w:tcW w:w="1086" w:type="pct"/>
          </w:tcPr>
          <w:p w14:paraId="5F162E48" w14:textId="77777777" w:rsidR="002739B0" w:rsidRPr="00DE0577" w:rsidRDefault="002739B0" w:rsidP="00DE0577">
            <w:pPr>
              <w:spacing w:after="0" w:line="276" w:lineRule="auto"/>
              <w:jc w:val="center"/>
              <w:rPr>
                <w:rFonts w:ascii="Arial" w:hAnsi="Arial" w:cs="Arial"/>
                <w:b/>
                <w:lang w:val="en-GB"/>
              </w:rPr>
            </w:pPr>
            <w:r w:rsidRPr="00DE0577">
              <w:rPr>
                <w:rFonts w:ascii="Arial" w:hAnsi="Arial" w:cs="Arial"/>
                <w:b/>
                <w:lang w:val="en-GB"/>
              </w:rPr>
              <w:t>SALARY BAND</w:t>
            </w:r>
          </w:p>
        </w:tc>
        <w:tc>
          <w:tcPr>
            <w:tcW w:w="3914" w:type="pct"/>
          </w:tcPr>
          <w:p w14:paraId="70FA7651" w14:textId="77777777" w:rsidR="002739B0" w:rsidRPr="00DE0577" w:rsidRDefault="007D0EF8" w:rsidP="00DE0577">
            <w:pPr>
              <w:spacing w:after="0" w:line="276" w:lineRule="auto"/>
              <w:rPr>
                <w:rFonts w:ascii="Arial" w:hAnsi="Arial" w:cs="Arial"/>
                <w:lang w:val="en-GB"/>
              </w:rPr>
            </w:pPr>
            <w:r w:rsidRPr="00DE0577">
              <w:rPr>
                <w:rFonts w:ascii="Arial" w:hAnsi="Arial" w:cs="Arial"/>
                <w:lang w:val="en-GB"/>
              </w:rPr>
              <w:t>4B</w:t>
            </w:r>
          </w:p>
        </w:tc>
      </w:tr>
    </w:tbl>
    <w:p w14:paraId="530FD3C2" w14:textId="77777777" w:rsidR="00280002" w:rsidRPr="00DE0577" w:rsidRDefault="00280002" w:rsidP="00DE0577">
      <w:pPr>
        <w:spacing w:after="0" w:line="276" w:lineRule="auto"/>
        <w:rPr>
          <w:rFonts w:ascii="Arial" w:hAnsi="Arial" w:cs="Arial"/>
          <w:b/>
          <w:lang w:val="en-GB"/>
        </w:rPr>
      </w:pPr>
    </w:p>
    <w:p w14:paraId="213BA23B"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PURPOSE OF THE POSITION</w:t>
      </w:r>
    </w:p>
    <w:p w14:paraId="5C4F3E11" w14:textId="77777777" w:rsidR="00DE0577" w:rsidRDefault="00DE0577" w:rsidP="00DE0577">
      <w:pPr>
        <w:spacing w:after="0" w:line="276" w:lineRule="auto"/>
        <w:jc w:val="both"/>
        <w:rPr>
          <w:rFonts w:ascii="Arial" w:hAnsi="Arial" w:cs="Arial"/>
          <w:lang w:val="en-GB"/>
        </w:rPr>
      </w:pPr>
    </w:p>
    <w:p w14:paraId="07CB625E" w14:textId="69397520" w:rsidR="002739B0" w:rsidRPr="00DE0577" w:rsidRDefault="002739B0" w:rsidP="00DE0577">
      <w:pPr>
        <w:spacing w:after="0" w:line="276" w:lineRule="auto"/>
        <w:jc w:val="both"/>
        <w:rPr>
          <w:rFonts w:ascii="Arial" w:hAnsi="Arial" w:cs="Arial"/>
          <w:lang w:val="en-GB"/>
        </w:rPr>
      </w:pPr>
      <w:r w:rsidRPr="00DE0577">
        <w:rPr>
          <w:rFonts w:ascii="Arial" w:hAnsi="Arial" w:cs="Arial"/>
          <w:lang w:val="en-GB"/>
        </w:rPr>
        <w:t xml:space="preserve">To deliver a programme of strategic advocacy, advice, research, monitoring and external engagement that contributes to the Commission’s strategic priorities and work programme.   </w:t>
      </w:r>
    </w:p>
    <w:p w14:paraId="208954B7" w14:textId="77777777" w:rsidR="003D67CD" w:rsidRPr="00DE0577" w:rsidRDefault="003D67CD" w:rsidP="00DE0577">
      <w:pPr>
        <w:spacing w:after="0" w:line="276" w:lineRule="auto"/>
        <w:jc w:val="both"/>
        <w:rPr>
          <w:rFonts w:ascii="Arial" w:hAnsi="Arial" w:cs="Arial"/>
          <w:lang w:val="en-GB"/>
        </w:rPr>
      </w:pPr>
      <w:r w:rsidRPr="00DE0577">
        <w:rPr>
          <w:rFonts w:ascii="Arial" w:hAnsi="Arial" w:cs="Arial"/>
          <w:lang w:val="en-GB"/>
        </w:rPr>
        <w:t xml:space="preserve">To advise the Disability Rights Commissioner on disability rights issues. </w:t>
      </w:r>
    </w:p>
    <w:p w14:paraId="4F83BC88" w14:textId="77777777" w:rsidR="003D67CD" w:rsidRPr="00DE0577" w:rsidRDefault="003D67CD" w:rsidP="00DE0577">
      <w:pPr>
        <w:spacing w:after="0" w:line="276" w:lineRule="auto"/>
        <w:jc w:val="both"/>
        <w:rPr>
          <w:rFonts w:ascii="Arial" w:hAnsi="Arial" w:cs="Arial"/>
          <w:lang w:val="en-GB"/>
        </w:rPr>
      </w:pPr>
    </w:p>
    <w:p w14:paraId="0BE49543"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PURPOSE OF THE HUMAN RIGHTS ADVISORY &amp; RESEARCH TEAM</w:t>
      </w:r>
    </w:p>
    <w:p w14:paraId="75CCE6DD" w14:textId="77777777" w:rsidR="00DE0577" w:rsidRDefault="00DE0577" w:rsidP="00DE0577">
      <w:pPr>
        <w:spacing w:after="0"/>
        <w:rPr>
          <w:rFonts w:ascii="Arial" w:hAnsi="Arial" w:cs="Arial"/>
          <w:lang w:val="en-GB"/>
        </w:rPr>
      </w:pPr>
    </w:p>
    <w:p w14:paraId="5B3ED560" w14:textId="50C1A3CC" w:rsidR="003D67CD" w:rsidRDefault="003D67CD" w:rsidP="00DE0577">
      <w:pPr>
        <w:spacing w:after="0"/>
        <w:rPr>
          <w:rFonts w:ascii="Arial" w:hAnsi="Arial" w:cs="Arial"/>
          <w:lang w:val="en-GB"/>
        </w:rPr>
      </w:pPr>
      <w:r w:rsidRPr="00DE0577">
        <w:rPr>
          <w:rFonts w:ascii="Arial" w:hAnsi="Arial" w:cs="Arial"/>
          <w:lang w:val="en-GB"/>
        </w:rPr>
        <w:t>The Advisory and Research Team works to design and deliver actions which support improvement of the human rights of all in New Zealand through:</w:t>
      </w:r>
    </w:p>
    <w:p w14:paraId="2FB59829" w14:textId="77777777" w:rsidR="00DE0577" w:rsidRPr="00DE0577" w:rsidRDefault="00DE0577" w:rsidP="00DE0577">
      <w:pPr>
        <w:spacing w:after="0"/>
        <w:rPr>
          <w:rFonts w:ascii="Arial" w:hAnsi="Arial" w:cs="Arial"/>
          <w:lang w:val="en-GB"/>
        </w:rPr>
      </w:pPr>
    </w:p>
    <w:p w14:paraId="148C99E5" w14:textId="77777777" w:rsidR="003D67CD" w:rsidRPr="00DE0577" w:rsidRDefault="003D67CD" w:rsidP="00DE0577">
      <w:pPr>
        <w:pStyle w:val="ListParagraph"/>
        <w:numPr>
          <w:ilvl w:val="0"/>
          <w:numId w:val="13"/>
        </w:numPr>
        <w:spacing w:after="0"/>
        <w:rPr>
          <w:rFonts w:ascii="Arial" w:hAnsi="Arial" w:cs="Arial"/>
          <w:lang w:val="en-GB"/>
        </w:rPr>
      </w:pPr>
      <w:r w:rsidRPr="00DE0577">
        <w:rPr>
          <w:rFonts w:ascii="Arial" w:hAnsi="Arial" w:cs="Arial"/>
          <w:lang w:val="en-GB"/>
        </w:rPr>
        <w:t>Connecting communities and evidence with decision-makers through consultation, research and strategic advice</w:t>
      </w:r>
    </w:p>
    <w:p w14:paraId="70F8ADBF" w14:textId="77777777" w:rsidR="003D67CD" w:rsidRPr="00DE0577" w:rsidRDefault="003D67CD" w:rsidP="00DE0577">
      <w:pPr>
        <w:pStyle w:val="ListParagraph"/>
        <w:numPr>
          <w:ilvl w:val="0"/>
          <w:numId w:val="13"/>
        </w:numPr>
        <w:spacing w:after="0"/>
        <w:rPr>
          <w:rFonts w:ascii="Arial" w:hAnsi="Arial" w:cs="Arial"/>
          <w:lang w:val="en-GB"/>
        </w:rPr>
      </w:pPr>
      <w:r w:rsidRPr="00DE0577">
        <w:rPr>
          <w:rFonts w:ascii="Arial" w:hAnsi="Arial" w:cs="Arial"/>
          <w:lang w:val="en-GB"/>
        </w:rPr>
        <w:t>Broad external engagement and the management and delivery of specific and agreed work aligned to the Commission strategy and annual plan</w:t>
      </w:r>
    </w:p>
    <w:p w14:paraId="0F2E6423" w14:textId="77777777" w:rsidR="003D67CD" w:rsidRPr="00DE0577" w:rsidRDefault="003D67CD" w:rsidP="00DE0577">
      <w:pPr>
        <w:pStyle w:val="ListParagraph"/>
        <w:numPr>
          <w:ilvl w:val="0"/>
          <w:numId w:val="13"/>
        </w:numPr>
        <w:spacing w:after="0"/>
        <w:rPr>
          <w:rFonts w:ascii="Arial" w:hAnsi="Arial" w:cs="Arial"/>
          <w:lang w:val="en-GB"/>
        </w:rPr>
      </w:pPr>
      <w:r w:rsidRPr="00DE0577">
        <w:rPr>
          <w:rFonts w:ascii="Arial" w:hAnsi="Arial" w:cs="Arial"/>
          <w:lang w:val="en-GB"/>
        </w:rPr>
        <w:t>Design and delivery of strategic interventions in response to, or to highlight, Human Rights breaches</w:t>
      </w:r>
    </w:p>
    <w:p w14:paraId="01C44DFD" w14:textId="77777777" w:rsidR="003D67CD" w:rsidRPr="00DE0577" w:rsidRDefault="003D67CD" w:rsidP="00DE0577">
      <w:pPr>
        <w:pStyle w:val="ListParagraph"/>
        <w:numPr>
          <w:ilvl w:val="0"/>
          <w:numId w:val="13"/>
        </w:numPr>
        <w:spacing w:after="0"/>
        <w:rPr>
          <w:rFonts w:ascii="Arial" w:hAnsi="Arial" w:cs="Arial"/>
          <w:lang w:val="en-GB"/>
        </w:rPr>
      </w:pPr>
      <w:r w:rsidRPr="00DE0577">
        <w:rPr>
          <w:rFonts w:ascii="Arial" w:hAnsi="Arial" w:cs="Arial"/>
          <w:lang w:val="en-GB"/>
        </w:rPr>
        <w:t xml:space="preserve">Advocating for the improvement of Human Rights in New Zealand using strong data and robust research </w:t>
      </w:r>
    </w:p>
    <w:p w14:paraId="62F08A05" w14:textId="77777777" w:rsidR="003D67CD" w:rsidRPr="00DE0577" w:rsidRDefault="003D67CD" w:rsidP="00DE0577">
      <w:pPr>
        <w:pStyle w:val="ListParagraph"/>
        <w:numPr>
          <w:ilvl w:val="0"/>
          <w:numId w:val="13"/>
        </w:numPr>
        <w:spacing w:after="0"/>
        <w:rPr>
          <w:rFonts w:ascii="Arial" w:hAnsi="Arial" w:cs="Arial"/>
          <w:lang w:val="en-GB"/>
        </w:rPr>
      </w:pPr>
      <w:r w:rsidRPr="00DE0577">
        <w:rPr>
          <w:rFonts w:ascii="Arial" w:hAnsi="Arial" w:cs="Arial"/>
          <w:lang w:val="en-GB"/>
        </w:rPr>
        <w:t>Monitoring human rights reporting mechanisms, such as the National Plan of Action and other Human Rights treaties and conventions</w:t>
      </w:r>
    </w:p>
    <w:p w14:paraId="40EBDAFA" w14:textId="77777777" w:rsidR="00921C3C" w:rsidRPr="00DE0577" w:rsidRDefault="00921C3C" w:rsidP="00DE0577">
      <w:pPr>
        <w:pStyle w:val="ListParagraph"/>
        <w:numPr>
          <w:ilvl w:val="0"/>
          <w:numId w:val="13"/>
        </w:numPr>
        <w:spacing w:after="0"/>
        <w:rPr>
          <w:rFonts w:ascii="Arial" w:hAnsi="Arial" w:cs="Arial"/>
          <w:lang w:val="en-GB"/>
        </w:rPr>
      </w:pPr>
      <w:r w:rsidRPr="00DE0577">
        <w:rPr>
          <w:rFonts w:ascii="Arial" w:hAnsi="Arial" w:cs="Arial"/>
          <w:lang w:val="en-GB"/>
        </w:rPr>
        <w:t>Advising Commissioners with subject matter data and research to inform strategic advocacy</w:t>
      </w:r>
    </w:p>
    <w:p w14:paraId="333C8EA6" w14:textId="77777777" w:rsidR="00921C3C" w:rsidRPr="00DE0577" w:rsidRDefault="00921C3C" w:rsidP="00DE0577">
      <w:pPr>
        <w:pStyle w:val="ListParagraph"/>
        <w:numPr>
          <w:ilvl w:val="0"/>
          <w:numId w:val="13"/>
        </w:numPr>
        <w:spacing w:after="0"/>
        <w:rPr>
          <w:rFonts w:ascii="Arial" w:hAnsi="Arial" w:cs="Arial"/>
          <w:lang w:val="en-GB"/>
        </w:rPr>
      </w:pPr>
      <w:r w:rsidRPr="00DE0577">
        <w:rPr>
          <w:rFonts w:ascii="Arial" w:hAnsi="Arial" w:cs="Arial"/>
          <w:lang w:val="en-GB"/>
        </w:rPr>
        <w:t>Research and writing reports and submissions re human rights issues.</w:t>
      </w:r>
    </w:p>
    <w:p w14:paraId="2F70546A" w14:textId="77777777" w:rsidR="00DE0577" w:rsidRDefault="00DE0577" w:rsidP="00DE0577">
      <w:pPr>
        <w:spacing w:after="0"/>
        <w:rPr>
          <w:rFonts w:ascii="Arial" w:hAnsi="Arial" w:cs="Arial"/>
          <w:lang w:val="en-GB"/>
        </w:rPr>
      </w:pPr>
    </w:p>
    <w:p w14:paraId="35394A60" w14:textId="649B2892" w:rsidR="003D67CD" w:rsidRPr="00DE0577" w:rsidRDefault="003D67CD" w:rsidP="00DE0577">
      <w:pPr>
        <w:spacing w:after="0"/>
        <w:rPr>
          <w:rFonts w:ascii="Arial" w:hAnsi="Arial" w:cs="Arial"/>
          <w:lang w:val="en-GB"/>
        </w:rPr>
      </w:pPr>
      <w:r w:rsidRPr="00DE0577">
        <w:rPr>
          <w:rFonts w:ascii="Arial" w:hAnsi="Arial" w:cs="Arial"/>
          <w:lang w:val="en-GB"/>
        </w:rPr>
        <w:t xml:space="preserve">The team works externally with civil society, communities, decision-makers, influencers and other stakeholders, and internally with Commissioners and other Commission teams, so that human rights issues are identified and affected people can contribute to the development of solutions. The team is held accountable to deliver the agreed intervention/response, successfully, and in partnership with the entire Commission. </w:t>
      </w:r>
    </w:p>
    <w:p w14:paraId="0D94F6F4" w14:textId="77777777" w:rsidR="00DE0577" w:rsidRDefault="00DE0577" w:rsidP="00DE0577">
      <w:pPr>
        <w:spacing w:after="0"/>
        <w:rPr>
          <w:rFonts w:ascii="Arial" w:hAnsi="Arial" w:cs="Arial"/>
          <w:lang w:val="en-GB"/>
        </w:rPr>
      </w:pPr>
    </w:p>
    <w:p w14:paraId="71E71712" w14:textId="03632527" w:rsidR="003D67CD" w:rsidRPr="00DE0577" w:rsidRDefault="003D67CD" w:rsidP="00DE0577">
      <w:pPr>
        <w:spacing w:after="0"/>
        <w:rPr>
          <w:rFonts w:ascii="Arial" w:hAnsi="Arial" w:cs="Arial"/>
          <w:lang w:val="en-GB"/>
        </w:rPr>
      </w:pPr>
      <w:r w:rsidRPr="00DE0577">
        <w:rPr>
          <w:rFonts w:ascii="Arial" w:hAnsi="Arial" w:cs="Arial"/>
          <w:lang w:val="en-GB"/>
        </w:rPr>
        <w:t xml:space="preserve">Building internal cross-Commission collaborative teams/hubs and providing the information/research necessary to work creatively on issues and to actively support Commissioners in the execution of their roles is a core focus of this team. This is an </w:t>
      </w:r>
      <w:r w:rsidR="00921C3C" w:rsidRPr="00DE0577">
        <w:rPr>
          <w:rFonts w:ascii="Arial" w:hAnsi="Arial" w:cs="Arial"/>
          <w:lang w:val="en-GB"/>
        </w:rPr>
        <w:t>action-oriented</w:t>
      </w:r>
      <w:r w:rsidRPr="00DE0577">
        <w:rPr>
          <w:rFonts w:ascii="Arial" w:hAnsi="Arial" w:cs="Arial"/>
          <w:lang w:val="en-GB"/>
        </w:rPr>
        <w:t xml:space="preserve"> team, driven by data and research. </w:t>
      </w:r>
    </w:p>
    <w:p w14:paraId="496CF158" w14:textId="77777777" w:rsidR="007D0EF8" w:rsidRPr="00DE0577" w:rsidRDefault="007D0EF8" w:rsidP="00DE0577">
      <w:pPr>
        <w:spacing w:after="0"/>
        <w:rPr>
          <w:rFonts w:ascii="Arial" w:hAnsi="Arial" w:cs="Arial"/>
          <w:b/>
          <w:lang w:val="en-GB"/>
        </w:rPr>
      </w:pPr>
      <w:r w:rsidRPr="00DE0577">
        <w:rPr>
          <w:rFonts w:ascii="Arial" w:hAnsi="Arial" w:cs="Arial"/>
          <w:b/>
          <w:lang w:val="en-GB"/>
        </w:rPr>
        <w:br w:type="page"/>
      </w:r>
    </w:p>
    <w:p w14:paraId="737394B5" w14:textId="26D2A172" w:rsidR="002739B0" w:rsidRDefault="002739B0" w:rsidP="00DE0577">
      <w:pPr>
        <w:spacing w:after="0" w:line="276" w:lineRule="auto"/>
        <w:rPr>
          <w:rFonts w:ascii="Arial" w:hAnsi="Arial" w:cs="Arial"/>
          <w:b/>
          <w:lang w:val="en-GB"/>
        </w:rPr>
      </w:pPr>
      <w:r w:rsidRPr="00DE0577">
        <w:rPr>
          <w:rFonts w:ascii="Arial" w:hAnsi="Arial" w:cs="Arial"/>
          <w:b/>
          <w:lang w:val="en-GB"/>
        </w:rPr>
        <w:lastRenderedPageBreak/>
        <w:t>WORKING RELATIONSHIPS</w:t>
      </w:r>
    </w:p>
    <w:p w14:paraId="79884BBB" w14:textId="77777777" w:rsidR="00DE0577" w:rsidRPr="00DE0577" w:rsidRDefault="00DE0577" w:rsidP="00DE0577">
      <w:pPr>
        <w:spacing w:after="0" w:line="276" w:lineRule="auto"/>
        <w:rPr>
          <w:rFonts w:ascii="Arial" w:hAnsi="Arial" w:cs="Arial"/>
          <w:b/>
          <w:lang w:val="en-G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34"/>
        <w:gridCol w:w="7537"/>
      </w:tblGrid>
      <w:tr w:rsidR="002739B0" w:rsidRPr="00DE0577" w14:paraId="098ADFB6" w14:textId="77777777" w:rsidTr="005A4380">
        <w:tc>
          <w:tcPr>
            <w:tcW w:w="1143" w:type="pct"/>
          </w:tcPr>
          <w:p w14:paraId="341CD87E"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RELATIONSHIP</w:t>
            </w:r>
          </w:p>
        </w:tc>
        <w:tc>
          <w:tcPr>
            <w:tcW w:w="3857" w:type="pct"/>
          </w:tcPr>
          <w:p w14:paraId="51AA339D"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POSITION</w:t>
            </w:r>
          </w:p>
        </w:tc>
      </w:tr>
      <w:tr w:rsidR="002739B0" w:rsidRPr="00DE0577" w14:paraId="412C9CE0" w14:textId="77777777" w:rsidTr="005A4380">
        <w:tc>
          <w:tcPr>
            <w:tcW w:w="1143" w:type="pct"/>
            <w:tcBorders>
              <w:top w:val="single" w:sz="4" w:space="0" w:color="999999"/>
              <w:left w:val="single" w:sz="4" w:space="0" w:color="999999"/>
              <w:bottom w:val="single" w:sz="4" w:space="0" w:color="999999"/>
              <w:right w:val="single" w:sz="4" w:space="0" w:color="999999"/>
            </w:tcBorders>
          </w:tcPr>
          <w:p w14:paraId="2FB4FC25"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Reports to</w:t>
            </w:r>
          </w:p>
        </w:tc>
        <w:tc>
          <w:tcPr>
            <w:tcW w:w="3857" w:type="pct"/>
            <w:tcBorders>
              <w:top w:val="single" w:sz="4" w:space="0" w:color="999999"/>
              <w:left w:val="single" w:sz="4" w:space="0" w:color="999999"/>
              <w:bottom w:val="single" w:sz="4" w:space="0" w:color="999999"/>
              <w:right w:val="single" w:sz="4" w:space="0" w:color="999999"/>
            </w:tcBorders>
          </w:tcPr>
          <w:p w14:paraId="4D39E5AB"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Human Rights Advisory and Research Manager</w:t>
            </w:r>
          </w:p>
        </w:tc>
      </w:tr>
      <w:tr w:rsidR="002739B0" w:rsidRPr="00DE0577" w14:paraId="0653DC4A" w14:textId="77777777" w:rsidTr="005A4380">
        <w:tc>
          <w:tcPr>
            <w:tcW w:w="1143" w:type="pct"/>
          </w:tcPr>
          <w:p w14:paraId="678B095A"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Partners with</w:t>
            </w:r>
          </w:p>
        </w:tc>
        <w:tc>
          <w:tcPr>
            <w:tcW w:w="3857" w:type="pct"/>
          </w:tcPr>
          <w:p w14:paraId="5BF2A294"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Commissioner(s), Managers as required</w:t>
            </w:r>
          </w:p>
        </w:tc>
      </w:tr>
      <w:tr w:rsidR="002739B0" w:rsidRPr="00DE0577" w14:paraId="4AA87D3B" w14:textId="77777777" w:rsidTr="005A4380">
        <w:tc>
          <w:tcPr>
            <w:tcW w:w="1143" w:type="pct"/>
          </w:tcPr>
          <w:p w14:paraId="5A36B229"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Internal</w:t>
            </w:r>
          </w:p>
        </w:tc>
        <w:tc>
          <w:tcPr>
            <w:tcW w:w="3857" w:type="pct"/>
          </w:tcPr>
          <w:p w14:paraId="7F5DC055"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 xml:space="preserve">Chief Legal Adviser, Other Human Rights </w:t>
            </w:r>
            <w:r w:rsidR="00280002" w:rsidRPr="00DE0577">
              <w:rPr>
                <w:rFonts w:ascii="Arial" w:hAnsi="Arial" w:cs="Arial"/>
                <w:lang w:val="en-GB"/>
              </w:rPr>
              <w:t>Advisors</w:t>
            </w:r>
            <w:r w:rsidRPr="00DE0577">
              <w:rPr>
                <w:rFonts w:ascii="Arial" w:hAnsi="Arial" w:cs="Arial"/>
                <w:lang w:val="en-GB"/>
              </w:rPr>
              <w:t>, Commissioner(s) with relevant spheres of responsibility, Other Commission staff</w:t>
            </w:r>
          </w:p>
        </w:tc>
      </w:tr>
      <w:tr w:rsidR="002739B0" w:rsidRPr="00DE0577" w14:paraId="27E96A93" w14:textId="77777777" w:rsidTr="005A4380">
        <w:tc>
          <w:tcPr>
            <w:tcW w:w="1143" w:type="pct"/>
          </w:tcPr>
          <w:p w14:paraId="3CD9201E"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External</w:t>
            </w:r>
          </w:p>
        </w:tc>
        <w:tc>
          <w:tcPr>
            <w:tcW w:w="3857" w:type="pct"/>
          </w:tcPr>
          <w:p w14:paraId="70B1F703"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Officials and their direct reports (key decision makers and influencers) of ministries and government agencies.</w:t>
            </w:r>
          </w:p>
          <w:p w14:paraId="765E1F4E" w14:textId="1821468A" w:rsidR="002739B0" w:rsidRPr="00DE0577" w:rsidRDefault="002739B0" w:rsidP="00DE0577">
            <w:pPr>
              <w:spacing w:after="0" w:line="276" w:lineRule="auto"/>
              <w:rPr>
                <w:rFonts w:ascii="Arial" w:hAnsi="Arial" w:cs="Arial"/>
                <w:lang w:val="en-GB"/>
              </w:rPr>
            </w:pPr>
            <w:r w:rsidRPr="00DE0577">
              <w:rPr>
                <w:rFonts w:ascii="Arial" w:hAnsi="Arial" w:cs="Arial"/>
                <w:lang w:val="en-GB"/>
              </w:rPr>
              <w:t>Members of</w:t>
            </w:r>
            <w:r w:rsidR="008C64D9" w:rsidRPr="00DE0577">
              <w:rPr>
                <w:rFonts w:ascii="Arial" w:hAnsi="Arial" w:cs="Arial"/>
                <w:lang w:val="en-GB"/>
              </w:rPr>
              <w:t xml:space="preserve"> </w:t>
            </w:r>
            <w:r w:rsidRPr="00DE0577">
              <w:rPr>
                <w:rFonts w:ascii="Arial" w:hAnsi="Arial" w:cs="Arial"/>
                <w:lang w:val="en-GB"/>
              </w:rPr>
              <w:t>community and civil society organisations</w:t>
            </w:r>
            <w:r w:rsidR="008C64D9" w:rsidRPr="00DE0577">
              <w:rPr>
                <w:rFonts w:ascii="Arial" w:hAnsi="Arial" w:cs="Arial"/>
                <w:lang w:val="en-GB"/>
              </w:rPr>
              <w:t xml:space="preserve"> and </w:t>
            </w:r>
            <w:r w:rsidRPr="00DE0577">
              <w:rPr>
                <w:rFonts w:ascii="Arial" w:hAnsi="Arial" w:cs="Arial"/>
                <w:lang w:val="en-GB"/>
              </w:rPr>
              <w:t>business, with a focus on leaders</w:t>
            </w:r>
          </w:p>
          <w:p w14:paraId="13E3DEDC"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 xml:space="preserve">Key influencers and decision makers in the human rights sector. </w:t>
            </w:r>
          </w:p>
        </w:tc>
      </w:tr>
      <w:tr w:rsidR="002739B0" w:rsidRPr="00DE0577" w14:paraId="188EC6B9" w14:textId="77777777" w:rsidTr="005A4380">
        <w:tc>
          <w:tcPr>
            <w:tcW w:w="1143" w:type="pct"/>
          </w:tcPr>
          <w:p w14:paraId="40AA5C46"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Direct Reports</w:t>
            </w:r>
          </w:p>
        </w:tc>
        <w:tc>
          <w:tcPr>
            <w:tcW w:w="3857" w:type="pct"/>
          </w:tcPr>
          <w:p w14:paraId="62A2BF39" w14:textId="591BD2A8" w:rsidR="002739B0" w:rsidRPr="00DE0577" w:rsidRDefault="002B79B3" w:rsidP="00DE0577">
            <w:pPr>
              <w:spacing w:after="0" w:line="276" w:lineRule="auto"/>
              <w:rPr>
                <w:rFonts w:ascii="Arial" w:hAnsi="Arial" w:cs="Arial"/>
                <w:lang w:val="en-GB"/>
              </w:rPr>
            </w:pPr>
            <w:r w:rsidRPr="00DE0577">
              <w:rPr>
                <w:rFonts w:ascii="Arial" w:hAnsi="Arial" w:cs="Arial"/>
                <w:lang w:val="en-GB"/>
              </w:rPr>
              <w:t>Human Rights Commission intern (graduate)</w:t>
            </w:r>
          </w:p>
        </w:tc>
      </w:tr>
    </w:tbl>
    <w:p w14:paraId="386A78F4" w14:textId="7CCE4369" w:rsidR="002739B0" w:rsidRDefault="002739B0" w:rsidP="00DE0577">
      <w:pPr>
        <w:spacing w:after="0" w:line="276" w:lineRule="auto"/>
        <w:rPr>
          <w:rFonts w:ascii="Arial" w:hAnsi="Arial" w:cs="Arial"/>
          <w:b/>
          <w:lang w:val="en-GB"/>
        </w:rPr>
      </w:pPr>
    </w:p>
    <w:p w14:paraId="0FFD045D" w14:textId="77777777" w:rsidR="00DE0577" w:rsidRPr="00DE0577" w:rsidRDefault="00DE0577" w:rsidP="00DE0577">
      <w:pPr>
        <w:spacing w:after="0" w:line="276" w:lineRule="auto"/>
        <w:rPr>
          <w:rFonts w:ascii="Arial" w:hAnsi="Arial" w:cs="Arial"/>
          <w:b/>
          <w:lang w:val="en-GB"/>
        </w:rPr>
      </w:pPr>
    </w:p>
    <w:p w14:paraId="67AF08FF"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ORGANISATIONAL VALUES</w:t>
      </w:r>
    </w:p>
    <w:p w14:paraId="40F90F1B" w14:textId="77777777" w:rsidR="002739B0" w:rsidRPr="00DE0577" w:rsidRDefault="002739B0" w:rsidP="00DE0577">
      <w:pPr>
        <w:numPr>
          <w:ilvl w:val="0"/>
          <w:numId w:val="12"/>
        </w:numPr>
        <w:spacing w:after="0" w:line="276" w:lineRule="auto"/>
        <w:rPr>
          <w:rFonts w:ascii="Arial" w:hAnsi="Arial" w:cs="Arial"/>
          <w:bCs/>
          <w:lang w:val="en-GB"/>
        </w:rPr>
      </w:pPr>
      <w:r w:rsidRPr="00DE0577">
        <w:rPr>
          <w:rFonts w:ascii="Arial" w:hAnsi="Arial" w:cs="Arial"/>
          <w:b/>
          <w:bCs/>
          <w:lang w:val="en-GB"/>
        </w:rPr>
        <w:t>Human Dignity</w:t>
      </w:r>
      <w:r w:rsidRPr="00DE0577">
        <w:rPr>
          <w:rFonts w:ascii="Arial" w:hAnsi="Arial" w:cs="Arial"/>
          <w:bCs/>
          <w:lang w:val="en-GB"/>
        </w:rPr>
        <w:t xml:space="preserve"> - Mana Tangata</w:t>
      </w:r>
    </w:p>
    <w:p w14:paraId="2DC54AF0" w14:textId="77777777" w:rsidR="002739B0" w:rsidRPr="00DE0577" w:rsidRDefault="002739B0" w:rsidP="00DE0577">
      <w:pPr>
        <w:numPr>
          <w:ilvl w:val="0"/>
          <w:numId w:val="12"/>
        </w:numPr>
        <w:spacing w:after="0" w:line="276" w:lineRule="auto"/>
        <w:rPr>
          <w:rFonts w:ascii="Arial" w:hAnsi="Arial" w:cs="Arial"/>
          <w:bCs/>
          <w:lang w:val="en-GB"/>
        </w:rPr>
      </w:pPr>
      <w:r w:rsidRPr="00DE0577">
        <w:rPr>
          <w:rFonts w:ascii="Arial" w:hAnsi="Arial" w:cs="Arial"/>
          <w:b/>
          <w:bCs/>
          <w:lang w:val="en-GB"/>
        </w:rPr>
        <w:t>Courage and Integrity</w:t>
      </w:r>
      <w:r w:rsidRPr="00DE0577">
        <w:rPr>
          <w:rFonts w:ascii="Arial" w:hAnsi="Arial" w:cs="Arial"/>
          <w:bCs/>
          <w:lang w:val="en-GB"/>
        </w:rPr>
        <w:t xml:space="preserve"> – Maia Tika Pono</w:t>
      </w:r>
    </w:p>
    <w:p w14:paraId="04D8A1A6" w14:textId="77777777" w:rsidR="002739B0" w:rsidRPr="00DE0577" w:rsidRDefault="002739B0" w:rsidP="00DE0577">
      <w:pPr>
        <w:numPr>
          <w:ilvl w:val="0"/>
          <w:numId w:val="12"/>
        </w:numPr>
        <w:spacing w:after="0" w:line="276" w:lineRule="auto"/>
        <w:rPr>
          <w:rFonts w:ascii="Arial" w:hAnsi="Arial" w:cs="Arial"/>
          <w:bCs/>
          <w:lang w:val="en-GB"/>
        </w:rPr>
      </w:pPr>
      <w:r w:rsidRPr="00DE0577">
        <w:rPr>
          <w:rFonts w:ascii="Arial" w:hAnsi="Arial" w:cs="Arial"/>
          <w:b/>
          <w:bCs/>
          <w:lang w:val="en-GB"/>
        </w:rPr>
        <w:t>Relationships</w:t>
      </w:r>
      <w:r w:rsidRPr="00DE0577">
        <w:rPr>
          <w:rFonts w:ascii="Arial" w:hAnsi="Arial" w:cs="Arial"/>
          <w:bCs/>
          <w:lang w:val="en-GB"/>
        </w:rPr>
        <w:t xml:space="preserve"> - Whanaungatanga  </w:t>
      </w:r>
    </w:p>
    <w:p w14:paraId="05BE0339" w14:textId="77777777" w:rsidR="002739B0" w:rsidRPr="00DE0577" w:rsidRDefault="002739B0" w:rsidP="00DE0577">
      <w:pPr>
        <w:spacing w:after="0" w:line="276" w:lineRule="auto"/>
        <w:rPr>
          <w:rFonts w:ascii="Arial" w:hAnsi="Arial" w:cs="Arial"/>
          <w:b/>
          <w:lang w:val="en-GB"/>
        </w:rPr>
      </w:pPr>
    </w:p>
    <w:p w14:paraId="658E51BC" w14:textId="789D28F1" w:rsidR="002739B0" w:rsidRDefault="002739B0" w:rsidP="00DE0577">
      <w:pPr>
        <w:spacing w:after="0" w:line="276" w:lineRule="auto"/>
        <w:rPr>
          <w:rFonts w:ascii="Arial" w:hAnsi="Arial" w:cs="Arial"/>
          <w:b/>
          <w:lang w:val="en-GB"/>
        </w:rPr>
      </w:pPr>
      <w:r w:rsidRPr="00DE0577">
        <w:rPr>
          <w:rFonts w:ascii="Arial" w:hAnsi="Arial" w:cs="Arial"/>
          <w:b/>
          <w:lang w:val="en-GB"/>
        </w:rPr>
        <w:t>KEY ACCOUNTABILITIES</w:t>
      </w:r>
    </w:p>
    <w:p w14:paraId="4038987E" w14:textId="77777777" w:rsidR="00DE0577" w:rsidRPr="00DE0577" w:rsidRDefault="00DE0577" w:rsidP="00DE0577">
      <w:pPr>
        <w:spacing w:after="0" w:line="276" w:lineRule="auto"/>
        <w:rPr>
          <w:rFonts w:ascii="Arial" w:hAnsi="Arial" w:cs="Arial"/>
          <w:b/>
          <w:lang w:val="en-GB"/>
        </w:rPr>
      </w:pPr>
    </w:p>
    <w:p w14:paraId="1FE283B3"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Applies intervention strategies to improve human rights outcomes, listening to and communicating with affected people, and uses leverage to achieve social change at the local and national level by:</w:t>
      </w:r>
    </w:p>
    <w:p w14:paraId="4FE31ACE" w14:textId="25B89721" w:rsidR="002739B0" w:rsidRPr="00DE0577" w:rsidRDefault="002739B0" w:rsidP="00DE0577">
      <w:pPr>
        <w:numPr>
          <w:ilvl w:val="0"/>
          <w:numId w:val="4"/>
        </w:numPr>
        <w:spacing w:after="0" w:line="276" w:lineRule="auto"/>
        <w:rPr>
          <w:rFonts w:ascii="Arial" w:hAnsi="Arial" w:cs="Arial"/>
          <w:lang w:val="en-GB"/>
        </w:rPr>
      </w:pPr>
      <w:r w:rsidRPr="00DE0577">
        <w:rPr>
          <w:rFonts w:ascii="Arial" w:hAnsi="Arial" w:cs="Arial"/>
          <w:lang w:val="en-GB"/>
        </w:rPr>
        <w:t>engaging with organisations</w:t>
      </w:r>
      <w:r w:rsidR="008C64D9" w:rsidRPr="00DE0577">
        <w:rPr>
          <w:rFonts w:ascii="Arial" w:hAnsi="Arial" w:cs="Arial"/>
          <w:lang w:val="en-GB"/>
        </w:rPr>
        <w:t>, businesses</w:t>
      </w:r>
      <w:r w:rsidRPr="00DE0577">
        <w:rPr>
          <w:rFonts w:ascii="Arial" w:hAnsi="Arial" w:cs="Arial"/>
          <w:lang w:val="en-GB"/>
        </w:rPr>
        <w:t xml:space="preserve"> </w:t>
      </w:r>
      <w:r w:rsidR="008C64D9" w:rsidRPr="00DE0577">
        <w:rPr>
          <w:rFonts w:ascii="Arial" w:hAnsi="Arial" w:cs="Arial"/>
          <w:lang w:val="en-GB"/>
        </w:rPr>
        <w:t>and</w:t>
      </w:r>
      <w:r w:rsidRPr="00DE0577">
        <w:rPr>
          <w:rFonts w:ascii="Arial" w:hAnsi="Arial" w:cs="Arial"/>
          <w:lang w:val="en-GB"/>
        </w:rPr>
        <w:t xml:space="preserve"> partners through education, awareness building and community development to support understanding and identification of human rights issues, to identify solutions locally, to encourage action, and to test solutions</w:t>
      </w:r>
    </w:p>
    <w:p w14:paraId="56883431" w14:textId="6AC5535F" w:rsidR="002739B0" w:rsidRPr="00DE0577" w:rsidRDefault="002739B0" w:rsidP="00DE0577">
      <w:pPr>
        <w:numPr>
          <w:ilvl w:val="0"/>
          <w:numId w:val="4"/>
        </w:numPr>
        <w:spacing w:after="0" w:line="276" w:lineRule="auto"/>
        <w:rPr>
          <w:rFonts w:ascii="Arial" w:hAnsi="Arial" w:cs="Arial"/>
          <w:lang w:val="en-GB"/>
        </w:rPr>
      </w:pPr>
      <w:r w:rsidRPr="00DE0577">
        <w:rPr>
          <w:rFonts w:ascii="Arial" w:hAnsi="Arial" w:cs="Arial"/>
          <w:lang w:val="en-GB"/>
        </w:rPr>
        <w:t>engaging with and educating key influencers and decision makers in duty bearer organisations at national and local level about the role and value of human rights, and influencing the adoption of solutions identified in the community</w:t>
      </w:r>
      <w:r w:rsidR="008C64D9" w:rsidRPr="00DE0577">
        <w:rPr>
          <w:rFonts w:ascii="Arial" w:hAnsi="Arial" w:cs="Arial"/>
          <w:lang w:val="en-GB"/>
        </w:rPr>
        <w:t>, business</w:t>
      </w:r>
      <w:r w:rsidRPr="00DE0577">
        <w:rPr>
          <w:rFonts w:ascii="Arial" w:hAnsi="Arial" w:cs="Arial"/>
          <w:lang w:val="en-GB"/>
        </w:rPr>
        <w:t xml:space="preserve"> and elsewhere to change human rights outcomes at a systemic level, locally and nationally</w:t>
      </w:r>
    </w:p>
    <w:p w14:paraId="42471018" w14:textId="77777777" w:rsidR="002739B0" w:rsidRPr="00DE0577" w:rsidRDefault="002739B0" w:rsidP="00DE0577">
      <w:pPr>
        <w:numPr>
          <w:ilvl w:val="0"/>
          <w:numId w:val="4"/>
        </w:numPr>
        <w:spacing w:after="0" w:line="276" w:lineRule="auto"/>
        <w:rPr>
          <w:rFonts w:ascii="Arial" w:hAnsi="Arial" w:cs="Arial"/>
          <w:lang w:val="en-GB"/>
        </w:rPr>
      </w:pPr>
      <w:r w:rsidRPr="00DE0577">
        <w:rPr>
          <w:rFonts w:ascii="Arial" w:hAnsi="Arial" w:cs="Arial"/>
          <w:lang w:val="en-GB"/>
        </w:rPr>
        <w:t>facilitating engagement between organisations based in communities and people in power to achieve human rights outcomes</w:t>
      </w:r>
    </w:p>
    <w:p w14:paraId="3B414FD2" w14:textId="77777777" w:rsidR="007D0EF8" w:rsidRPr="00DE0577" w:rsidRDefault="007D0EF8" w:rsidP="00DE0577">
      <w:pPr>
        <w:pStyle w:val="ListParagraph"/>
        <w:numPr>
          <w:ilvl w:val="0"/>
          <w:numId w:val="3"/>
        </w:numPr>
        <w:spacing w:after="0"/>
        <w:rPr>
          <w:rFonts w:ascii="Arial" w:hAnsi="Arial" w:cs="Arial"/>
          <w:lang w:val="en-GB"/>
        </w:rPr>
      </w:pPr>
      <w:r w:rsidRPr="00DE0577">
        <w:rPr>
          <w:rFonts w:ascii="Arial" w:hAnsi="Arial" w:cs="Arial"/>
          <w:lang w:val="en-GB"/>
        </w:rPr>
        <w:t>Contributes to the Disability Rights issues team to deliver high quality outputs and have strong impacts on targeted human rights outcomes which improve the lives of affected people</w:t>
      </w:r>
    </w:p>
    <w:p w14:paraId="53A002BB"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Contributes information and analysis to support and inform international treaty body and domestic monitoring and reporting, the development of the National Plan of Action, Commission Inquiries, and the content of submissions in the policy process, and provides responses to broader human rights matters</w:t>
      </w:r>
    </w:p>
    <w:p w14:paraId="3C9598CD"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Provides support for the independent monitoring mechanism for the CRPD, and OPCAT monitoring and reporting, working with the Research, Monitoring and Evaluation team (where assigned)</w:t>
      </w:r>
    </w:p>
    <w:p w14:paraId="5213B448" w14:textId="77777777" w:rsidR="00280002" w:rsidRPr="00DE0577" w:rsidRDefault="00280002" w:rsidP="00DE0577">
      <w:pPr>
        <w:pStyle w:val="ListParagraph"/>
        <w:numPr>
          <w:ilvl w:val="0"/>
          <w:numId w:val="3"/>
        </w:numPr>
        <w:spacing w:after="0" w:line="276" w:lineRule="auto"/>
        <w:rPr>
          <w:rFonts w:ascii="Arial" w:hAnsi="Arial" w:cs="Arial"/>
          <w:lang w:val="en-GB"/>
        </w:rPr>
      </w:pPr>
      <w:r w:rsidRPr="00DE0577">
        <w:rPr>
          <w:rFonts w:ascii="Arial" w:hAnsi="Arial" w:cs="Arial"/>
          <w:lang w:val="en-GB"/>
        </w:rPr>
        <w:t>Provides leadership and management of the team as assigned by the manager</w:t>
      </w:r>
    </w:p>
    <w:p w14:paraId="58F816C1"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Provides information required for internal monitoring, reporting and communication</w:t>
      </w:r>
    </w:p>
    <w:p w14:paraId="408DD9D5"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lastRenderedPageBreak/>
        <w:t>Provides information required for monitoring, reporting, communication and the identification of strategic priorities</w:t>
      </w:r>
    </w:p>
    <w:p w14:paraId="1CEA938D"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Operates as a member of a cross-functional issues team</w:t>
      </w:r>
    </w:p>
    <w:p w14:paraId="6E2B5386"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May be a member of a practice group</w:t>
      </w:r>
    </w:p>
    <w:p w14:paraId="0F302A94"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Own work tasks, as set out in the annual work plan or assigned by the direct manager</w:t>
      </w:r>
    </w:p>
    <w:p w14:paraId="45DE1CA6"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 xml:space="preserve">Receive on </w:t>
      </w:r>
      <w:proofErr w:type="gramStart"/>
      <w:r w:rsidRPr="00DE0577">
        <w:rPr>
          <w:rFonts w:ascii="Arial" w:hAnsi="Arial" w:cs="Arial"/>
          <w:lang w:val="en-GB"/>
        </w:rPr>
        <w:t>a rostered basis members of the public</w:t>
      </w:r>
      <w:proofErr w:type="gramEnd"/>
      <w:r w:rsidRPr="00DE0577">
        <w:rPr>
          <w:rFonts w:ascii="Arial" w:hAnsi="Arial" w:cs="Arial"/>
          <w:lang w:val="en-GB"/>
        </w:rPr>
        <w:t xml:space="preserve"> who drop in to the office with complaints and enquiries</w:t>
      </w:r>
    </w:p>
    <w:p w14:paraId="74FDDE93" w14:textId="77777777" w:rsidR="002739B0" w:rsidRPr="00DE0577" w:rsidRDefault="002739B0" w:rsidP="00DE0577">
      <w:pPr>
        <w:numPr>
          <w:ilvl w:val="0"/>
          <w:numId w:val="3"/>
        </w:numPr>
        <w:spacing w:after="0" w:line="276" w:lineRule="auto"/>
        <w:rPr>
          <w:rFonts w:ascii="Arial" w:hAnsi="Arial" w:cs="Arial"/>
          <w:lang w:val="en-GB"/>
        </w:rPr>
      </w:pPr>
      <w:r w:rsidRPr="00DE0577">
        <w:rPr>
          <w:rFonts w:ascii="Arial" w:hAnsi="Arial" w:cs="Arial"/>
          <w:lang w:val="en-GB"/>
        </w:rPr>
        <w:t>Understand Human Rights Commission health and safety policies and relevant procedures and apply them to own work activities</w:t>
      </w:r>
    </w:p>
    <w:p w14:paraId="4A50982D" w14:textId="77777777" w:rsidR="002739B0" w:rsidRPr="00DE0577" w:rsidRDefault="002739B0" w:rsidP="00DE0577">
      <w:pPr>
        <w:spacing w:after="0" w:line="276" w:lineRule="auto"/>
        <w:rPr>
          <w:rFonts w:ascii="Arial" w:hAnsi="Arial" w:cs="Arial"/>
          <w:b/>
          <w:lang w:val="en-GB"/>
        </w:rPr>
      </w:pPr>
    </w:p>
    <w:p w14:paraId="10EACA0C" w14:textId="563EE5D3" w:rsidR="002739B0" w:rsidRDefault="002739B0" w:rsidP="00DE0577">
      <w:pPr>
        <w:spacing w:after="0" w:line="276" w:lineRule="auto"/>
        <w:rPr>
          <w:rFonts w:ascii="Arial" w:hAnsi="Arial" w:cs="Arial"/>
          <w:b/>
          <w:lang w:val="en-GB"/>
        </w:rPr>
      </w:pPr>
      <w:r w:rsidRPr="00DE0577">
        <w:rPr>
          <w:rFonts w:ascii="Arial" w:hAnsi="Arial" w:cs="Arial"/>
          <w:b/>
          <w:lang w:val="en-GB"/>
        </w:rPr>
        <w:t>PERSON SPECIFICATION</w:t>
      </w:r>
    </w:p>
    <w:p w14:paraId="4603B781" w14:textId="77777777" w:rsidR="00DE0577" w:rsidRPr="00DE0577" w:rsidRDefault="00DE0577" w:rsidP="00DE0577">
      <w:pPr>
        <w:spacing w:after="0" w:line="276" w:lineRule="auto"/>
        <w:rPr>
          <w:rFonts w:ascii="Arial" w:hAnsi="Arial" w:cs="Arial"/>
          <w:b/>
          <w:lang w:val="en-GB"/>
        </w:rPr>
      </w:pPr>
    </w:p>
    <w:tbl>
      <w:tblPr>
        <w:tblW w:w="978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0"/>
        <w:gridCol w:w="7801"/>
      </w:tblGrid>
      <w:tr w:rsidR="002739B0" w:rsidRPr="00DE0577" w14:paraId="66871BE9" w14:textId="77777777" w:rsidTr="005A4380">
        <w:tc>
          <w:tcPr>
            <w:tcW w:w="1980" w:type="dxa"/>
          </w:tcPr>
          <w:p w14:paraId="1A55DDB7"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Qualifications &amp; Training:</w:t>
            </w:r>
          </w:p>
        </w:tc>
        <w:tc>
          <w:tcPr>
            <w:tcW w:w="7801" w:type="dxa"/>
          </w:tcPr>
          <w:p w14:paraId="6B278786" w14:textId="77777777" w:rsidR="002739B0" w:rsidRPr="00DE0577" w:rsidRDefault="002739B0" w:rsidP="00DE0577">
            <w:pPr>
              <w:spacing w:after="0" w:line="276" w:lineRule="auto"/>
              <w:rPr>
                <w:rFonts w:ascii="Arial" w:hAnsi="Arial" w:cs="Arial"/>
                <w:lang w:val="en-GB"/>
              </w:rPr>
            </w:pPr>
            <w:r w:rsidRPr="00DE0577">
              <w:rPr>
                <w:rFonts w:ascii="Arial" w:hAnsi="Arial" w:cs="Arial"/>
                <w:lang w:val="en-GB"/>
              </w:rPr>
              <w:t xml:space="preserve">A relevant University degree </w:t>
            </w:r>
            <w:r w:rsidR="003D67CD" w:rsidRPr="00DE0577">
              <w:rPr>
                <w:rFonts w:ascii="Arial" w:hAnsi="Arial" w:cs="Arial"/>
                <w:lang w:val="en-GB"/>
              </w:rPr>
              <w:t>and experience in disability rights.</w:t>
            </w:r>
          </w:p>
        </w:tc>
      </w:tr>
      <w:tr w:rsidR="002739B0" w:rsidRPr="00DE0577" w14:paraId="50BDB9C0" w14:textId="77777777" w:rsidTr="005A4380">
        <w:tc>
          <w:tcPr>
            <w:tcW w:w="1980" w:type="dxa"/>
            <w:tcBorders>
              <w:top w:val="single" w:sz="4" w:space="0" w:color="999999"/>
              <w:left w:val="single" w:sz="4" w:space="0" w:color="999999"/>
              <w:bottom w:val="single" w:sz="4" w:space="0" w:color="999999"/>
              <w:right w:val="single" w:sz="4" w:space="0" w:color="999999"/>
            </w:tcBorders>
          </w:tcPr>
          <w:p w14:paraId="684699C7" w14:textId="77777777" w:rsidR="002739B0" w:rsidRPr="00DE0577" w:rsidRDefault="002739B0" w:rsidP="00DE0577">
            <w:pPr>
              <w:spacing w:after="0" w:line="276" w:lineRule="auto"/>
              <w:rPr>
                <w:rFonts w:ascii="Arial" w:hAnsi="Arial" w:cs="Arial"/>
                <w:b/>
                <w:lang w:val="en-GB"/>
              </w:rPr>
            </w:pPr>
            <w:r w:rsidRPr="00DE0577">
              <w:rPr>
                <w:rFonts w:ascii="Arial" w:hAnsi="Arial" w:cs="Arial"/>
                <w:b/>
                <w:lang w:val="en-GB"/>
              </w:rPr>
              <w:t>Experience:</w:t>
            </w:r>
          </w:p>
        </w:tc>
        <w:tc>
          <w:tcPr>
            <w:tcW w:w="7801" w:type="dxa"/>
            <w:tcBorders>
              <w:top w:val="single" w:sz="4" w:space="0" w:color="999999"/>
              <w:left w:val="single" w:sz="4" w:space="0" w:color="999999"/>
              <w:bottom w:val="single" w:sz="4" w:space="0" w:color="999999"/>
              <w:right w:val="single" w:sz="4" w:space="0" w:color="999999"/>
            </w:tcBorders>
          </w:tcPr>
          <w:p w14:paraId="778642DA"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A strong background in human rights and a sophisticated understanding of the public policy issues and community attitudes relating to human rights and</w:t>
            </w:r>
            <w:r w:rsidR="00921C3C" w:rsidRPr="00DE0577">
              <w:rPr>
                <w:rFonts w:ascii="Arial" w:hAnsi="Arial" w:cs="Arial"/>
                <w:lang w:val="en-GB"/>
              </w:rPr>
              <w:t xml:space="preserve"> disability rights in New Zealand.</w:t>
            </w:r>
            <w:r w:rsidRPr="00DE0577">
              <w:rPr>
                <w:rFonts w:ascii="Arial" w:hAnsi="Arial" w:cs="Arial"/>
                <w:lang w:val="en-GB"/>
              </w:rPr>
              <w:t xml:space="preserve"> </w:t>
            </w:r>
          </w:p>
          <w:p w14:paraId="74BFA40C"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Knowledge of human rights and harmonious relations, and expertise</w:t>
            </w:r>
            <w:r w:rsidR="00921C3C" w:rsidRPr="00DE0577">
              <w:rPr>
                <w:rFonts w:ascii="Arial" w:hAnsi="Arial" w:cs="Arial"/>
                <w:lang w:val="en-GB"/>
              </w:rPr>
              <w:t xml:space="preserve"> in disability rights. Knowledge of other Commission priority </w:t>
            </w:r>
            <w:r w:rsidRPr="00DE0577">
              <w:rPr>
                <w:rFonts w:ascii="Arial" w:hAnsi="Arial" w:cs="Arial"/>
                <w:lang w:val="en-GB"/>
              </w:rPr>
              <w:t xml:space="preserve">areas including race relations, indigenous rights, human rights dimensions of the Treaty of Waitangi, Equal Employment Opportunities, and the rights of disabled people, sexual minorities, women, children, prisoners and victims </w:t>
            </w:r>
            <w:r w:rsidR="00921C3C" w:rsidRPr="00DE0577">
              <w:rPr>
                <w:rFonts w:ascii="Arial" w:hAnsi="Arial" w:cs="Arial"/>
                <w:lang w:val="en-GB"/>
              </w:rPr>
              <w:t>beneficial.</w:t>
            </w:r>
          </w:p>
          <w:p w14:paraId="77054E20"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 xml:space="preserve">A proven ability to develop and implement strategies </w:t>
            </w:r>
            <w:r w:rsidR="00280002" w:rsidRPr="00DE0577">
              <w:rPr>
                <w:rFonts w:ascii="Arial" w:hAnsi="Arial" w:cs="Arial"/>
                <w:lang w:val="en-GB"/>
              </w:rPr>
              <w:t>that influence</w:t>
            </w:r>
            <w:r w:rsidRPr="00DE0577">
              <w:rPr>
                <w:rFonts w:ascii="Arial" w:hAnsi="Arial" w:cs="Arial"/>
                <w:lang w:val="en-GB"/>
              </w:rPr>
              <w:t xml:space="preserve"> the attitude of key audiences towards human rights and harmonious relations and promote a human rights culture</w:t>
            </w:r>
          </w:p>
          <w:p w14:paraId="219325E0" w14:textId="77777777" w:rsidR="00921C3C" w:rsidRPr="00DE0577" w:rsidRDefault="00921C3C" w:rsidP="00DE0577">
            <w:pPr>
              <w:numPr>
                <w:ilvl w:val="0"/>
                <w:numId w:val="5"/>
              </w:numPr>
              <w:spacing w:after="0" w:line="276" w:lineRule="auto"/>
              <w:rPr>
                <w:rFonts w:ascii="Arial" w:hAnsi="Arial" w:cs="Arial"/>
                <w:lang w:val="en-GB"/>
              </w:rPr>
            </w:pPr>
            <w:r w:rsidRPr="00DE0577">
              <w:rPr>
                <w:rFonts w:ascii="Arial" w:hAnsi="Arial" w:cs="Arial"/>
                <w:lang w:val="en-GB"/>
              </w:rPr>
              <w:t>Strong research and writing skills</w:t>
            </w:r>
          </w:p>
          <w:p w14:paraId="6021C80C" w14:textId="77777777" w:rsidR="008C64D9" w:rsidRPr="00DE0577" w:rsidRDefault="008C64D9" w:rsidP="00DE0577">
            <w:pPr>
              <w:numPr>
                <w:ilvl w:val="0"/>
                <w:numId w:val="5"/>
              </w:numPr>
              <w:spacing w:after="0" w:line="276" w:lineRule="auto"/>
              <w:rPr>
                <w:rFonts w:ascii="Arial" w:hAnsi="Arial" w:cs="Arial"/>
                <w:lang w:val="en-GB"/>
              </w:rPr>
            </w:pPr>
            <w:r w:rsidRPr="00DE0577">
              <w:rPr>
                <w:rFonts w:ascii="Arial" w:hAnsi="Arial" w:cs="Arial"/>
                <w:lang w:val="en-GB"/>
              </w:rPr>
              <w:t>An advanced understanding of the machinery of government. Well established networks across government is desirable.</w:t>
            </w:r>
          </w:p>
          <w:p w14:paraId="2520CCC8" w14:textId="76A2D712"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Experience and expertise in at least some of the methodologies and practice of community</w:t>
            </w:r>
            <w:r w:rsidR="008C64D9" w:rsidRPr="00DE0577">
              <w:rPr>
                <w:rFonts w:ascii="Arial" w:hAnsi="Arial" w:cs="Arial"/>
                <w:lang w:val="en-GB"/>
              </w:rPr>
              <w:t xml:space="preserve"> and business</w:t>
            </w:r>
            <w:r w:rsidRPr="00DE0577">
              <w:rPr>
                <w:rFonts w:ascii="Arial" w:hAnsi="Arial" w:cs="Arial"/>
                <w:lang w:val="en-GB"/>
              </w:rPr>
              <w:t xml:space="preserve"> engagement, community development, human rights education, or advocacy  </w:t>
            </w:r>
          </w:p>
          <w:p w14:paraId="765CD64A"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 xml:space="preserve">Knowledge of, and experience in, national and local government and parliamentary processes </w:t>
            </w:r>
          </w:p>
          <w:p w14:paraId="6295D994" w14:textId="58C0B2A4"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 xml:space="preserve">Experience in </w:t>
            </w:r>
            <w:r w:rsidR="00DE0577" w:rsidRPr="00DE0577">
              <w:rPr>
                <w:rFonts w:ascii="Arial" w:hAnsi="Arial" w:cs="Arial"/>
                <w:lang w:val="en-GB"/>
              </w:rPr>
              <w:t>managing multiple</w:t>
            </w:r>
            <w:bookmarkStart w:id="0" w:name="_GoBack"/>
            <w:bookmarkEnd w:id="0"/>
            <w:r w:rsidR="008C64D9" w:rsidRPr="00DE0577">
              <w:rPr>
                <w:rFonts w:ascii="Arial" w:hAnsi="Arial" w:cs="Arial"/>
                <w:lang w:val="en-GB"/>
              </w:rPr>
              <w:t xml:space="preserve"> work streams including </w:t>
            </w:r>
            <w:r w:rsidRPr="00DE0577">
              <w:rPr>
                <w:rFonts w:ascii="Arial" w:hAnsi="Arial" w:cs="Arial"/>
                <w:lang w:val="en-GB"/>
              </w:rPr>
              <w:t xml:space="preserve">internal and external relationships with a variety of audiences in a challenging environment, and demonstrated success in building relationships and gaining the support and participation of key individuals and groups </w:t>
            </w:r>
          </w:p>
          <w:p w14:paraId="29C8F6FB" w14:textId="77777777" w:rsidR="00280002" w:rsidRPr="00DE0577" w:rsidRDefault="00921C3C" w:rsidP="00DE0577">
            <w:pPr>
              <w:pStyle w:val="ListParagraph"/>
              <w:numPr>
                <w:ilvl w:val="0"/>
                <w:numId w:val="5"/>
              </w:numPr>
              <w:spacing w:after="0" w:line="276" w:lineRule="auto"/>
              <w:rPr>
                <w:rFonts w:ascii="Arial" w:hAnsi="Arial" w:cs="Arial"/>
                <w:lang w:val="en-GB"/>
              </w:rPr>
            </w:pPr>
            <w:r w:rsidRPr="00DE0577">
              <w:rPr>
                <w:rFonts w:ascii="Arial" w:hAnsi="Arial" w:cs="Arial"/>
                <w:lang w:val="en-GB"/>
              </w:rPr>
              <w:t xml:space="preserve">Strategic leadership skills and an in-depth understanding of the disability rights sector </w:t>
            </w:r>
          </w:p>
          <w:p w14:paraId="1DB7CA76"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Demonstrated ability to prepare accessible and persuasive written material</w:t>
            </w:r>
          </w:p>
          <w:p w14:paraId="2EDECB16"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 xml:space="preserve">Lived experience and/or expertise in one or more of the Commission’s population group audiences including Māori (including tikanga and </w:t>
            </w:r>
            <w:proofErr w:type="spellStart"/>
            <w:r w:rsidRPr="00DE0577">
              <w:rPr>
                <w:rFonts w:ascii="Arial" w:hAnsi="Arial" w:cs="Arial"/>
                <w:lang w:val="en-GB"/>
              </w:rPr>
              <w:t>te</w:t>
            </w:r>
            <w:proofErr w:type="spellEnd"/>
            <w:r w:rsidRPr="00DE0577">
              <w:rPr>
                <w:rFonts w:ascii="Arial" w:hAnsi="Arial" w:cs="Arial"/>
                <w:lang w:val="en-GB"/>
              </w:rPr>
              <w:t xml:space="preserve"> </w:t>
            </w:r>
            <w:proofErr w:type="spellStart"/>
            <w:r w:rsidRPr="00DE0577">
              <w:rPr>
                <w:rFonts w:ascii="Arial" w:hAnsi="Arial" w:cs="Arial"/>
                <w:lang w:val="en-GB"/>
              </w:rPr>
              <w:t>reo</w:t>
            </w:r>
            <w:proofErr w:type="spellEnd"/>
            <w:r w:rsidRPr="00DE0577">
              <w:rPr>
                <w:rFonts w:ascii="Arial" w:hAnsi="Arial" w:cs="Arial"/>
                <w:lang w:val="en-GB"/>
              </w:rPr>
              <w:t xml:space="preserve"> Māori), disabled people, Pasifica, ethnic minorities, migrant workers, sexual orientation and gender identity, and women</w:t>
            </w:r>
          </w:p>
          <w:p w14:paraId="3421EA01" w14:textId="273309C6"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Expertise in the methodologies and practice for at least some of community</w:t>
            </w:r>
            <w:r w:rsidR="008C64D9" w:rsidRPr="00DE0577">
              <w:rPr>
                <w:rFonts w:ascii="Arial" w:hAnsi="Arial" w:cs="Arial"/>
                <w:lang w:val="en-GB"/>
              </w:rPr>
              <w:t xml:space="preserve"> and business</w:t>
            </w:r>
            <w:r w:rsidRPr="00DE0577">
              <w:rPr>
                <w:rFonts w:ascii="Arial" w:hAnsi="Arial" w:cs="Arial"/>
                <w:lang w:val="en-GB"/>
              </w:rPr>
              <w:t xml:space="preserve"> engagement, community development, </w:t>
            </w:r>
            <w:r w:rsidRPr="00DE0577">
              <w:rPr>
                <w:rFonts w:ascii="Arial" w:hAnsi="Arial" w:cs="Arial"/>
                <w:lang w:val="en-GB"/>
              </w:rPr>
              <w:lastRenderedPageBreak/>
              <w:t xml:space="preserve">human rights education, or advocacy and engagement with national and local government and other duty bearers and in parliamentary and public policy processes </w:t>
            </w:r>
          </w:p>
          <w:p w14:paraId="141AE821"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Sophisticated presentation and communications skills</w:t>
            </w:r>
          </w:p>
          <w:p w14:paraId="67480391" w14:textId="77777777" w:rsidR="002739B0" w:rsidRPr="00DE0577" w:rsidRDefault="002739B0" w:rsidP="00DE0577">
            <w:pPr>
              <w:numPr>
                <w:ilvl w:val="0"/>
                <w:numId w:val="5"/>
              </w:numPr>
              <w:spacing w:after="0" w:line="276" w:lineRule="auto"/>
              <w:rPr>
                <w:rFonts w:ascii="Arial" w:hAnsi="Arial" w:cs="Arial"/>
                <w:lang w:val="en-GB"/>
              </w:rPr>
            </w:pPr>
            <w:r w:rsidRPr="00DE0577">
              <w:rPr>
                <w:rFonts w:ascii="Arial" w:hAnsi="Arial" w:cs="Arial"/>
                <w:lang w:val="en-GB"/>
              </w:rPr>
              <w:t>Competence in Microsoft Office suite</w:t>
            </w:r>
          </w:p>
        </w:tc>
      </w:tr>
    </w:tbl>
    <w:p w14:paraId="198BE00E" w14:textId="77777777" w:rsidR="002739B0" w:rsidRPr="00DE0577" w:rsidRDefault="002739B0" w:rsidP="00DE0577">
      <w:pPr>
        <w:spacing w:after="0" w:line="276" w:lineRule="auto"/>
        <w:rPr>
          <w:rFonts w:ascii="Arial" w:hAnsi="Arial" w:cs="Arial"/>
        </w:rPr>
      </w:pPr>
    </w:p>
    <w:p w14:paraId="261F42BE" w14:textId="77777777" w:rsidR="006B74EA" w:rsidRPr="00DE0577" w:rsidRDefault="006B74EA" w:rsidP="00DE0577">
      <w:pPr>
        <w:spacing w:after="0" w:line="276" w:lineRule="auto"/>
        <w:rPr>
          <w:rFonts w:ascii="Arial" w:hAnsi="Arial" w:cs="Arial"/>
        </w:rPr>
      </w:pPr>
    </w:p>
    <w:sectPr w:rsidR="006B74EA" w:rsidRPr="00DE0577" w:rsidSect="00280002">
      <w:footerReference w:type="default" r:id="rId7"/>
      <w:pgSz w:w="11906" w:h="16838"/>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28B8" w14:textId="77777777" w:rsidR="00AF63B8" w:rsidRDefault="00AF63B8" w:rsidP="004F2C47">
      <w:pPr>
        <w:spacing w:after="0" w:line="240" w:lineRule="auto"/>
      </w:pPr>
      <w:r>
        <w:separator/>
      </w:r>
    </w:p>
  </w:endnote>
  <w:endnote w:type="continuationSeparator" w:id="0">
    <w:p w14:paraId="74D49026" w14:textId="77777777" w:rsidR="00AF63B8" w:rsidRDefault="00AF63B8" w:rsidP="004F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2AF6" w14:textId="3CEF299E" w:rsidR="004F2C47" w:rsidRDefault="00DE0577">
    <w:pPr>
      <w:pStyle w:val="Footer"/>
    </w:pPr>
    <w:r>
      <w:t>Final</w:t>
    </w:r>
    <w:r>
      <w:tab/>
      <w:t>16</w:t>
    </w:r>
    <w:r w:rsidR="004F2C47">
      <w:t xml:space="preserve"> March 2018</w:t>
    </w:r>
  </w:p>
  <w:p w14:paraId="1534DC70" w14:textId="77777777" w:rsidR="004F2C47" w:rsidRDefault="004F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772E" w14:textId="77777777" w:rsidR="00AF63B8" w:rsidRDefault="00AF63B8" w:rsidP="004F2C47">
      <w:pPr>
        <w:spacing w:after="0" w:line="240" w:lineRule="auto"/>
      </w:pPr>
      <w:r>
        <w:separator/>
      </w:r>
    </w:p>
  </w:footnote>
  <w:footnote w:type="continuationSeparator" w:id="0">
    <w:p w14:paraId="03B89174" w14:textId="77777777" w:rsidR="00AF63B8" w:rsidRDefault="00AF63B8" w:rsidP="004F2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AB9"/>
    <w:multiLevelType w:val="hybridMultilevel"/>
    <w:tmpl w:val="9D7ABE88"/>
    <w:lvl w:ilvl="0" w:tplc="218EBF28">
      <w:start w:val="1"/>
      <w:numFmt w:val="lowerLetter"/>
      <w:lvlText w:val="%1"/>
      <w:lvlJc w:val="left"/>
      <w:pPr>
        <w:tabs>
          <w:tab w:val="num" w:pos="720"/>
        </w:tabs>
        <w:ind w:left="720" w:hanging="323"/>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76D4F"/>
    <w:multiLevelType w:val="hybridMultilevel"/>
    <w:tmpl w:val="89BEC26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6C4AC4"/>
    <w:multiLevelType w:val="hybridMultilevel"/>
    <w:tmpl w:val="67C0B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D76497"/>
    <w:multiLevelType w:val="hybridMultilevel"/>
    <w:tmpl w:val="5EFE9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0F5C6A"/>
    <w:multiLevelType w:val="hybridMultilevel"/>
    <w:tmpl w:val="E8E2EB1C"/>
    <w:lvl w:ilvl="0" w:tplc="F7EA4C72">
      <w:start w:val="1"/>
      <w:numFmt w:val="decimal"/>
      <w:lvlText w:val="%1"/>
      <w:lvlJc w:val="left"/>
      <w:pPr>
        <w:ind w:left="1572" w:hanging="360"/>
      </w:pPr>
      <w:rPr>
        <w:rFonts w:hint="default"/>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5" w15:restartNumberingAfterBreak="0">
    <w:nsid w:val="3FFA1C07"/>
    <w:multiLevelType w:val="hybridMultilevel"/>
    <w:tmpl w:val="E264B822"/>
    <w:lvl w:ilvl="0" w:tplc="14090017">
      <w:start w:val="1"/>
      <w:numFmt w:val="lowerLetter"/>
      <w:lvlText w:val="%1)"/>
      <w:lvlJc w:val="left"/>
      <w:pPr>
        <w:tabs>
          <w:tab w:val="num" w:pos="720"/>
        </w:tabs>
        <w:ind w:left="720" w:hanging="323"/>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67798"/>
    <w:multiLevelType w:val="hybridMultilevel"/>
    <w:tmpl w:val="C4A802A8"/>
    <w:lvl w:ilvl="0" w:tplc="04090001">
      <w:start w:val="1"/>
      <w:numFmt w:val="bullet"/>
      <w:lvlText w:val=""/>
      <w:lvlJc w:val="left"/>
      <w:pPr>
        <w:ind w:left="1572" w:hanging="360"/>
      </w:pPr>
      <w:rPr>
        <w:rFonts w:ascii="Symbol" w:hAnsi="Symbol" w:hint="default"/>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7" w15:restartNumberingAfterBreak="0">
    <w:nsid w:val="56B10F0C"/>
    <w:multiLevelType w:val="hybridMultilevel"/>
    <w:tmpl w:val="08B439DC"/>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DB2DB8"/>
    <w:multiLevelType w:val="hybridMultilevel"/>
    <w:tmpl w:val="1B200610"/>
    <w:lvl w:ilvl="0" w:tplc="218EBF2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F4930EF"/>
    <w:multiLevelType w:val="hybridMultilevel"/>
    <w:tmpl w:val="DAE4188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5C51159"/>
    <w:multiLevelType w:val="hybridMultilevel"/>
    <w:tmpl w:val="E3B88A70"/>
    <w:lvl w:ilvl="0" w:tplc="F7EA4C72">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D2622E0"/>
    <w:multiLevelType w:val="hybridMultilevel"/>
    <w:tmpl w:val="3FDC4FC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361402"/>
    <w:multiLevelType w:val="hybridMultilevel"/>
    <w:tmpl w:val="6A22331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10"/>
  </w:num>
  <w:num w:numId="7">
    <w:abstractNumId w:val="6"/>
  </w:num>
  <w:num w:numId="8">
    <w:abstractNumId w:val="9"/>
  </w:num>
  <w:num w:numId="9">
    <w:abstractNumId w:val="7"/>
  </w:num>
  <w:num w:numId="10">
    <w:abstractNumId w:val="1"/>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B0"/>
    <w:rsid w:val="002739B0"/>
    <w:rsid w:val="00280002"/>
    <w:rsid w:val="002B79B3"/>
    <w:rsid w:val="003D67CD"/>
    <w:rsid w:val="004572A6"/>
    <w:rsid w:val="004F2C47"/>
    <w:rsid w:val="006B74EA"/>
    <w:rsid w:val="007D0EF8"/>
    <w:rsid w:val="008C64D9"/>
    <w:rsid w:val="00921C3C"/>
    <w:rsid w:val="00AF63B8"/>
    <w:rsid w:val="00B55DF6"/>
    <w:rsid w:val="00CE05B6"/>
    <w:rsid w:val="00DE0577"/>
    <w:rsid w:val="00E5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0847"/>
  <w15:chartTrackingRefBased/>
  <w15:docId w15:val="{015BAF82-90B0-4E14-811D-A9853FAD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9B0"/>
    <w:rPr>
      <w:lang w:val="en-NZ"/>
    </w:rPr>
  </w:style>
  <w:style w:type="paragraph" w:styleId="Heading2">
    <w:name w:val="heading 2"/>
    <w:basedOn w:val="Normal"/>
    <w:next w:val="Normal"/>
    <w:link w:val="Heading2Char"/>
    <w:uiPriority w:val="9"/>
    <w:unhideWhenUsed/>
    <w:qFormat/>
    <w:rsid w:val="00273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9B0"/>
    <w:rPr>
      <w:rFonts w:asciiTheme="majorHAnsi" w:eastAsiaTheme="majorEastAsia" w:hAnsiTheme="majorHAnsi" w:cstheme="majorBidi"/>
      <w:color w:val="2F5496" w:themeColor="accent1" w:themeShade="BF"/>
      <w:sz w:val="26"/>
      <w:szCs w:val="26"/>
      <w:lang w:val="en-NZ"/>
    </w:rPr>
  </w:style>
  <w:style w:type="paragraph" w:styleId="ListParagraph">
    <w:name w:val="List Paragraph"/>
    <w:basedOn w:val="Normal"/>
    <w:uiPriority w:val="34"/>
    <w:qFormat/>
    <w:rsid w:val="00280002"/>
    <w:pPr>
      <w:ind w:left="720"/>
      <w:contextualSpacing/>
    </w:pPr>
  </w:style>
  <w:style w:type="paragraph" w:styleId="Header">
    <w:name w:val="header"/>
    <w:basedOn w:val="Normal"/>
    <w:link w:val="HeaderChar"/>
    <w:uiPriority w:val="99"/>
    <w:unhideWhenUsed/>
    <w:rsid w:val="004F2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C47"/>
    <w:rPr>
      <w:lang w:val="en-NZ"/>
    </w:rPr>
  </w:style>
  <w:style w:type="paragraph" w:styleId="Footer">
    <w:name w:val="footer"/>
    <w:basedOn w:val="Normal"/>
    <w:link w:val="FooterChar"/>
    <w:uiPriority w:val="99"/>
    <w:unhideWhenUsed/>
    <w:rsid w:val="004F2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C47"/>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4A7A10C26024F9E8ADF03E6E925D4" ma:contentTypeVersion="11" ma:contentTypeDescription="Create a new document." ma:contentTypeScope="" ma:versionID="e7c8a39c2f8dfb38772d0ed5958f0cd9">
  <xsd:schema xmlns:xsd="http://www.w3.org/2001/XMLSchema" xmlns:xs="http://www.w3.org/2001/XMLSchema" xmlns:p="http://schemas.microsoft.com/office/2006/metadata/properties" xmlns:ns2="14bf6e64-41b1-4008-8b31-81e768f35d2f" xmlns:ns3="74757f91-10ea-403e-9454-5fa3737d6a2b" xmlns:ns4="2b129d9c-9ed2-4580-9794-98280e454b9a" targetNamespace="http://schemas.microsoft.com/office/2006/metadata/properties" ma:root="true" ma:fieldsID="d06dd61cbb6345bf4a38c031c359a8ad" ns2:_="" ns3:_="" ns4:_="">
    <xsd:import namespace="14bf6e64-41b1-4008-8b31-81e768f35d2f"/>
    <xsd:import namespace="74757f91-10ea-403e-9454-5fa3737d6a2b"/>
    <xsd:import namespace="2b129d9c-9ed2-4580-9794-98280e454b9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Calendar_x0020_Year" minOccurs="0"/>
                <xsd:element ref="ns2:i0f84bba906045b4af568ee102a52dcb" minOccurs="0"/>
                <xsd:element ref="ns2:TaxCatchAll"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5" nillable="true" ma:taxonomy="true" ma:internalName="i0f84bba906045b4af568ee102a52dcb" ma:taxonomyFieldName="RevIMBCS" ma:displayName="HRC Taxonomy" ma:indexed="true" ma:readOnly="false" ma:default="255;#Organisational Design|af4e5088-fbe3-4217-8e82-545de1e6be37" ma:fieldId="{20f84bba-9060-45b4-af56-8ee102a52dcb}" ma:sspId="b81e6a3b-7119-479f-a0a1-d1ace2e3d91a" ma:termSetId="b5c58978-aacf-4d49-9597-114f1244351d" ma:anchorId="a8388252-3f7b-4067-93e3-79634b89f64a"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57f91-10ea-403e-9454-5fa3737d6a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29d9c-9ed2-4580-9794-98280e454b9a" elementFormDefault="qualified">
    <xsd:import namespace="http://schemas.microsoft.com/office/2006/documentManagement/types"/>
    <xsd:import namespace="http://schemas.microsoft.com/office/infopath/2007/PartnerControls"/>
    <xsd:element name="Calendar_x0020_Year" ma:index="13" nillable="true" ma:displayName="Calendar Year" ma:format="DateOnly" ma:internalName="Calendar_x0020_Year">
      <xsd:simpleType>
        <xsd:restriction base="dms:DateTim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255</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Organisational Design</TermName>
          <TermId xmlns="http://schemas.microsoft.com/office/infopath/2007/PartnerControls">af4e5088-fbe3-4217-8e82-545de1e6be37</TermId>
        </TermInfo>
      </Terms>
    </i0f84bba906045b4af568ee102a52dcb>
    <Calendar_x0020_Year xmlns="2b129d9c-9ed2-4580-9794-98280e454b9a" xsi:nil="true"/>
    <_dlc_DocId xmlns="14bf6e64-41b1-4008-8b31-81e768f35d2f">WVJMT6KT2DMM-1031274832-251</_dlc_DocId>
    <_dlc_DocIdUrl xmlns="14bf6e64-41b1-4008-8b31-81e768f35d2f">
      <Url>https://hrcnz.sharepoint.com/sites/t/PeoplePerformance/_layouts/15/DocIdRedir.aspx?ID=WVJMT6KT2DMM-1031274832-251</Url>
      <Description>WVJMT6KT2DMM-1031274832-251</Description>
    </_dlc_DocIdUrl>
  </documentManagement>
</p:properties>
</file>

<file path=customXml/itemProps1.xml><?xml version="1.0" encoding="utf-8"?>
<ds:datastoreItem xmlns:ds="http://schemas.openxmlformats.org/officeDocument/2006/customXml" ds:itemID="{AC40BC7F-0626-4AF6-B2B7-222AE98037CE}"/>
</file>

<file path=customXml/itemProps2.xml><?xml version="1.0" encoding="utf-8"?>
<ds:datastoreItem xmlns:ds="http://schemas.openxmlformats.org/officeDocument/2006/customXml" ds:itemID="{71E20972-5FCA-4D1E-8DFB-1998E31651E1}"/>
</file>

<file path=customXml/itemProps3.xml><?xml version="1.0" encoding="utf-8"?>
<ds:datastoreItem xmlns:ds="http://schemas.openxmlformats.org/officeDocument/2006/customXml" ds:itemID="{1EEB1F6B-1E7D-4510-B5AD-45AF55CD10D1}"/>
</file>

<file path=customXml/itemProps4.xml><?xml version="1.0" encoding="utf-8"?>
<ds:datastoreItem xmlns:ds="http://schemas.openxmlformats.org/officeDocument/2006/customXml" ds:itemID="{8E07BDEE-2DC6-4ED6-B575-DD9CFBB8ED10}"/>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 Chandrappa</dc:creator>
  <cp:keywords/>
  <dc:description/>
  <cp:lastModifiedBy>Kusum Chandrappa</cp:lastModifiedBy>
  <cp:revision>2</cp:revision>
  <dcterms:created xsi:type="dcterms:W3CDTF">2018-03-16T00:43:00Z</dcterms:created>
  <dcterms:modified xsi:type="dcterms:W3CDTF">2018-03-16T00:43:00Z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0x0101004424A7A10C26024F9E8ADF03E6E925D4</vt:lpwstr>
  </property>
  <property fmtid="{D5CDD505-2E9C-101B-9397-08002B2CF9AE}" pid="3" name="_dlc_DocIdItemGuid">
    <vt:lpwstr>1d297ae2-3e44-4d8f-810b-0acaec46ca23</vt:lpwstr>
  </property>
</Properties>
</file>