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B2E" w:rsidRPr="00006DD9" w:rsidRDefault="001464DB" w:rsidP="00416CA0">
      <w:pPr>
        <w:jc w:val="center"/>
        <w:rPr>
          <w:b/>
          <w:lang w:val="en-NZ"/>
        </w:rPr>
      </w:pPr>
      <w:r w:rsidRPr="00006DD9">
        <w:rPr>
          <w:b/>
          <w:lang w:val="en-NZ"/>
        </w:rPr>
        <w:t xml:space="preserve">Thematic </w:t>
      </w:r>
      <w:r w:rsidR="00483B14">
        <w:rPr>
          <w:b/>
          <w:lang w:val="en-NZ"/>
        </w:rPr>
        <w:t xml:space="preserve">snapshot </w:t>
      </w:r>
      <w:r w:rsidRPr="00006DD9">
        <w:rPr>
          <w:b/>
          <w:lang w:val="en-NZ"/>
        </w:rPr>
        <w:t xml:space="preserve">report to the UN Committee on the Rights of the Child: </w:t>
      </w:r>
      <w:r w:rsidR="00552DC1" w:rsidRPr="00006DD9">
        <w:rPr>
          <w:b/>
          <w:lang w:val="en-NZ"/>
        </w:rPr>
        <w:t>Inadequate</w:t>
      </w:r>
      <w:r w:rsidR="00082847" w:rsidRPr="00006DD9">
        <w:rPr>
          <w:b/>
          <w:lang w:val="en-NZ"/>
        </w:rPr>
        <w:t xml:space="preserve"> H</w:t>
      </w:r>
      <w:r w:rsidRPr="00006DD9">
        <w:rPr>
          <w:b/>
          <w:lang w:val="en-NZ"/>
        </w:rPr>
        <w:t>ousing in New Zealand and its impact on children.</w:t>
      </w:r>
    </w:p>
    <w:p w:rsidR="00B76383" w:rsidRPr="00006DD9" w:rsidRDefault="00416CA0" w:rsidP="00416CA0">
      <w:pPr>
        <w:spacing w:after="0"/>
        <w:jc w:val="center"/>
        <w:rPr>
          <w:b/>
          <w:lang w:val="en-NZ"/>
        </w:rPr>
      </w:pPr>
      <w:r w:rsidRPr="00006DD9">
        <w:rPr>
          <w:b/>
          <w:lang w:val="en-NZ"/>
        </w:rPr>
        <w:t xml:space="preserve">He </w:t>
      </w:r>
      <w:proofErr w:type="spellStart"/>
      <w:r w:rsidRPr="00006DD9">
        <w:rPr>
          <w:b/>
          <w:lang w:val="en-NZ"/>
        </w:rPr>
        <w:t>Kainga</w:t>
      </w:r>
      <w:proofErr w:type="spellEnd"/>
      <w:r w:rsidRPr="00006DD9">
        <w:rPr>
          <w:b/>
          <w:lang w:val="en-NZ"/>
        </w:rPr>
        <w:t xml:space="preserve"> </w:t>
      </w:r>
      <w:proofErr w:type="spellStart"/>
      <w:r w:rsidRPr="00006DD9">
        <w:rPr>
          <w:b/>
          <w:lang w:val="en-NZ"/>
        </w:rPr>
        <w:t>Oranga</w:t>
      </w:r>
      <w:proofErr w:type="spellEnd"/>
      <w:r w:rsidRPr="00006DD9">
        <w:rPr>
          <w:b/>
          <w:lang w:val="en-NZ"/>
        </w:rPr>
        <w:t>/ Housing and Health Research Programme, University of Otago, Wellington</w:t>
      </w:r>
    </w:p>
    <w:p w:rsidR="00B76383" w:rsidRPr="00006DD9" w:rsidRDefault="00B76383" w:rsidP="00416CA0">
      <w:pPr>
        <w:spacing w:after="0"/>
        <w:jc w:val="center"/>
        <w:rPr>
          <w:b/>
          <w:lang w:val="en-NZ"/>
        </w:rPr>
      </w:pPr>
      <w:r w:rsidRPr="00006DD9">
        <w:rPr>
          <w:b/>
          <w:lang w:val="en-NZ"/>
        </w:rPr>
        <w:t>and</w:t>
      </w:r>
    </w:p>
    <w:p w:rsidR="00416CA0" w:rsidRDefault="00B76383" w:rsidP="00416CA0">
      <w:pPr>
        <w:spacing w:after="0"/>
        <w:jc w:val="center"/>
        <w:rPr>
          <w:b/>
          <w:lang w:val="en-NZ"/>
        </w:rPr>
      </w:pPr>
      <w:r w:rsidRPr="00006DD9">
        <w:rPr>
          <w:b/>
          <w:lang w:val="en-NZ"/>
        </w:rPr>
        <w:t>Human Rights Commission</w:t>
      </w:r>
      <w:r w:rsidR="00416CA0" w:rsidRPr="00006DD9">
        <w:rPr>
          <w:b/>
          <w:lang w:val="en-NZ"/>
        </w:rPr>
        <w:t xml:space="preserve"> </w:t>
      </w:r>
    </w:p>
    <w:p w:rsidR="00006DD9" w:rsidRPr="00006DD9" w:rsidRDefault="00006DD9" w:rsidP="00416CA0">
      <w:pPr>
        <w:spacing w:after="0"/>
        <w:jc w:val="center"/>
        <w:rPr>
          <w:b/>
          <w:lang w:val="en-NZ"/>
        </w:rPr>
      </w:pPr>
    </w:p>
    <w:p w:rsidR="004A35AE" w:rsidRDefault="00361DDE" w:rsidP="004A35AE">
      <w:pPr>
        <w:spacing w:after="0"/>
        <w:jc w:val="center"/>
        <w:rPr>
          <w:lang w:val="en-NZ"/>
        </w:rPr>
      </w:pPr>
      <w:hyperlink r:id="rId8" w:history="1">
        <w:r w:rsidR="00416CA0" w:rsidRPr="00B61310">
          <w:rPr>
            <w:rStyle w:val="Hyperlink"/>
            <w:lang w:val="en-NZ"/>
          </w:rPr>
          <w:t>www.healthyhousing.org.nz</w:t>
        </w:r>
      </w:hyperlink>
      <w:r w:rsidR="00416CA0">
        <w:rPr>
          <w:lang w:val="en-NZ"/>
        </w:rPr>
        <w:t xml:space="preserve">       </w:t>
      </w:r>
      <w:hyperlink r:id="rId9" w:history="1">
        <w:r w:rsidR="00B76383" w:rsidRPr="00F16931">
          <w:rPr>
            <w:rStyle w:val="Hyperlink"/>
            <w:lang w:val="en-NZ"/>
          </w:rPr>
          <w:t>www.hrc.co.nz</w:t>
        </w:r>
      </w:hyperlink>
    </w:p>
    <w:p w:rsidR="00B76383" w:rsidRDefault="00B76383" w:rsidP="004A35AE">
      <w:pPr>
        <w:spacing w:after="0"/>
        <w:jc w:val="center"/>
        <w:rPr>
          <w:lang w:val="en-NZ"/>
        </w:rPr>
      </w:pPr>
    </w:p>
    <w:p w:rsidR="001464DB" w:rsidRDefault="001464DB" w:rsidP="00416CA0">
      <w:pPr>
        <w:spacing w:after="0"/>
        <w:jc w:val="center"/>
        <w:rPr>
          <w:lang w:val="en-NZ"/>
        </w:rPr>
      </w:pPr>
      <w:r>
        <w:rPr>
          <w:lang w:val="en-NZ"/>
        </w:rPr>
        <w:t>August 2016</w:t>
      </w:r>
    </w:p>
    <w:p w:rsidR="00DC123E" w:rsidRDefault="00DC123E" w:rsidP="00764C16">
      <w:pPr>
        <w:rPr>
          <w:i/>
          <w:lang w:val="en-NZ"/>
        </w:rPr>
      </w:pPr>
    </w:p>
    <w:p w:rsidR="00764C16" w:rsidRPr="00764C16" w:rsidRDefault="00764C16" w:rsidP="00DC123E">
      <w:pPr>
        <w:jc w:val="center"/>
        <w:rPr>
          <w:i/>
          <w:lang w:val="en-NZ"/>
        </w:rPr>
      </w:pPr>
      <w:proofErr w:type="spellStart"/>
      <w:r w:rsidRPr="00764C16">
        <w:rPr>
          <w:i/>
          <w:lang w:val="en-NZ"/>
        </w:rPr>
        <w:t>Whatungarongaro</w:t>
      </w:r>
      <w:proofErr w:type="spellEnd"/>
      <w:r w:rsidRPr="00764C16">
        <w:rPr>
          <w:i/>
          <w:lang w:val="en-NZ"/>
        </w:rPr>
        <w:t xml:space="preserve"> </w:t>
      </w:r>
      <w:proofErr w:type="spellStart"/>
      <w:r w:rsidRPr="00764C16">
        <w:rPr>
          <w:i/>
          <w:lang w:val="en-NZ"/>
        </w:rPr>
        <w:t>te</w:t>
      </w:r>
      <w:proofErr w:type="spellEnd"/>
      <w:r w:rsidRPr="00764C16">
        <w:rPr>
          <w:i/>
          <w:lang w:val="en-NZ"/>
        </w:rPr>
        <w:t xml:space="preserve"> </w:t>
      </w:r>
      <w:proofErr w:type="spellStart"/>
      <w:r w:rsidRPr="00764C16">
        <w:rPr>
          <w:i/>
          <w:lang w:val="en-NZ"/>
        </w:rPr>
        <w:t>tangata</w:t>
      </w:r>
      <w:proofErr w:type="spellEnd"/>
      <w:r>
        <w:rPr>
          <w:i/>
          <w:lang w:val="en-NZ"/>
        </w:rPr>
        <w:t xml:space="preserve">, </w:t>
      </w:r>
      <w:r w:rsidR="004370FF">
        <w:rPr>
          <w:i/>
          <w:lang w:val="en-NZ"/>
        </w:rPr>
        <w:tab/>
      </w:r>
      <w:proofErr w:type="spellStart"/>
      <w:r w:rsidRPr="00764C16">
        <w:rPr>
          <w:i/>
          <w:lang w:val="en-NZ"/>
        </w:rPr>
        <w:t>Toitu</w:t>
      </w:r>
      <w:proofErr w:type="spellEnd"/>
      <w:r w:rsidRPr="00764C16">
        <w:rPr>
          <w:i/>
          <w:lang w:val="en-NZ"/>
        </w:rPr>
        <w:t xml:space="preserve"> </w:t>
      </w:r>
      <w:proofErr w:type="spellStart"/>
      <w:r w:rsidRPr="00764C16">
        <w:rPr>
          <w:i/>
          <w:lang w:val="en-NZ"/>
        </w:rPr>
        <w:t>te</w:t>
      </w:r>
      <w:proofErr w:type="spellEnd"/>
      <w:r w:rsidRPr="00764C16">
        <w:rPr>
          <w:i/>
          <w:lang w:val="en-NZ"/>
        </w:rPr>
        <w:t xml:space="preserve"> whenua</w:t>
      </w:r>
    </w:p>
    <w:p w:rsidR="00764C16" w:rsidRPr="00764C16" w:rsidRDefault="00764C16" w:rsidP="00DC123E">
      <w:pPr>
        <w:jc w:val="center"/>
        <w:rPr>
          <w:i/>
          <w:lang w:val="en-NZ"/>
        </w:rPr>
      </w:pPr>
      <w:r w:rsidRPr="00764C16">
        <w:rPr>
          <w:i/>
          <w:lang w:val="en-NZ"/>
        </w:rPr>
        <w:t>People come and go</w:t>
      </w:r>
      <w:r w:rsidR="004370FF">
        <w:rPr>
          <w:i/>
          <w:lang w:val="en-NZ"/>
        </w:rPr>
        <w:tab/>
      </w:r>
      <w:r w:rsidRPr="00764C16">
        <w:rPr>
          <w:i/>
          <w:lang w:val="en-NZ"/>
        </w:rPr>
        <w:t>The land remains</w:t>
      </w:r>
    </w:p>
    <w:p w:rsidR="00ED3D1A" w:rsidRPr="00ED3D1A" w:rsidRDefault="00ED3D1A" w:rsidP="00247423">
      <w:pPr>
        <w:jc w:val="both"/>
        <w:rPr>
          <w:b/>
          <w:lang w:val="en-NZ"/>
        </w:rPr>
      </w:pPr>
      <w:r w:rsidRPr="00ED3D1A">
        <w:rPr>
          <w:b/>
          <w:lang w:val="en-NZ"/>
        </w:rPr>
        <w:t>INTRODUCTION</w:t>
      </w:r>
    </w:p>
    <w:p w:rsidR="00185B14" w:rsidRDefault="00082847" w:rsidP="00185B14">
      <w:pPr>
        <w:pStyle w:val="ListParagraph"/>
        <w:numPr>
          <w:ilvl w:val="0"/>
          <w:numId w:val="11"/>
        </w:numPr>
        <w:ind w:hanging="720"/>
        <w:jc w:val="both"/>
        <w:rPr>
          <w:lang w:val="en-NZ"/>
        </w:rPr>
      </w:pPr>
      <w:r>
        <w:t>T</w:t>
      </w:r>
      <w:r w:rsidR="00764C16" w:rsidRPr="00764C16">
        <w:t>he prevalence of</w:t>
      </w:r>
      <w:r w:rsidR="00764C16">
        <w:t xml:space="preserve"> </w:t>
      </w:r>
      <w:r>
        <w:t xml:space="preserve">New Zealand </w:t>
      </w:r>
      <w:r w:rsidR="00764C16">
        <w:t>children living in</w:t>
      </w:r>
      <w:r w:rsidR="00764C16" w:rsidRPr="00764C16">
        <w:t xml:space="preserve"> </w:t>
      </w:r>
      <w:r w:rsidR="00764C16" w:rsidRPr="00185B14">
        <w:rPr>
          <w:lang w:val="en-NZ"/>
        </w:rPr>
        <w:t>substandard housing conditions has developed into a major public health and children’s rights issue, with multiple effects on the health and wellbeing of children.</w:t>
      </w:r>
      <w:r w:rsidR="00764C16" w:rsidRPr="00764C16">
        <w:rPr>
          <w:vertAlign w:val="superscript"/>
          <w:lang w:val="en-NZ"/>
        </w:rPr>
        <w:endnoteReference w:id="1"/>
      </w:r>
      <w:r w:rsidR="00764C16" w:rsidRPr="00185B14">
        <w:rPr>
          <w:lang w:val="en-NZ"/>
        </w:rPr>
        <w:t xml:space="preserve"> </w:t>
      </w:r>
      <w:r w:rsidRPr="00185B14">
        <w:rPr>
          <w:lang w:val="en-NZ"/>
        </w:rPr>
        <w:t>This supplementary thematic report ident</w:t>
      </w:r>
      <w:r w:rsidR="0061394F">
        <w:rPr>
          <w:lang w:val="en-NZ"/>
        </w:rPr>
        <w:t xml:space="preserve">ifies key areas of concern and </w:t>
      </w:r>
      <w:r w:rsidRPr="00185B14">
        <w:rPr>
          <w:lang w:val="en-NZ"/>
        </w:rPr>
        <w:t xml:space="preserve">suggests a number of recommendations intended to bring about substantive improvement for affected children.   </w:t>
      </w:r>
    </w:p>
    <w:p w:rsidR="00185B14" w:rsidRDefault="00185B14" w:rsidP="00185B14">
      <w:pPr>
        <w:pStyle w:val="ListParagraph"/>
        <w:jc w:val="both"/>
        <w:rPr>
          <w:lang w:val="en-NZ"/>
        </w:rPr>
      </w:pPr>
    </w:p>
    <w:p w:rsidR="00185B14" w:rsidRDefault="00006DD9" w:rsidP="00185B14">
      <w:pPr>
        <w:pStyle w:val="ListParagraph"/>
        <w:numPr>
          <w:ilvl w:val="0"/>
          <w:numId w:val="11"/>
        </w:numPr>
        <w:ind w:hanging="720"/>
        <w:jc w:val="both"/>
        <w:rPr>
          <w:lang w:val="en-NZ"/>
        </w:rPr>
      </w:pPr>
      <w:r>
        <w:rPr>
          <w:lang w:val="en-NZ"/>
        </w:rPr>
        <w:t>Many children live in cold, damp homes. This contributes</w:t>
      </w:r>
      <w:r w:rsidR="00764C16" w:rsidRPr="00185B14">
        <w:rPr>
          <w:lang w:val="en-NZ"/>
        </w:rPr>
        <w:t xml:space="preserve"> to a greater burden of disease and poorer outcomes, particularly amongst those who live</w:t>
      </w:r>
      <w:r w:rsidR="00DB1A7F">
        <w:rPr>
          <w:lang w:val="en-NZ"/>
        </w:rPr>
        <w:t xml:space="preserve"> in lower-income households, </w:t>
      </w:r>
      <w:r w:rsidR="00764C16" w:rsidRPr="00185B14">
        <w:rPr>
          <w:lang w:val="en-NZ"/>
        </w:rPr>
        <w:t xml:space="preserve"> amongst one parent families of all ethnicities, and Māori and Pacific children</w:t>
      </w:r>
      <w:r w:rsidR="00082847" w:rsidRPr="00185B14">
        <w:rPr>
          <w:lang w:val="en-NZ"/>
        </w:rPr>
        <w:t>.</w:t>
      </w:r>
      <w:r w:rsidR="001A6E44">
        <w:rPr>
          <w:rStyle w:val="EndnoteReference"/>
          <w:lang w:val="en-NZ"/>
        </w:rPr>
        <w:endnoteReference w:id="2"/>
      </w:r>
      <w:r w:rsidR="001A6E44">
        <w:rPr>
          <w:lang w:val="en-NZ"/>
        </w:rPr>
        <w:t xml:space="preserve"> </w:t>
      </w:r>
      <w:r w:rsidR="007661F4" w:rsidRPr="00185B14">
        <w:rPr>
          <w:lang w:val="en-NZ"/>
        </w:rPr>
        <w:t xml:space="preserve">The 2016 </w:t>
      </w:r>
      <w:r w:rsidR="00DB1A7F">
        <w:rPr>
          <w:i/>
          <w:lang w:val="en-NZ"/>
        </w:rPr>
        <w:t xml:space="preserve">Families and </w:t>
      </w:r>
      <w:proofErr w:type="spellStart"/>
      <w:r w:rsidR="00DB1A7F" w:rsidRPr="00DB1A7F">
        <w:rPr>
          <w:i/>
          <w:lang w:val="en-NZ"/>
        </w:rPr>
        <w:t>Whānau</w:t>
      </w:r>
      <w:proofErr w:type="spellEnd"/>
      <w:r w:rsidR="00DB1A7F">
        <w:rPr>
          <w:i/>
          <w:lang w:val="en-NZ"/>
        </w:rPr>
        <w:t xml:space="preserve"> </w:t>
      </w:r>
      <w:r w:rsidR="007661F4" w:rsidRPr="00185B14">
        <w:rPr>
          <w:i/>
          <w:lang w:val="en-NZ"/>
        </w:rPr>
        <w:t>Status report</w:t>
      </w:r>
      <w:r w:rsidR="007661F4" w:rsidRPr="00185B14">
        <w:rPr>
          <w:lang w:val="en-NZ"/>
        </w:rPr>
        <w:t xml:space="preserve"> produced by the Social Policy and Evaluation Unit (SUPERU) has found that improving well-being for children aged under 18 requires a policy focus on the economic security and housing of single parent fam</w:t>
      </w:r>
      <w:r>
        <w:rPr>
          <w:lang w:val="en-NZ"/>
        </w:rPr>
        <w:t>ilies of all ethnicities (72% of</w:t>
      </w:r>
      <w:r w:rsidR="007661F4" w:rsidRPr="00185B14">
        <w:rPr>
          <w:lang w:val="en-NZ"/>
        </w:rPr>
        <w:t xml:space="preserve"> the single parents being women) and of M</w:t>
      </w:r>
      <w:r w:rsidR="002227E2" w:rsidRPr="00DB1A7F">
        <w:rPr>
          <w:lang w:val="en-NZ"/>
        </w:rPr>
        <w:t>ā</w:t>
      </w:r>
      <w:r w:rsidR="007661F4" w:rsidRPr="00185B14">
        <w:rPr>
          <w:lang w:val="en-NZ"/>
        </w:rPr>
        <w:t>ori, Pacific and Asian two parent families</w:t>
      </w:r>
      <w:r w:rsidR="001A6E44">
        <w:rPr>
          <w:rStyle w:val="EndnoteReference"/>
          <w:lang w:val="en-NZ"/>
        </w:rPr>
        <w:endnoteReference w:id="3"/>
      </w:r>
    </w:p>
    <w:p w:rsidR="00185B14" w:rsidRPr="00185B14" w:rsidRDefault="00185B14" w:rsidP="00185B14">
      <w:pPr>
        <w:pStyle w:val="ListParagraph"/>
        <w:rPr>
          <w:lang w:val="en-NZ"/>
        </w:rPr>
      </w:pPr>
    </w:p>
    <w:p w:rsidR="00185B14" w:rsidRDefault="00764C16" w:rsidP="00247423">
      <w:pPr>
        <w:pStyle w:val="ListParagraph"/>
        <w:numPr>
          <w:ilvl w:val="0"/>
          <w:numId w:val="11"/>
        </w:numPr>
        <w:ind w:hanging="720"/>
        <w:jc w:val="both"/>
        <w:rPr>
          <w:lang w:val="en-NZ"/>
        </w:rPr>
      </w:pPr>
      <w:r w:rsidRPr="00185B14">
        <w:rPr>
          <w:lang w:val="en-NZ"/>
        </w:rPr>
        <w:t>The causes for the curr</w:t>
      </w:r>
      <w:r w:rsidR="004370FF" w:rsidRPr="00185B14">
        <w:rPr>
          <w:lang w:val="en-NZ"/>
        </w:rPr>
        <w:t>ent situation are multi-faceted</w:t>
      </w:r>
      <w:r w:rsidR="00082847" w:rsidRPr="00185B14">
        <w:rPr>
          <w:lang w:val="en-NZ"/>
        </w:rPr>
        <w:t>. H</w:t>
      </w:r>
      <w:r w:rsidR="004370FF" w:rsidRPr="00185B14">
        <w:rPr>
          <w:lang w:val="en-NZ"/>
        </w:rPr>
        <w:t>ousing supply, rising property prices and rents in urban centres,</w:t>
      </w:r>
      <w:r w:rsidR="006B47B9" w:rsidRPr="00185B14">
        <w:rPr>
          <w:lang w:val="en-NZ"/>
        </w:rPr>
        <w:t xml:space="preserve"> an outdated regulatory framework </w:t>
      </w:r>
      <w:r w:rsidR="00082847" w:rsidRPr="00185B14">
        <w:rPr>
          <w:lang w:val="en-NZ"/>
        </w:rPr>
        <w:t xml:space="preserve">governing </w:t>
      </w:r>
      <w:r w:rsidR="006B47B9" w:rsidRPr="00185B14">
        <w:rPr>
          <w:lang w:val="en-NZ"/>
        </w:rPr>
        <w:t>housing quality and security of tenure for private tenants,</w:t>
      </w:r>
      <w:r w:rsidR="004370FF" w:rsidRPr="00185B14">
        <w:rPr>
          <w:lang w:val="en-NZ"/>
        </w:rPr>
        <w:t xml:space="preserve"> and income poverty</w:t>
      </w:r>
      <w:r w:rsidR="00DB1A7F">
        <w:rPr>
          <w:lang w:val="en-NZ"/>
        </w:rPr>
        <w:t xml:space="preserve"> are</w:t>
      </w:r>
      <w:r w:rsidR="004370FF" w:rsidRPr="00185B14">
        <w:rPr>
          <w:lang w:val="en-NZ"/>
        </w:rPr>
        <w:t xml:space="preserve"> all contributory factors.</w:t>
      </w:r>
      <w:r w:rsidRPr="00185B14">
        <w:rPr>
          <w:lang w:val="en-NZ"/>
        </w:rPr>
        <w:t xml:space="preserve"> Successive governments have </w:t>
      </w:r>
      <w:r w:rsidR="004370FF" w:rsidRPr="00185B14">
        <w:rPr>
          <w:lang w:val="en-NZ"/>
        </w:rPr>
        <w:t>implemented a range of policy measures in an attempt to address the issue. However,</w:t>
      </w:r>
      <w:r w:rsidR="006B47B9" w:rsidRPr="00185B14">
        <w:rPr>
          <w:lang w:val="en-NZ"/>
        </w:rPr>
        <w:t xml:space="preserve"> to date, a comprehensive</w:t>
      </w:r>
      <w:r w:rsidR="0061394F">
        <w:rPr>
          <w:lang w:val="en-NZ"/>
        </w:rPr>
        <w:t xml:space="preserve"> plan</w:t>
      </w:r>
      <w:r w:rsidR="006B47B9" w:rsidRPr="00185B14">
        <w:rPr>
          <w:lang w:val="en-NZ"/>
        </w:rPr>
        <w:t xml:space="preserve"> that co-ordinates the various policy measures </w:t>
      </w:r>
      <w:r w:rsidR="00082847" w:rsidRPr="00185B14">
        <w:rPr>
          <w:lang w:val="en-NZ"/>
        </w:rPr>
        <w:t xml:space="preserve">has not </w:t>
      </w:r>
      <w:r w:rsidR="006B47B9" w:rsidRPr="00185B14">
        <w:rPr>
          <w:lang w:val="en-NZ"/>
        </w:rPr>
        <w:t>be</w:t>
      </w:r>
      <w:r w:rsidR="00082847" w:rsidRPr="00185B14">
        <w:rPr>
          <w:lang w:val="en-NZ"/>
        </w:rPr>
        <w:t>en</w:t>
      </w:r>
      <w:r w:rsidR="006B47B9" w:rsidRPr="00185B14">
        <w:rPr>
          <w:lang w:val="en-NZ"/>
        </w:rPr>
        <w:t xml:space="preserve"> developed. If New Zealand is to meet its human rights commitment under the UN SDG Agenda to ensure that all New Zealanders live in adequ</w:t>
      </w:r>
      <w:r w:rsidR="00DB69A4" w:rsidRPr="00185B14">
        <w:rPr>
          <w:lang w:val="en-NZ"/>
        </w:rPr>
        <w:t xml:space="preserve">ate housing by 2030, such a </w:t>
      </w:r>
      <w:r w:rsidR="0061394F">
        <w:rPr>
          <w:lang w:val="en-NZ"/>
        </w:rPr>
        <w:t xml:space="preserve">plan </w:t>
      </w:r>
      <w:r w:rsidR="00006DD9">
        <w:rPr>
          <w:lang w:val="en-NZ"/>
        </w:rPr>
        <w:t>is</w:t>
      </w:r>
      <w:r w:rsidR="006B47B9" w:rsidRPr="00185B14">
        <w:rPr>
          <w:lang w:val="en-NZ"/>
        </w:rPr>
        <w:t xml:space="preserve"> essential. </w:t>
      </w:r>
    </w:p>
    <w:p w:rsidR="00185B14" w:rsidRPr="001A6E44" w:rsidRDefault="00ED3D1A" w:rsidP="001A6E44">
      <w:pPr>
        <w:jc w:val="both"/>
        <w:rPr>
          <w:b/>
          <w:lang w:val="en-NZ"/>
        </w:rPr>
      </w:pPr>
      <w:r w:rsidRPr="00574FF7">
        <w:rPr>
          <w:b/>
        </w:rPr>
        <w:t>THE KEY ISSUES</w:t>
      </w:r>
    </w:p>
    <w:p w:rsidR="00185B14" w:rsidRPr="00574FF7" w:rsidRDefault="00571DD2" w:rsidP="00574FF7">
      <w:pPr>
        <w:jc w:val="both"/>
        <w:rPr>
          <w:i/>
          <w:lang w:val="en-NZ"/>
        </w:rPr>
      </w:pPr>
      <w:r w:rsidRPr="00574FF7">
        <w:rPr>
          <w:i/>
          <w:lang w:val="en-NZ"/>
        </w:rPr>
        <w:t>Housing quality</w:t>
      </w:r>
    </w:p>
    <w:p w:rsidR="00185B14" w:rsidRDefault="006B47B9" w:rsidP="00247423">
      <w:pPr>
        <w:pStyle w:val="ListParagraph"/>
        <w:numPr>
          <w:ilvl w:val="0"/>
          <w:numId w:val="11"/>
        </w:numPr>
        <w:ind w:hanging="720"/>
        <w:jc w:val="both"/>
        <w:rPr>
          <w:lang w:val="en-NZ"/>
        </w:rPr>
      </w:pPr>
      <w:r w:rsidRPr="00185B14">
        <w:rPr>
          <w:lang w:val="en-NZ"/>
        </w:rPr>
        <w:t>Of the approximately 300,000 children who live in poverty in New Zealand, around 70% live in private rental accommodation, which is often of poorer quality, and is insufficiently regulated.</w:t>
      </w:r>
      <w:r w:rsidRPr="006B47B9">
        <w:rPr>
          <w:vertAlign w:val="superscript"/>
          <w:lang w:val="en-NZ"/>
        </w:rPr>
        <w:endnoteReference w:id="4"/>
      </w:r>
      <w:r w:rsidRPr="00185B14">
        <w:rPr>
          <w:lang w:val="en-NZ"/>
        </w:rPr>
        <w:t xml:space="preserve"> In 2006, more than half of the severely deprived housing population was younger </w:t>
      </w:r>
      <w:r w:rsidRPr="00185B14">
        <w:rPr>
          <w:lang w:val="en-NZ"/>
        </w:rPr>
        <w:lastRenderedPageBreak/>
        <w:t>than 25 years, and half of these were children under 15 years.</w:t>
      </w:r>
      <w:r w:rsidRPr="006B47B9">
        <w:rPr>
          <w:vertAlign w:val="superscript"/>
          <w:lang w:val="en-NZ"/>
        </w:rPr>
        <w:endnoteReference w:id="5"/>
      </w:r>
      <w:r w:rsidRPr="00185B14">
        <w:rPr>
          <w:lang w:val="en-NZ"/>
        </w:rPr>
        <w:t xml:space="preserve"> </w:t>
      </w:r>
      <w:r w:rsidR="005F3D0B" w:rsidRPr="00185B14">
        <w:rPr>
          <w:lang w:val="en-NZ"/>
        </w:rPr>
        <w:t>Many New Zealand dwellings are colder than the minimum indoor temperature recommended by the World Health Organization (WHO)</w:t>
      </w:r>
      <w:r w:rsidR="004069AB" w:rsidRPr="00185B14">
        <w:rPr>
          <w:lang w:val="en-NZ"/>
        </w:rPr>
        <w:t>, and are damp, and mouldy</w:t>
      </w:r>
      <w:r w:rsidR="005F3D0B" w:rsidRPr="00185B14">
        <w:rPr>
          <w:lang w:val="en-NZ"/>
        </w:rPr>
        <w:t>.</w:t>
      </w:r>
      <w:r w:rsidR="000239EB">
        <w:rPr>
          <w:rStyle w:val="EndnoteReference"/>
          <w:lang w:val="en-NZ"/>
        </w:rPr>
        <w:endnoteReference w:id="6"/>
      </w:r>
      <w:r w:rsidR="005F3D0B" w:rsidRPr="00185B14">
        <w:rPr>
          <w:lang w:val="en-NZ"/>
        </w:rPr>
        <w:t xml:space="preserve"> This is </w:t>
      </w:r>
      <w:r w:rsidR="000A3FA2" w:rsidRPr="00185B14">
        <w:rPr>
          <w:lang w:val="en-NZ"/>
        </w:rPr>
        <w:t xml:space="preserve">largely </w:t>
      </w:r>
      <w:r w:rsidR="005F3D0B" w:rsidRPr="00185B14">
        <w:rPr>
          <w:lang w:val="en-NZ"/>
        </w:rPr>
        <w:t>due to insufficient insulation (about two-thirds of NZ dwellings are un-insulated) and inadequate heating</w:t>
      </w:r>
      <w:r w:rsidR="004069AB" w:rsidRPr="00185B14">
        <w:rPr>
          <w:lang w:val="en-NZ"/>
        </w:rPr>
        <w:t xml:space="preserve"> and ventilation</w:t>
      </w:r>
      <w:r w:rsidR="005F3D0B" w:rsidRPr="00185B14">
        <w:rPr>
          <w:lang w:val="en-NZ"/>
        </w:rPr>
        <w:t>.</w:t>
      </w:r>
      <w:r w:rsidR="00013D3E">
        <w:rPr>
          <w:rStyle w:val="EndnoteReference"/>
          <w:lang w:val="en-NZ"/>
        </w:rPr>
        <w:endnoteReference w:id="7"/>
      </w:r>
      <w:r w:rsidR="005F3D0B" w:rsidRPr="00185B14">
        <w:rPr>
          <w:lang w:val="en-NZ"/>
        </w:rPr>
        <w:t xml:space="preserve"> </w:t>
      </w:r>
      <w:r w:rsidR="00211D2C" w:rsidRPr="00185B14">
        <w:rPr>
          <w:lang w:val="en-NZ"/>
        </w:rPr>
        <w:t xml:space="preserve">The link between cold, damp and mouldy housing and poor health has been highlighted in several NZ </w:t>
      </w:r>
      <w:r w:rsidR="00CF514C" w:rsidRPr="00185B14">
        <w:rPr>
          <w:lang w:val="en-NZ"/>
        </w:rPr>
        <w:t xml:space="preserve">and international </w:t>
      </w:r>
      <w:r w:rsidR="00211D2C" w:rsidRPr="00185B14">
        <w:rPr>
          <w:lang w:val="en-NZ"/>
        </w:rPr>
        <w:t>studies.</w:t>
      </w:r>
      <w:r w:rsidR="00064835">
        <w:rPr>
          <w:rStyle w:val="EndnoteReference"/>
          <w:lang w:val="en-NZ"/>
        </w:rPr>
        <w:endnoteReference w:id="8"/>
      </w:r>
      <w:r w:rsidR="00D266FC">
        <w:rPr>
          <w:rStyle w:val="EndnoteReference"/>
          <w:lang w:val="en-NZ"/>
        </w:rPr>
        <w:endnoteReference w:id="9"/>
      </w:r>
      <w:r w:rsidR="00F95FA4">
        <w:rPr>
          <w:rStyle w:val="EndnoteReference"/>
          <w:lang w:val="en-NZ"/>
        </w:rPr>
        <w:endnoteReference w:id="10"/>
      </w:r>
      <w:r w:rsidR="00CF514C">
        <w:rPr>
          <w:rStyle w:val="EndnoteReference"/>
          <w:lang w:val="en-NZ"/>
        </w:rPr>
        <w:endnoteReference w:id="11"/>
      </w:r>
      <w:r w:rsidR="00353265">
        <w:rPr>
          <w:rStyle w:val="EndnoteReference"/>
          <w:lang w:val="en-NZ"/>
        </w:rPr>
        <w:endnoteReference w:id="12"/>
      </w:r>
      <w:r w:rsidR="0054798F">
        <w:rPr>
          <w:rStyle w:val="EndnoteReference"/>
          <w:lang w:val="en-NZ"/>
        </w:rPr>
        <w:endnoteReference w:id="13"/>
      </w:r>
      <w:r w:rsidR="0096032F">
        <w:rPr>
          <w:rStyle w:val="EndnoteReference"/>
          <w:lang w:val="en-NZ"/>
        </w:rPr>
        <w:endnoteReference w:id="14"/>
      </w:r>
      <w:r w:rsidR="00C208C4">
        <w:rPr>
          <w:rStyle w:val="EndnoteReference"/>
          <w:lang w:val="en-NZ"/>
        </w:rPr>
        <w:endnoteReference w:id="15"/>
      </w:r>
      <w:r w:rsidR="00211D2C" w:rsidRPr="00185B14">
        <w:rPr>
          <w:lang w:val="en-NZ"/>
        </w:rPr>
        <w:t xml:space="preserve"> Last year, a NZ coroner ruled that cold, damp conditions in a state-owned rental property could not be discounted as contributing to the death of a two-year-old child.</w:t>
      </w:r>
      <w:r w:rsidR="005068D4">
        <w:rPr>
          <w:rStyle w:val="EndnoteReference"/>
          <w:lang w:val="en-NZ"/>
        </w:rPr>
        <w:endnoteReference w:id="16"/>
      </w:r>
      <w:r w:rsidR="00211D2C" w:rsidRPr="00185B14">
        <w:rPr>
          <w:lang w:val="en-NZ"/>
        </w:rPr>
        <w:t xml:space="preserve"> </w:t>
      </w:r>
      <w:r w:rsidR="00776A1D" w:rsidRPr="00185B14">
        <w:rPr>
          <w:lang w:val="en-NZ"/>
        </w:rPr>
        <w:t xml:space="preserve">In response, the Government announced minimum standards for </w:t>
      </w:r>
      <w:r w:rsidR="00006DD9">
        <w:rPr>
          <w:lang w:val="en-NZ"/>
        </w:rPr>
        <w:t xml:space="preserve">rental </w:t>
      </w:r>
      <w:r w:rsidR="00776A1D" w:rsidRPr="00185B14">
        <w:rPr>
          <w:lang w:val="en-NZ"/>
        </w:rPr>
        <w:t>housing, including a new requirement for smoke alarms in all residential properties, and new requirements for ceiling and underfloor insulation (where possible) to be phased in between 2016 and 2019.</w:t>
      </w:r>
      <w:r w:rsidR="000955E1">
        <w:rPr>
          <w:rStyle w:val="EndnoteReference"/>
          <w:lang w:val="en-NZ"/>
        </w:rPr>
        <w:endnoteReference w:id="17"/>
      </w:r>
      <w:r w:rsidR="00E77DA2" w:rsidRPr="00185B14">
        <w:rPr>
          <w:lang w:val="en-NZ"/>
        </w:rPr>
        <w:t xml:space="preserve"> </w:t>
      </w:r>
    </w:p>
    <w:p w:rsidR="00185B14" w:rsidRDefault="00185B14" w:rsidP="00185B14">
      <w:pPr>
        <w:pStyle w:val="ListParagraph"/>
        <w:jc w:val="both"/>
        <w:rPr>
          <w:lang w:val="en-NZ"/>
        </w:rPr>
      </w:pPr>
    </w:p>
    <w:p w:rsidR="00DB1A7F" w:rsidRDefault="00AD56A2" w:rsidP="00DB1A7F">
      <w:pPr>
        <w:pStyle w:val="ListParagraph"/>
        <w:numPr>
          <w:ilvl w:val="0"/>
          <w:numId w:val="11"/>
        </w:numPr>
        <w:ind w:hanging="720"/>
        <w:jc w:val="both"/>
        <w:rPr>
          <w:lang w:val="en-NZ"/>
        </w:rPr>
      </w:pPr>
      <w:r w:rsidRPr="00185B14">
        <w:rPr>
          <w:lang w:val="en-NZ"/>
        </w:rPr>
        <w:t xml:space="preserve">Current regulations regarding </w:t>
      </w:r>
      <w:r w:rsidR="00D726F0" w:rsidRPr="00185B14">
        <w:rPr>
          <w:lang w:val="en-NZ"/>
        </w:rPr>
        <w:t xml:space="preserve">rental </w:t>
      </w:r>
      <w:r w:rsidRPr="00185B14">
        <w:rPr>
          <w:lang w:val="en-NZ"/>
        </w:rPr>
        <w:t xml:space="preserve">housing quality were last amended in 1947, </w:t>
      </w:r>
      <w:r w:rsidR="00082847" w:rsidRPr="00185B14">
        <w:rPr>
          <w:lang w:val="en-NZ"/>
        </w:rPr>
        <w:t xml:space="preserve">and provide </w:t>
      </w:r>
      <w:r w:rsidRPr="00185B14">
        <w:rPr>
          <w:lang w:val="en-NZ"/>
        </w:rPr>
        <w:t xml:space="preserve">tenants </w:t>
      </w:r>
      <w:r w:rsidR="00082847" w:rsidRPr="00185B14">
        <w:rPr>
          <w:lang w:val="en-NZ"/>
        </w:rPr>
        <w:t xml:space="preserve">with </w:t>
      </w:r>
      <w:r w:rsidRPr="00185B14">
        <w:rPr>
          <w:lang w:val="en-NZ"/>
        </w:rPr>
        <w:t>a right to a dwelling in “a reasonable state of repair”</w:t>
      </w:r>
      <w:r w:rsidR="00B76B68" w:rsidRPr="00185B14">
        <w:rPr>
          <w:lang w:val="en-NZ"/>
        </w:rPr>
        <w:t>.</w:t>
      </w:r>
      <w:r w:rsidR="00F02F96">
        <w:rPr>
          <w:rStyle w:val="EndnoteReference"/>
          <w:lang w:val="en-NZ"/>
        </w:rPr>
        <w:endnoteReference w:id="18"/>
      </w:r>
      <w:r w:rsidR="00B76B68" w:rsidRPr="00185B14">
        <w:rPr>
          <w:lang w:val="en-NZ"/>
        </w:rPr>
        <w:t xml:space="preserve"> However, there </w:t>
      </w:r>
      <w:r w:rsidR="00082847" w:rsidRPr="00185B14">
        <w:rPr>
          <w:lang w:val="en-NZ"/>
        </w:rPr>
        <w:t xml:space="preserve">can be disincentives to pursuing such cases and the term </w:t>
      </w:r>
      <w:r w:rsidR="00B76B68" w:rsidRPr="00185B14">
        <w:rPr>
          <w:lang w:val="en-NZ"/>
        </w:rPr>
        <w:t xml:space="preserve">“a reasonable state of repair” is not consistently interpreted. </w:t>
      </w:r>
      <w:r w:rsidR="00082847" w:rsidRPr="00185B14">
        <w:rPr>
          <w:lang w:val="en-NZ"/>
        </w:rPr>
        <w:t xml:space="preserve"> </w:t>
      </w:r>
      <w:r w:rsidR="00B76B68" w:rsidRPr="00185B14">
        <w:rPr>
          <w:lang w:val="en-NZ"/>
        </w:rPr>
        <w:t xml:space="preserve">In addition to regulation of the </w:t>
      </w:r>
      <w:r w:rsidR="00B76B68" w:rsidRPr="00185B14">
        <w:rPr>
          <w:i/>
          <w:lang w:val="en-NZ"/>
        </w:rPr>
        <w:t>Residential Tenancies Act 1947</w:t>
      </w:r>
      <w:r w:rsidR="00B76B68" w:rsidRPr="00185B14">
        <w:rPr>
          <w:lang w:val="en-NZ"/>
        </w:rPr>
        <w:t xml:space="preserve">, the </w:t>
      </w:r>
      <w:r w:rsidR="00B76B68" w:rsidRPr="00185B14">
        <w:rPr>
          <w:i/>
          <w:lang w:val="en-NZ"/>
        </w:rPr>
        <w:t>Health Act 1956</w:t>
      </w:r>
      <w:r w:rsidR="00B76B68" w:rsidRPr="00185B14">
        <w:rPr>
          <w:lang w:val="en-NZ"/>
        </w:rPr>
        <w:t xml:space="preserve"> gives local </w:t>
      </w:r>
      <w:proofErr w:type="gramStart"/>
      <w:r w:rsidR="00B76B68" w:rsidRPr="00185B14">
        <w:rPr>
          <w:lang w:val="en-NZ"/>
        </w:rPr>
        <w:t>authorities</w:t>
      </w:r>
      <w:proofErr w:type="gramEnd"/>
      <w:r w:rsidR="00B76B68" w:rsidRPr="00185B14">
        <w:rPr>
          <w:lang w:val="en-NZ"/>
        </w:rPr>
        <w:t xml:space="preserve"> powers to require important housing –related illness and injury hazards to be remedied. However, these </w:t>
      </w:r>
      <w:r w:rsidR="00D726F0" w:rsidRPr="00185B14">
        <w:rPr>
          <w:lang w:val="en-NZ"/>
        </w:rPr>
        <w:t xml:space="preserve">provisions </w:t>
      </w:r>
      <w:r w:rsidR="00B76B68" w:rsidRPr="00185B14">
        <w:rPr>
          <w:lang w:val="en-NZ"/>
        </w:rPr>
        <w:t>are not enforced, and a definition of acceptable housing is not made explicit in the Act.</w:t>
      </w:r>
      <w:r w:rsidR="00F00598">
        <w:rPr>
          <w:rStyle w:val="EndnoteReference"/>
          <w:lang w:val="en-NZ"/>
        </w:rPr>
        <w:endnoteReference w:id="19"/>
      </w:r>
      <w:r w:rsidR="00B76B68" w:rsidRPr="00185B14">
        <w:rPr>
          <w:lang w:val="en-NZ"/>
        </w:rPr>
        <w:t xml:space="preserve"> Newly built dwellings or upgrades to existing dwellings in NZ must comply with the Building Code, but this does not apply to existing buildings and most rental properties are not new builds.</w:t>
      </w:r>
    </w:p>
    <w:p w:rsidR="00DB1A7F" w:rsidRPr="00DB1A7F" w:rsidRDefault="00DB1A7F" w:rsidP="00DB1A7F">
      <w:pPr>
        <w:pStyle w:val="ListParagraph"/>
        <w:rPr>
          <w:lang w:val="en-NZ"/>
        </w:rPr>
      </w:pPr>
    </w:p>
    <w:p w:rsidR="0061394F" w:rsidRPr="00DB1A7F" w:rsidRDefault="006C5FCB" w:rsidP="00DB1A7F">
      <w:pPr>
        <w:pStyle w:val="ListParagraph"/>
        <w:numPr>
          <w:ilvl w:val="0"/>
          <w:numId w:val="11"/>
        </w:numPr>
        <w:ind w:hanging="720"/>
        <w:jc w:val="both"/>
        <w:rPr>
          <w:lang w:val="en-NZ"/>
        </w:rPr>
      </w:pPr>
      <w:r w:rsidRPr="00DB1A7F">
        <w:rPr>
          <w:lang w:val="en-NZ"/>
        </w:rPr>
        <w:t>The success of the Warm Up New Zealand home insulation funding programmes demonstrates that targeted initiatives can result in significant improvements to wellbeing. Since its inception in July 2009, the initiative has resulted in 292,000 homes being retrofitted with ceiling and underfloor insulation. A 2011/2012 evaluation of the programme found significant benefits from reduced hospitalisations, pharmaceutical costs and reduced mortality for elderly people. Further analysis found that hospitalisation rates for children in low income households were reduced by 12 per cent, and in rentals by 19 per cent</w:t>
      </w:r>
      <w:r w:rsidR="00727E87">
        <w:rPr>
          <w:rStyle w:val="EndnoteReference"/>
          <w:lang w:val="en-NZ"/>
        </w:rPr>
        <w:endnoteReference w:id="20"/>
      </w:r>
      <w:r w:rsidR="00727E87">
        <w:rPr>
          <w:lang w:val="en-NZ"/>
        </w:rPr>
        <w:t>.</w:t>
      </w:r>
      <w:r w:rsidRPr="00DB1A7F">
        <w:rPr>
          <w:lang w:val="en-NZ"/>
        </w:rPr>
        <w:t xml:space="preserve"> A further </w:t>
      </w:r>
      <w:r w:rsidR="002227E2" w:rsidRPr="00DB1A7F">
        <w:rPr>
          <w:lang w:val="en-NZ"/>
        </w:rPr>
        <w:t>analysis</w:t>
      </w:r>
      <w:r w:rsidRPr="00DB1A7F">
        <w:rPr>
          <w:lang w:val="en-NZ"/>
        </w:rPr>
        <w:t xml:space="preserve"> estimated a cost-benefit ratio for the programme of 6:1</w:t>
      </w:r>
      <w:r w:rsidR="00727E87">
        <w:rPr>
          <w:rStyle w:val="EndnoteReference"/>
          <w:lang w:val="en-NZ"/>
        </w:rPr>
        <w:endnoteReference w:id="21"/>
      </w:r>
      <w:r w:rsidRPr="00DB1A7F">
        <w:rPr>
          <w:lang w:val="en-NZ"/>
        </w:rPr>
        <w:t>.</w:t>
      </w:r>
    </w:p>
    <w:p w:rsidR="0061394F" w:rsidRPr="0061394F" w:rsidRDefault="0061394F" w:rsidP="0061394F">
      <w:pPr>
        <w:pStyle w:val="ListParagraph"/>
        <w:rPr>
          <w:lang w:val="en-NZ"/>
        </w:rPr>
      </w:pPr>
    </w:p>
    <w:p w:rsidR="0061394F" w:rsidRPr="0061394F" w:rsidRDefault="006C5FCB" w:rsidP="0061394F">
      <w:pPr>
        <w:pStyle w:val="ListParagraph"/>
        <w:numPr>
          <w:ilvl w:val="0"/>
          <w:numId w:val="11"/>
        </w:numPr>
        <w:ind w:hanging="720"/>
        <w:jc w:val="both"/>
        <w:rPr>
          <w:lang w:val="en-NZ"/>
        </w:rPr>
      </w:pPr>
      <w:r w:rsidRPr="0061394F">
        <w:rPr>
          <w:lang w:val="en-NZ"/>
        </w:rPr>
        <w:t xml:space="preserve">However, notwithstanding the progress achieved by the programme, significant numbers of New Zealand homes are inadequately insulated. </w:t>
      </w:r>
      <w:r w:rsidR="0061394F" w:rsidRPr="0061394F">
        <w:rPr>
          <w:lang w:val="en-NZ"/>
        </w:rPr>
        <w:t xml:space="preserve">The Energy Efficiency and Conservation Authority (EECA) estimates that 600,000 houses have no or inadequate ceiling or underfloor </w:t>
      </w:r>
      <w:r w:rsidR="00283D8E" w:rsidRPr="00DB1A7F">
        <w:rPr>
          <w:lang w:val="en-NZ"/>
        </w:rPr>
        <w:t>insulation</w:t>
      </w:r>
      <w:r w:rsidR="00283D8E">
        <w:rPr>
          <w:lang w:val="en-NZ"/>
        </w:rPr>
        <w:t xml:space="preserve"> </w:t>
      </w:r>
      <w:r w:rsidR="0061394F" w:rsidRPr="0061394F">
        <w:rPr>
          <w:lang w:val="en-NZ"/>
        </w:rPr>
        <w:t>of which 300,000 are low income households. Insulating all of these properties would result in total benefits of approximately $9 billion over the 30-year lifetime of those retrofits</w:t>
      </w:r>
      <w:r w:rsidR="00727E87">
        <w:rPr>
          <w:rStyle w:val="EndnoteReference"/>
          <w:lang w:val="en-NZ"/>
        </w:rPr>
        <w:endnoteReference w:id="22"/>
      </w:r>
      <w:r w:rsidR="0061394F" w:rsidRPr="0061394F">
        <w:rPr>
          <w:lang w:val="en-NZ"/>
        </w:rPr>
        <w:t>.</w:t>
      </w:r>
    </w:p>
    <w:p w:rsidR="0061394F" w:rsidRDefault="0061394F" w:rsidP="0061394F">
      <w:pPr>
        <w:pStyle w:val="ListParagraph"/>
        <w:jc w:val="both"/>
        <w:rPr>
          <w:lang w:val="en-NZ"/>
        </w:rPr>
      </w:pPr>
    </w:p>
    <w:p w:rsidR="00185B14" w:rsidRPr="0061394F" w:rsidRDefault="009753DA" w:rsidP="0061394F">
      <w:pPr>
        <w:pStyle w:val="ListParagraph"/>
        <w:numPr>
          <w:ilvl w:val="0"/>
          <w:numId w:val="11"/>
        </w:numPr>
        <w:ind w:hanging="720"/>
        <w:jc w:val="both"/>
        <w:rPr>
          <w:lang w:val="en-NZ"/>
        </w:rPr>
      </w:pPr>
      <w:r w:rsidRPr="0061394F">
        <w:rPr>
          <w:lang w:val="en-NZ"/>
        </w:rPr>
        <w:t xml:space="preserve">One approach to improve the quality of rental housing in NZ is to introduce minimum standards for housing in the form of a rental warrant of fitness (WOF), that is more extensive than the government’s recently-announced minimum standards. The rental WOF, tested in a pilot study by researchers at </w:t>
      </w:r>
      <w:proofErr w:type="spellStart"/>
      <w:r w:rsidRPr="0061394F">
        <w:rPr>
          <w:i/>
          <w:lang w:val="en-NZ"/>
        </w:rPr>
        <w:t>He</w:t>
      </w:r>
      <w:proofErr w:type="spellEnd"/>
      <w:r w:rsidRPr="0061394F">
        <w:rPr>
          <w:i/>
          <w:lang w:val="en-NZ"/>
        </w:rPr>
        <w:t xml:space="preserve"> </w:t>
      </w:r>
      <w:proofErr w:type="spellStart"/>
      <w:r w:rsidRPr="0061394F">
        <w:rPr>
          <w:i/>
          <w:lang w:val="en-NZ"/>
        </w:rPr>
        <w:t>Kainga</w:t>
      </w:r>
      <w:proofErr w:type="spellEnd"/>
      <w:r w:rsidRPr="0061394F">
        <w:rPr>
          <w:i/>
          <w:lang w:val="en-NZ"/>
        </w:rPr>
        <w:t xml:space="preserve"> </w:t>
      </w:r>
      <w:proofErr w:type="spellStart"/>
      <w:r w:rsidRPr="0061394F">
        <w:rPr>
          <w:i/>
          <w:lang w:val="en-NZ"/>
        </w:rPr>
        <w:t>Oranga</w:t>
      </w:r>
      <w:proofErr w:type="spellEnd"/>
      <w:r w:rsidRPr="0061394F">
        <w:rPr>
          <w:i/>
          <w:lang w:val="en-NZ"/>
        </w:rPr>
        <w:t>/</w:t>
      </w:r>
      <w:r w:rsidRPr="0061394F">
        <w:rPr>
          <w:lang w:val="en-NZ"/>
        </w:rPr>
        <w:t>Housing and Health Research Programme</w:t>
      </w:r>
      <w:r w:rsidR="002227E2">
        <w:rPr>
          <w:lang w:val="en-NZ"/>
        </w:rPr>
        <w:t xml:space="preserve"> </w:t>
      </w:r>
      <w:r w:rsidR="002227E2" w:rsidRPr="00DB1A7F">
        <w:rPr>
          <w:lang w:val="en-NZ"/>
        </w:rPr>
        <w:t>and five city councils</w:t>
      </w:r>
      <w:r w:rsidR="00995E00">
        <w:rPr>
          <w:rStyle w:val="EndnoteReference"/>
          <w:lang w:val="en-NZ"/>
        </w:rPr>
        <w:endnoteReference w:id="23"/>
      </w:r>
      <w:r w:rsidRPr="0061394F">
        <w:rPr>
          <w:lang w:val="en-NZ"/>
        </w:rPr>
        <w:t>, focuses on features that are supported by evidence to improve occupants’ health status</w:t>
      </w:r>
      <w:r w:rsidR="00F11338">
        <w:rPr>
          <w:rStyle w:val="EndnoteReference"/>
          <w:lang w:val="en-NZ"/>
        </w:rPr>
        <w:endnoteReference w:id="24"/>
      </w:r>
      <w:r w:rsidR="00492D22">
        <w:rPr>
          <w:rStyle w:val="EndnoteReference"/>
          <w:lang w:val="en-NZ"/>
        </w:rPr>
        <w:endnoteReference w:id="25"/>
      </w:r>
      <w:r w:rsidRPr="0061394F">
        <w:rPr>
          <w:lang w:val="en-NZ"/>
        </w:rPr>
        <w:t>, reduce school absences</w:t>
      </w:r>
      <w:r w:rsidR="00B75EEC" w:rsidRPr="0061394F">
        <w:rPr>
          <w:lang w:val="en-NZ"/>
        </w:rPr>
        <w:t xml:space="preserve"> and lost productivity by caregivers</w:t>
      </w:r>
      <w:r w:rsidR="00EB01F4">
        <w:rPr>
          <w:rStyle w:val="EndnoteReference"/>
          <w:lang w:val="en-NZ"/>
        </w:rPr>
        <w:endnoteReference w:id="26"/>
      </w:r>
      <w:r w:rsidRPr="0061394F">
        <w:rPr>
          <w:lang w:val="en-NZ"/>
        </w:rPr>
        <w:t>, lead to greater household energy efficiency</w:t>
      </w:r>
      <w:r w:rsidR="00803341">
        <w:rPr>
          <w:rStyle w:val="EndnoteReference"/>
          <w:lang w:val="en-NZ"/>
        </w:rPr>
        <w:endnoteReference w:id="27"/>
      </w:r>
      <w:r w:rsidRPr="0061394F">
        <w:rPr>
          <w:lang w:val="en-NZ"/>
        </w:rPr>
        <w:t>, and reduce unintentional injury in the home</w:t>
      </w:r>
      <w:r w:rsidR="009679AD">
        <w:rPr>
          <w:rStyle w:val="EndnoteReference"/>
          <w:lang w:val="en-NZ"/>
        </w:rPr>
        <w:endnoteReference w:id="28"/>
      </w:r>
      <w:r w:rsidRPr="0061394F">
        <w:rPr>
          <w:lang w:val="en-NZ"/>
        </w:rPr>
        <w:t xml:space="preserve">. </w:t>
      </w:r>
      <w:r w:rsidR="008565DD" w:rsidRPr="0061394F">
        <w:rPr>
          <w:lang w:val="en-NZ"/>
        </w:rPr>
        <w:t xml:space="preserve">There </w:t>
      </w:r>
      <w:r w:rsidR="008565DD" w:rsidRPr="0061394F">
        <w:rPr>
          <w:lang w:val="en-NZ"/>
        </w:rPr>
        <w:lastRenderedPageBreak/>
        <w:t xml:space="preserve">is good evidence to support the introduction of </w:t>
      </w:r>
      <w:r w:rsidR="002227E2" w:rsidRPr="00DB1A7F">
        <w:rPr>
          <w:lang w:val="en-NZ"/>
        </w:rPr>
        <w:t>comprehensive</w:t>
      </w:r>
      <w:r w:rsidR="002227E2">
        <w:rPr>
          <w:lang w:val="en-NZ"/>
        </w:rPr>
        <w:t xml:space="preserve"> </w:t>
      </w:r>
      <w:r w:rsidR="008565DD" w:rsidRPr="0061394F">
        <w:rPr>
          <w:lang w:val="en-NZ"/>
        </w:rPr>
        <w:t>rental housing standards to improve health, safety and energy efficiency. A NZ study reported that people who lived in the poorest quality houses would have a 33% reduction in respiratory symptoms if they lived in the best performing houses.</w:t>
      </w:r>
      <w:r w:rsidR="00D352F2">
        <w:rPr>
          <w:rStyle w:val="EndnoteReference"/>
          <w:lang w:val="en-NZ"/>
        </w:rPr>
        <w:endnoteReference w:id="29"/>
      </w:r>
      <w:r w:rsidR="00142461" w:rsidRPr="0061394F">
        <w:rPr>
          <w:lang w:val="en-NZ"/>
        </w:rPr>
        <w:t xml:space="preserve"> </w:t>
      </w:r>
      <w:r w:rsidR="00C0113D" w:rsidRPr="0061394F">
        <w:rPr>
          <w:lang w:val="en-NZ"/>
        </w:rPr>
        <w:t>Furthermore, energy inefficient housing, low incomes, and high electricity prices increase fuel poverty.</w:t>
      </w:r>
      <w:r w:rsidR="00F26466">
        <w:rPr>
          <w:rStyle w:val="EndnoteReference"/>
          <w:lang w:val="en-NZ"/>
        </w:rPr>
        <w:endnoteReference w:id="30"/>
      </w:r>
      <w:r w:rsidR="00C0113D" w:rsidRPr="0061394F">
        <w:rPr>
          <w:lang w:val="en-NZ"/>
        </w:rPr>
        <w:t xml:space="preserve"> For children, fuel poverty is associated with: reduced calorific intake in winter</w:t>
      </w:r>
      <w:r w:rsidR="00C0113D">
        <w:rPr>
          <w:rStyle w:val="EndnoteReference"/>
          <w:lang w:val="en-NZ"/>
        </w:rPr>
        <w:endnoteReference w:id="31"/>
      </w:r>
      <w:r w:rsidR="00C0113D" w:rsidRPr="0061394F">
        <w:rPr>
          <w:lang w:val="en-NZ"/>
        </w:rPr>
        <w:t>; increased risk of under-nutrition, being overweight, or acute hospitalisation</w:t>
      </w:r>
      <w:r w:rsidR="00311A20">
        <w:rPr>
          <w:rStyle w:val="EndnoteReference"/>
          <w:lang w:val="en-NZ"/>
        </w:rPr>
        <w:endnoteReference w:id="32"/>
      </w:r>
      <w:r w:rsidR="00C0113D" w:rsidRPr="0061394F">
        <w:rPr>
          <w:lang w:val="en-NZ"/>
        </w:rPr>
        <w:t>; poorer health and developmental outcomes for children under three years</w:t>
      </w:r>
      <w:r w:rsidR="00903D86">
        <w:rPr>
          <w:rStyle w:val="EndnoteReference"/>
          <w:lang w:val="en-NZ"/>
        </w:rPr>
        <w:endnoteReference w:id="33"/>
      </w:r>
      <w:r w:rsidR="00C0113D" w:rsidRPr="0061394F">
        <w:rPr>
          <w:lang w:val="en-NZ"/>
        </w:rPr>
        <w:t>; and the risk of mental health problems and increased antisocial behaviour among adolescents</w:t>
      </w:r>
      <w:r w:rsidR="004C43C5">
        <w:rPr>
          <w:rStyle w:val="EndnoteReference"/>
          <w:lang w:val="en-NZ"/>
        </w:rPr>
        <w:endnoteReference w:id="34"/>
      </w:r>
      <w:r w:rsidR="00C0113D" w:rsidRPr="0061394F">
        <w:rPr>
          <w:lang w:val="en-NZ"/>
        </w:rPr>
        <w:t>.</w:t>
      </w:r>
    </w:p>
    <w:p w:rsidR="00185B14" w:rsidRPr="0061394F" w:rsidRDefault="0061394F" w:rsidP="0061394F">
      <w:pPr>
        <w:jc w:val="both"/>
        <w:rPr>
          <w:i/>
          <w:lang w:val="en-NZ"/>
        </w:rPr>
      </w:pPr>
      <w:r>
        <w:rPr>
          <w:i/>
          <w:lang w:val="en-NZ"/>
        </w:rPr>
        <w:t>Security o</w:t>
      </w:r>
      <w:r w:rsidR="00ED3D1A" w:rsidRPr="00574FF7">
        <w:rPr>
          <w:i/>
          <w:lang w:val="en-NZ"/>
        </w:rPr>
        <w:t>f Tenure and Affordability</w:t>
      </w:r>
    </w:p>
    <w:p w:rsidR="00185B14" w:rsidRPr="00185B14" w:rsidRDefault="00ED3D1A" w:rsidP="00247423">
      <w:pPr>
        <w:pStyle w:val="ListParagraph"/>
        <w:numPr>
          <w:ilvl w:val="0"/>
          <w:numId w:val="11"/>
        </w:numPr>
        <w:ind w:hanging="720"/>
        <w:jc w:val="both"/>
        <w:rPr>
          <w:lang w:val="en-NZ"/>
        </w:rPr>
      </w:pPr>
      <w:r w:rsidRPr="00ED3D1A">
        <w:t>Currently, legal security of tenure for residential accom</w:t>
      </w:r>
      <w:r w:rsidR="009F063C">
        <w:t>m</w:t>
      </w:r>
      <w:r w:rsidRPr="00ED3D1A">
        <w:t>odation is provided under the Residential Tenancies Act 1986. The RTA enables landlords to evict tenants without reason, so long as due notice (42 days) is provided. It does not contain a provision or mechanism that establishes a differential security of tenure for households with dependent children.</w:t>
      </w:r>
      <w:r>
        <w:t xml:space="preserve"> </w:t>
      </w:r>
      <w:r w:rsidRPr="00ED3D1A">
        <w:t>This is a signi</w:t>
      </w:r>
      <w:r w:rsidR="009F063C">
        <w:t xml:space="preserve">ficant issue for poor families, a large majority of whom </w:t>
      </w:r>
      <w:r w:rsidRPr="00ED3D1A">
        <w:t>reside in private rental accom</w:t>
      </w:r>
      <w:r w:rsidR="009F063C">
        <w:t>m</w:t>
      </w:r>
      <w:r w:rsidRPr="00ED3D1A">
        <w:t>odation</w:t>
      </w:r>
      <w:r w:rsidR="00727E87">
        <w:rPr>
          <w:rStyle w:val="EndnoteReference"/>
        </w:rPr>
        <w:endnoteReference w:id="35"/>
      </w:r>
      <w:r w:rsidRPr="00ED3D1A">
        <w:t>. In addition, growth in private rental accom</w:t>
      </w:r>
      <w:r w:rsidR="009F063C">
        <w:t>m</w:t>
      </w:r>
      <w:r w:rsidRPr="00ED3D1A">
        <w:t>odation has far outstripped supply of social housing. Of the 114,000 new rental accom</w:t>
      </w:r>
      <w:r w:rsidR="009F063C">
        <w:t>m</w:t>
      </w:r>
      <w:r w:rsidRPr="00ED3D1A">
        <w:t>odation units that have been introduced into New Zealand’s housing stock between 2004 and 2014, just 3000 were social housing units.</w:t>
      </w:r>
      <w:r w:rsidR="00727E87">
        <w:rPr>
          <w:rStyle w:val="EndnoteReference"/>
        </w:rPr>
        <w:endnoteReference w:id="36"/>
      </w:r>
    </w:p>
    <w:p w:rsidR="00185B14" w:rsidRDefault="00185B14" w:rsidP="00185B14">
      <w:pPr>
        <w:pStyle w:val="ListParagraph"/>
      </w:pPr>
    </w:p>
    <w:p w:rsidR="00574FF7" w:rsidRPr="00574FF7" w:rsidRDefault="009F063C" w:rsidP="00574FF7">
      <w:pPr>
        <w:pStyle w:val="ListParagraph"/>
        <w:numPr>
          <w:ilvl w:val="0"/>
          <w:numId w:val="11"/>
        </w:numPr>
        <w:ind w:hanging="720"/>
        <w:jc w:val="both"/>
        <w:rPr>
          <w:lang w:val="en-NZ"/>
        </w:rPr>
      </w:pPr>
      <w:r w:rsidRPr="009F063C">
        <w:t xml:space="preserve">Housing affordability, both in terms of ownership and renting, has been an issue of social concern in New Zealand for a number of years. The Government currently spends around </w:t>
      </w:r>
      <w:r w:rsidR="00D726F0">
        <w:t>$</w:t>
      </w:r>
      <w:r w:rsidRPr="009F063C">
        <w:t xml:space="preserve">1.9 billion per year on housing subsidies, in the form of the accommodation supplement (approx. </w:t>
      </w:r>
      <w:r w:rsidR="00D726F0">
        <w:t>$</w:t>
      </w:r>
      <w:r w:rsidRPr="009F063C">
        <w:t>1.14 billion) and in subsidies paid to Housing New Zealand to cover income</w:t>
      </w:r>
      <w:r w:rsidR="002227E2" w:rsidRPr="00DB1A7F">
        <w:t>-</w:t>
      </w:r>
      <w:r w:rsidRPr="009F063C">
        <w:t xml:space="preserve">related </w:t>
      </w:r>
      <w:r w:rsidR="0015505B" w:rsidRPr="00DB1A7F">
        <w:t>(below market)</w:t>
      </w:r>
      <w:r w:rsidR="0015505B">
        <w:t xml:space="preserve"> </w:t>
      </w:r>
      <w:r w:rsidRPr="009F063C">
        <w:t>rent</w:t>
      </w:r>
      <w:r w:rsidR="0015505B">
        <w:t>s</w:t>
      </w:r>
      <w:r w:rsidRPr="009F063C">
        <w:t xml:space="preserve"> for state housing tenants (over </w:t>
      </w:r>
      <w:r w:rsidR="00D726F0">
        <w:t>$</w:t>
      </w:r>
      <w:r w:rsidR="00727E87">
        <w:t>700 million)</w:t>
      </w:r>
      <w:r w:rsidR="00727E87">
        <w:rPr>
          <w:vertAlign w:val="superscript"/>
        </w:rPr>
        <w:t>.</w:t>
      </w:r>
      <w:r w:rsidR="00727E87" w:rsidRPr="009F063C">
        <w:t xml:space="preserve"> </w:t>
      </w:r>
      <w:r w:rsidRPr="009F063C">
        <w:t>Notwithstanding the scale of government spending in this area, the Productivity Commissio</w:t>
      </w:r>
      <w:r w:rsidR="00DB1A7F">
        <w:t>n’s 2012 Housing Affordability I</w:t>
      </w:r>
      <w:r w:rsidRPr="009F063C">
        <w:t>nquiry highlighted concern around affordability for renters and noted ‘that the current approach to social housing in New Zealand will not provide sufficient support for many New Zealanders in need’. Despite the increasing unaffordability of home ownership, evidence indicates that tenant households face more significant affordability barriers</w:t>
      </w:r>
      <w:r w:rsidR="00531FE8">
        <w:t>. T</w:t>
      </w:r>
      <w:r w:rsidRPr="009F063C">
        <w:t>he 2014 Household Economic Survey reported that 44% of tenant household</w:t>
      </w:r>
      <w:r w:rsidR="0015505B">
        <w:t>s</w:t>
      </w:r>
      <w:r w:rsidRPr="009F063C">
        <w:t xml:space="preserve"> spend more than 25% of the</w:t>
      </w:r>
      <w:r w:rsidR="0015505B">
        <w:t>ir</w:t>
      </w:r>
      <w:r w:rsidRPr="009F063C">
        <w:t xml:space="preserve"> income on housing and 22% spend more than 40% of household income on housing</w:t>
      </w:r>
      <w:r w:rsidR="00804E43">
        <w:t xml:space="preserve">. </w:t>
      </w:r>
      <w:r w:rsidRPr="009F063C">
        <w:t>These proportions have changed little over the past six years. By comparison, of owner-occupier households only 20% spent more than 25% of their income on housing and just 8% spent more than 40% of their income</w:t>
      </w:r>
      <w:r w:rsidR="00727E87">
        <w:rPr>
          <w:rStyle w:val="EndnoteReference"/>
        </w:rPr>
        <w:endnoteReference w:id="37"/>
      </w:r>
      <w:r w:rsidRPr="009F063C">
        <w:t>.</w:t>
      </w:r>
    </w:p>
    <w:p w:rsidR="00574FF7" w:rsidRPr="0061394F" w:rsidRDefault="000D0822" w:rsidP="0061394F">
      <w:pPr>
        <w:jc w:val="both"/>
        <w:rPr>
          <w:i/>
          <w:lang w:val="en-NZ"/>
        </w:rPr>
      </w:pPr>
      <w:r w:rsidRPr="0061394F">
        <w:rPr>
          <w:i/>
          <w:lang w:val="en-NZ"/>
        </w:rPr>
        <w:t>Severe housing deprivation</w:t>
      </w:r>
    </w:p>
    <w:p w:rsidR="00574FF7" w:rsidRDefault="00185870" w:rsidP="00247423">
      <w:pPr>
        <w:pStyle w:val="ListParagraph"/>
        <w:numPr>
          <w:ilvl w:val="0"/>
          <w:numId w:val="11"/>
        </w:numPr>
        <w:ind w:hanging="720"/>
        <w:jc w:val="both"/>
        <w:rPr>
          <w:lang w:val="en-NZ"/>
        </w:rPr>
      </w:pPr>
      <w:r w:rsidRPr="00574FF7">
        <w:rPr>
          <w:lang w:val="en-NZ"/>
        </w:rPr>
        <w:t xml:space="preserve">Severe housing deprivation refers to people living in severely inadequate housing or rough sleeping, through being unable to access a dwelling to rent or buy. Minimally adequate housing provides the basics in at least two dimensions of housing adequacy: habitability; privacy and control; and security of tenure. </w:t>
      </w:r>
      <w:r w:rsidR="00971544" w:rsidRPr="00574FF7">
        <w:rPr>
          <w:lang w:val="en-NZ"/>
        </w:rPr>
        <w:t>As note</w:t>
      </w:r>
      <w:r w:rsidR="00531FE8" w:rsidRPr="00574FF7">
        <w:rPr>
          <w:lang w:val="en-NZ"/>
        </w:rPr>
        <w:t>d</w:t>
      </w:r>
      <w:r w:rsidR="00971544" w:rsidRPr="00574FF7">
        <w:rPr>
          <w:lang w:val="en-NZ"/>
        </w:rPr>
        <w:t xml:space="preserve"> earlier, on the night of the 200</w:t>
      </w:r>
      <w:r w:rsidR="006A138F" w:rsidRPr="00574FF7">
        <w:rPr>
          <w:lang w:val="en-NZ"/>
        </w:rPr>
        <w:t>6 C</w:t>
      </w:r>
      <w:r w:rsidR="00971544" w:rsidRPr="00574FF7">
        <w:rPr>
          <w:lang w:val="en-NZ"/>
        </w:rPr>
        <w:t xml:space="preserve">ensus, 34,000 people were living in severe housing deprivation. Over half of these people were under 25, and half of those were children under the age of 15. </w:t>
      </w:r>
      <w:r w:rsidR="007D220B" w:rsidRPr="00574FF7">
        <w:rPr>
          <w:lang w:val="en-NZ"/>
        </w:rPr>
        <w:t xml:space="preserve">65 percent of severely housing </w:t>
      </w:r>
      <w:r w:rsidR="007D220B" w:rsidRPr="00574FF7">
        <w:rPr>
          <w:lang w:val="en-NZ"/>
        </w:rPr>
        <w:lastRenderedPageBreak/>
        <w:t>deprived people were sharing with others, usually extended family, in severely crowded permanent private dwellings; 18 percent were living in commercial accommodation (such as boarding houses or camping grounds) or marae; 15 percent were living on the street or in improvised or mobile dwellings. Only 2 percent were living in emergency accommodation (such as nigh</w:t>
      </w:r>
      <w:r w:rsidR="0015505B">
        <w:rPr>
          <w:lang w:val="en-NZ"/>
        </w:rPr>
        <w:t>t shelters or women’s refuges).</w:t>
      </w:r>
      <w:r w:rsidR="00FE05ED">
        <w:rPr>
          <w:rStyle w:val="EndnoteReference"/>
          <w:lang w:val="en-NZ"/>
        </w:rPr>
        <w:endnoteReference w:id="38"/>
      </w:r>
      <w:r w:rsidR="008C2ECB" w:rsidRPr="00574FF7">
        <w:rPr>
          <w:lang w:val="en-NZ"/>
        </w:rPr>
        <w:t xml:space="preserve"> </w:t>
      </w:r>
      <w:r w:rsidR="00C232D0" w:rsidRPr="00574FF7">
        <w:rPr>
          <w:lang w:val="en-NZ"/>
        </w:rPr>
        <w:t>By</w:t>
      </w:r>
      <w:r w:rsidR="006A138F" w:rsidRPr="00574FF7">
        <w:rPr>
          <w:lang w:val="en-NZ"/>
        </w:rPr>
        <w:t xml:space="preserve"> 2013, the severely deprived housing population had risen 17%, </w:t>
      </w:r>
      <w:r w:rsidR="006E3212">
        <w:rPr>
          <w:lang w:val="en-NZ"/>
        </w:rPr>
        <w:t xml:space="preserve">to over 40,000, </w:t>
      </w:r>
      <w:r w:rsidR="006A138F" w:rsidRPr="00574FF7">
        <w:rPr>
          <w:lang w:val="en-NZ"/>
        </w:rPr>
        <w:t>with similar proportions of children and young people experiencing severe housing deprivation.</w:t>
      </w:r>
      <w:r w:rsidR="006A138F">
        <w:rPr>
          <w:rStyle w:val="EndnoteReference"/>
          <w:lang w:val="en-NZ"/>
        </w:rPr>
        <w:endnoteReference w:id="39"/>
      </w:r>
      <w:r w:rsidR="006A138F" w:rsidRPr="00574FF7">
        <w:rPr>
          <w:lang w:val="en-NZ"/>
        </w:rPr>
        <w:t xml:space="preserve"> </w:t>
      </w:r>
      <w:r w:rsidR="008C2ECB" w:rsidRPr="00574FF7">
        <w:rPr>
          <w:lang w:val="en-NZ"/>
        </w:rPr>
        <w:t>Insecure housing exacerbates ill health, and is associated with poorer educational outcomes for children, as they may have to shift schools frequently,</w:t>
      </w:r>
      <w:r w:rsidR="00CB6271" w:rsidRPr="00574FF7">
        <w:rPr>
          <w:lang w:val="en-NZ"/>
        </w:rPr>
        <w:t xml:space="preserve"> have more days of</w:t>
      </w:r>
      <w:r w:rsidR="006E3212">
        <w:rPr>
          <w:lang w:val="en-NZ"/>
        </w:rPr>
        <w:t>f</w:t>
      </w:r>
      <w:r w:rsidR="00CB6271" w:rsidRPr="00574FF7">
        <w:rPr>
          <w:lang w:val="en-NZ"/>
        </w:rPr>
        <w:t xml:space="preserve"> school,</w:t>
      </w:r>
      <w:r w:rsidR="008C2ECB" w:rsidRPr="00574FF7">
        <w:rPr>
          <w:lang w:val="en-NZ"/>
        </w:rPr>
        <w:t xml:space="preserve"> and lack an appropriate space in which to do homework.</w:t>
      </w:r>
    </w:p>
    <w:p w:rsidR="00574FF7" w:rsidRDefault="00574FF7" w:rsidP="00574FF7">
      <w:pPr>
        <w:pStyle w:val="ListParagraph"/>
        <w:jc w:val="both"/>
        <w:rPr>
          <w:lang w:val="en-NZ"/>
        </w:rPr>
      </w:pPr>
    </w:p>
    <w:p w:rsidR="00574FF7" w:rsidRDefault="002F18BB" w:rsidP="00574FF7">
      <w:pPr>
        <w:pStyle w:val="ListParagraph"/>
        <w:numPr>
          <w:ilvl w:val="0"/>
          <w:numId w:val="11"/>
        </w:numPr>
        <w:ind w:hanging="720"/>
        <w:jc w:val="both"/>
        <w:rPr>
          <w:lang w:val="en-NZ"/>
        </w:rPr>
      </w:pPr>
      <w:r>
        <w:t>Overcrowding</w:t>
      </w:r>
      <w:r w:rsidR="00E9748A">
        <w:t xml:space="preserve">, a symptom of severe housing </w:t>
      </w:r>
      <w:r w:rsidR="00006DD9">
        <w:t xml:space="preserve">deprivation, </w:t>
      </w:r>
      <w:r w:rsidR="00B61693">
        <w:t>is</w:t>
      </w:r>
      <w:r w:rsidR="00E9748A">
        <w:t xml:space="preserve"> disproportionately</w:t>
      </w:r>
      <w:r w:rsidR="00B61693">
        <w:t xml:space="preserve"> spread across age, ethnic and socio-economic lines</w:t>
      </w:r>
      <w:r w:rsidR="00E9748A">
        <w:t>. Dat</w:t>
      </w:r>
      <w:r w:rsidR="006E3212">
        <w:t>a from the 2013 Census indicates</w:t>
      </w:r>
      <w:r w:rsidR="00E9748A">
        <w:t xml:space="preserve"> that o</w:t>
      </w:r>
      <w:r w:rsidR="00E9748A" w:rsidRPr="00E9748A">
        <w:t xml:space="preserve">ver half of </w:t>
      </w:r>
      <w:r w:rsidR="00E9748A">
        <w:t xml:space="preserve">New Zealand’s 72,124 </w:t>
      </w:r>
      <w:r w:rsidR="00E9748A" w:rsidRPr="00E9748A">
        <w:t>crowded households</w:t>
      </w:r>
      <w:r w:rsidR="00E9748A">
        <w:t xml:space="preserve"> (representing about 10 percent of the population)</w:t>
      </w:r>
      <w:r w:rsidR="00E9748A" w:rsidRPr="00E9748A">
        <w:t xml:space="preserve"> have two or more children (at least one child aged between 5 and 14 years) living in them</w:t>
      </w:r>
      <w:r w:rsidR="00727E87">
        <w:t>.</w:t>
      </w:r>
      <w:r w:rsidR="00E9748A">
        <w:t xml:space="preserve"> </w:t>
      </w:r>
      <w:r w:rsidR="00B61693">
        <w:t xml:space="preserve">The 2013 Census data also indicated that 38% of </w:t>
      </w:r>
      <w:r w:rsidR="00B61693" w:rsidRPr="00574FF7">
        <w:rPr>
          <w:lang w:val="en-NZ"/>
        </w:rPr>
        <w:t xml:space="preserve">Pacific people, 20% of </w:t>
      </w:r>
      <w:r w:rsidR="00E9748A" w:rsidRPr="00574FF7">
        <w:rPr>
          <w:lang w:val="en-NZ"/>
        </w:rPr>
        <w:t>Māori and</w:t>
      </w:r>
      <w:r w:rsidR="00B61693" w:rsidRPr="00574FF7">
        <w:rPr>
          <w:lang w:val="en-NZ"/>
        </w:rPr>
        <w:t xml:space="preserve"> 18%</w:t>
      </w:r>
      <w:r w:rsidR="00E9748A" w:rsidRPr="00574FF7">
        <w:rPr>
          <w:lang w:val="en-NZ"/>
        </w:rPr>
        <w:t xml:space="preserve"> </w:t>
      </w:r>
      <w:r w:rsidR="006E3212">
        <w:rPr>
          <w:lang w:val="en-NZ"/>
        </w:rPr>
        <w:t xml:space="preserve">of </w:t>
      </w:r>
      <w:r w:rsidR="00E9748A" w:rsidRPr="00574FF7">
        <w:rPr>
          <w:lang w:val="en-NZ"/>
        </w:rPr>
        <w:t xml:space="preserve">Asian people live in crowded households, compared to </w:t>
      </w:r>
      <w:r w:rsidR="00B61693" w:rsidRPr="00574FF7">
        <w:rPr>
          <w:lang w:val="en-NZ"/>
        </w:rPr>
        <w:t>4% of Europeans</w:t>
      </w:r>
      <w:r w:rsidR="00727E87">
        <w:rPr>
          <w:lang w:val="en-NZ"/>
        </w:rPr>
        <w:t>.</w:t>
      </w:r>
      <w:r w:rsidR="00B61693" w:rsidRPr="00574FF7">
        <w:rPr>
          <w:lang w:val="en-NZ"/>
        </w:rPr>
        <w:t xml:space="preserve"> Furthermore, of those New Zealanders who </w:t>
      </w:r>
      <w:r w:rsidR="00531FE8" w:rsidRPr="00574FF7">
        <w:rPr>
          <w:lang w:val="en-NZ"/>
        </w:rPr>
        <w:t xml:space="preserve">live </w:t>
      </w:r>
      <w:r w:rsidR="00B61693" w:rsidRPr="00574FF7">
        <w:rPr>
          <w:lang w:val="en-NZ"/>
        </w:rPr>
        <w:t>in crowded households, approximately 35,000 (9%) live in households that do not use any form of heating in their houses</w:t>
      </w:r>
      <w:r w:rsidR="00727E87">
        <w:rPr>
          <w:lang w:val="en-NZ"/>
        </w:rPr>
        <w:t>.</w:t>
      </w:r>
      <w:r w:rsidR="00B61693" w:rsidRPr="00574FF7">
        <w:rPr>
          <w:lang w:val="en-NZ"/>
        </w:rPr>
        <w:t xml:space="preserve"> The highest percentage (16%) is in the Counties </w:t>
      </w:r>
      <w:proofErr w:type="spellStart"/>
      <w:r w:rsidR="006E3212">
        <w:rPr>
          <w:lang w:val="en-NZ"/>
        </w:rPr>
        <w:t>Manukau</w:t>
      </w:r>
      <w:proofErr w:type="spellEnd"/>
      <w:r w:rsidR="006E3212">
        <w:rPr>
          <w:lang w:val="en-NZ"/>
        </w:rPr>
        <w:t xml:space="preserve"> DHB region, where 14,100</w:t>
      </w:r>
      <w:r w:rsidR="00B61693" w:rsidRPr="00574FF7">
        <w:rPr>
          <w:lang w:val="en-NZ"/>
        </w:rPr>
        <w:t xml:space="preserve"> people living in crowded households use no heating. This region, home to many of New Zealand’s most economically deprived </w:t>
      </w:r>
      <w:r w:rsidR="00CD6A2C" w:rsidRPr="00574FF7">
        <w:rPr>
          <w:lang w:val="en-NZ"/>
        </w:rPr>
        <w:t xml:space="preserve">urban </w:t>
      </w:r>
      <w:r w:rsidR="00B61693" w:rsidRPr="00574FF7">
        <w:rPr>
          <w:lang w:val="en-NZ"/>
        </w:rPr>
        <w:t>communities, also experienced a 9% increase in overcrowding in the period between the 2006 and 2013 Census surveys</w:t>
      </w:r>
      <w:r w:rsidR="00727E87">
        <w:rPr>
          <w:rStyle w:val="EndnoteReference"/>
          <w:lang w:val="en-NZ"/>
        </w:rPr>
        <w:endnoteReference w:id="40"/>
      </w:r>
      <w:r w:rsidR="00727E87">
        <w:rPr>
          <w:lang w:val="en-NZ"/>
        </w:rPr>
        <w:t>.</w:t>
      </w:r>
    </w:p>
    <w:p w:rsidR="00574FF7" w:rsidRPr="00574FF7" w:rsidRDefault="00AB6A50" w:rsidP="00574FF7">
      <w:pPr>
        <w:jc w:val="both"/>
        <w:rPr>
          <w:b/>
          <w:lang w:val="en-NZ"/>
        </w:rPr>
      </w:pPr>
      <w:r w:rsidRPr="00574FF7">
        <w:rPr>
          <w:b/>
          <w:lang w:val="en-NZ"/>
        </w:rPr>
        <w:t xml:space="preserve">HUMAN RIGHTS </w:t>
      </w:r>
      <w:r w:rsidR="00C232D0" w:rsidRPr="00574FF7">
        <w:rPr>
          <w:b/>
          <w:lang w:val="en-NZ"/>
        </w:rPr>
        <w:t>SOLUTIONS</w:t>
      </w:r>
    </w:p>
    <w:p w:rsidR="00574FF7" w:rsidRPr="00574FF7" w:rsidRDefault="007661F4" w:rsidP="00574FF7">
      <w:pPr>
        <w:jc w:val="both"/>
        <w:rPr>
          <w:i/>
          <w:lang w:val="en-NZ"/>
        </w:rPr>
      </w:pPr>
      <w:r w:rsidRPr="00574FF7">
        <w:rPr>
          <w:i/>
          <w:lang w:val="en-NZ"/>
        </w:rPr>
        <w:t xml:space="preserve">The </w:t>
      </w:r>
      <w:r w:rsidRPr="00574FF7">
        <w:rPr>
          <w:i/>
        </w:rPr>
        <w:t xml:space="preserve">2030 UN Agenda for Sustainable Development </w:t>
      </w:r>
    </w:p>
    <w:p w:rsidR="00574FF7" w:rsidRPr="00574FF7" w:rsidRDefault="007661F4" w:rsidP="007661F4">
      <w:pPr>
        <w:pStyle w:val="ListParagraph"/>
        <w:numPr>
          <w:ilvl w:val="0"/>
          <w:numId w:val="11"/>
        </w:numPr>
        <w:ind w:hanging="720"/>
        <w:jc w:val="both"/>
        <w:rPr>
          <w:lang w:val="en-NZ"/>
        </w:rPr>
      </w:pPr>
      <w:r w:rsidRPr="00574FF7">
        <w:rPr>
          <w:lang w:val="en-NZ"/>
        </w:rPr>
        <w:t xml:space="preserve">In </w:t>
      </w:r>
      <w:r w:rsidRPr="007661F4">
        <w:t>2015 New Zealand agreed to the 2030 UN Agenda for Sustainable Development (the SDG Agenda).  This SDG Agenda is an international plan of action built upon the three dimensio</w:t>
      </w:r>
      <w:r w:rsidR="006E3212">
        <w:t>ns of sustainable development: e</w:t>
      </w:r>
      <w:r w:rsidRPr="007661F4">
        <w:t xml:space="preserve">conomic, social and environmental.  It contains 17 integrated and indivisible Sustainable Development Goals, against which targets are set for </w:t>
      </w:r>
      <w:proofErr w:type="spellStart"/>
      <w:r w:rsidRPr="007661F4">
        <w:t>realisation</w:t>
      </w:r>
      <w:proofErr w:type="spellEnd"/>
      <w:r w:rsidRPr="007661F4">
        <w:t xml:space="preserve"> by the year 2030.</w:t>
      </w:r>
    </w:p>
    <w:p w:rsidR="00574FF7" w:rsidRDefault="00574FF7" w:rsidP="00574FF7">
      <w:pPr>
        <w:pStyle w:val="ListParagraph"/>
      </w:pPr>
    </w:p>
    <w:p w:rsidR="00574FF7" w:rsidRPr="00574FF7" w:rsidRDefault="006E3212" w:rsidP="007661F4">
      <w:pPr>
        <w:pStyle w:val="ListParagraph"/>
        <w:numPr>
          <w:ilvl w:val="0"/>
          <w:numId w:val="11"/>
        </w:numPr>
        <w:ind w:hanging="720"/>
        <w:jc w:val="both"/>
        <w:rPr>
          <w:lang w:val="en-NZ"/>
        </w:rPr>
      </w:pPr>
      <w:r>
        <w:t>The SD</w:t>
      </w:r>
      <w:r w:rsidR="007661F4" w:rsidRPr="007661F4">
        <w:t xml:space="preserve"> Goal 11.1 establishes a target that requires the New Zealand Government to </w:t>
      </w:r>
      <w:proofErr w:type="spellStart"/>
      <w:r w:rsidR="007661F4" w:rsidRPr="007661F4">
        <w:t>realise</w:t>
      </w:r>
      <w:proofErr w:type="spellEnd"/>
      <w:r w:rsidR="007661F4" w:rsidRPr="007661F4">
        <w:t xml:space="preserve"> access to adequate, safe and affordable housing for all people by t</w:t>
      </w:r>
      <w:r>
        <w:t>he year 2030. The SDG indicator</w:t>
      </w:r>
      <w:r w:rsidR="007661F4" w:rsidRPr="007661F4">
        <w:t xml:space="preserve"> required to measure the target is the proportion of the urban population living in inadequate housing</w:t>
      </w:r>
      <w:r w:rsidR="00727E87">
        <w:rPr>
          <w:rStyle w:val="EndnoteReference"/>
        </w:rPr>
        <w:endnoteReference w:id="41"/>
      </w:r>
      <w:r w:rsidR="00727E87">
        <w:t>,</w:t>
      </w:r>
      <w:r w:rsidR="007661F4" w:rsidRPr="007661F4">
        <w:t xml:space="preserve"> within the terms of the aspects of the right to adequate housing as defined by the UN Committee on Economic, Social and Cultural Rights</w:t>
      </w:r>
      <w:r w:rsidR="00727E87">
        <w:rPr>
          <w:rStyle w:val="EndnoteReference"/>
        </w:rPr>
        <w:endnoteReference w:id="42"/>
      </w:r>
      <w:r w:rsidR="00727E87">
        <w:rPr>
          <w:vertAlign w:val="superscript"/>
        </w:rPr>
        <w:t>.</w:t>
      </w:r>
      <w:r w:rsidR="007661F4" w:rsidRPr="007661F4">
        <w:t xml:space="preserve"> </w:t>
      </w:r>
    </w:p>
    <w:p w:rsidR="00574FF7" w:rsidRDefault="00574FF7" w:rsidP="00574FF7">
      <w:pPr>
        <w:pStyle w:val="ListParagraph"/>
      </w:pPr>
    </w:p>
    <w:p w:rsidR="00574FF7" w:rsidRPr="00574FF7" w:rsidRDefault="007661F4" w:rsidP="007661F4">
      <w:pPr>
        <w:pStyle w:val="ListParagraph"/>
        <w:numPr>
          <w:ilvl w:val="0"/>
          <w:numId w:val="11"/>
        </w:numPr>
        <w:ind w:hanging="720"/>
        <w:jc w:val="both"/>
        <w:rPr>
          <w:lang w:val="en-NZ"/>
        </w:rPr>
      </w:pPr>
      <w:r w:rsidRPr="007661F4">
        <w:t>In welcoming the</w:t>
      </w:r>
      <w:r w:rsidR="00855606">
        <w:t xml:space="preserve"> SDG Agenda</w:t>
      </w:r>
      <w:r w:rsidRPr="007661F4">
        <w:t xml:space="preserve">, the </w:t>
      </w:r>
      <w:r w:rsidR="006E3212">
        <w:t xml:space="preserve">New Zealand </w:t>
      </w:r>
      <w:r w:rsidRPr="007661F4">
        <w:t>Minister for State Services</w:t>
      </w:r>
      <w:r w:rsidR="006E3212">
        <w:t xml:space="preserve"> </w:t>
      </w:r>
      <w:r w:rsidR="00006DD9">
        <w:t xml:space="preserve">stated that </w:t>
      </w:r>
      <w:r w:rsidR="00006DD9" w:rsidRPr="00006DD9">
        <w:rPr>
          <w:i/>
        </w:rPr>
        <w:t>“</w:t>
      </w:r>
      <w:r w:rsidRPr="00006DD9">
        <w:rPr>
          <w:i/>
        </w:rPr>
        <w:t>if the SDGs are to be more than a piece of paper, we need to have a clear plan, identify actions, build ownership, and measure results.  And in doing so, we must avoid the trap of mistaking activity for achievement”</w:t>
      </w:r>
      <w:r w:rsidR="00006DD9" w:rsidRPr="00006DD9">
        <w:rPr>
          <w:i/>
        </w:rPr>
        <w:t xml:space="preserve"> </w:t>
      </w:r>
      <w:r w:rsidR="00727E87">
        <w:rPr>
          <w:rStyle w:val="EndnoteReference"/>
        </w:rPr>
        <w:endnoteReference w:id="43"/>
      </w:r>
      <w:r w:rsidRPr="007661F4">
        <w:t>.</w:t>
      </w:r>
    </w:p>
    <w:p w:rsidR="00574FF7" w:rsidRDefault="00574FF7" w:rsidP="00574FF7">
      <w:pPr>
        <w:pStyle w:val="ListParagraph"/>
      </w:pPr>
    </w:p>
    <w:p w:rsidR="00574FF7" w:rsidRPr="00574FF7" w:rsidRDefault="007661F4" w:rsidP="00521FBE">
      <w:pPr>
        <w:pStyle w:val="ListParagraph"/>
        <w:numPr>
          <w:ilvl w:val="0"/>
          <w:numId w:val="11"/>
        </w:numPr>
        <w:ind w:hanging="720"/>
        <w:jc w:val="both"/>
        <w:rPr>
          <w:lang w:val="en-NZ"/>
        </w:rPr>
      </w:pPr>
      <w:r w:rsidRPr="007661F4">
        <w:lastRenderedPageBreak/>
        <w:t>Therein lies an important opportunity to include, under the auspices of a high level SDG implementation plan, a comprehensive housing</w:t>
      </w:r>
      <w:r w:rsidR="00855606">
        <w:t xml:space="preserve"> </w:t>
      </w:r>
      <w:r w:rsidR="00855606" w:rsidRPr="00DB1A7F">
        <w:t>strategy</w:t>
      </w:r>
      <w:r w:rsidR="00855606">
        <w:t xml:space="preserve"> aimed at </w:t>
      </w:r>
      <w:proofErr w:type="spellStart"/>
      <w:r w:rsidR="00855606">
        <w:t>realising</w:t>
      </w:r>
      <w:proofErr w:type="spellEnd"/>
      <w:r w:rsidR="00855606">
        <w:t xml:space="preserve"> the 2030 SDG target. </w:t>
      </w:r>
      <w:r w:rsidR="00521FBE">
        <w:t xml:space="preserve">Such a plan has the potential to lead to significant improvements for the health and well-being of New Zealand children. </w:t>
      </w:r>
    </w:p>
    <w:p w:rsidR="00574FF7" w:rsidRDefault="00574FF7" w:rsidP="00574FF7">
      <w:pPr>
        <w:pStyle w:val="ListParagraph"/>
      </w:pPr>
    </w:p>
    <w:p w:rsidR="00574FF7" w:rsidRPr="00574FF7" w:rsidRDefault="00521FBE" w:rsidP="00574FF7">
      <w:pPr>
        <w:pStyle w:val="ListParagraph"/>
        <w:numPr>
          <w:ilvl w:val="0"/>
          <w:numId w:val="11"/>
        </w:numPr>
        <w:ind w:hanging="720"/>
        <w:jc w:val="both"/>
        <w:rPr>
          <w:lang w:val="en-NZ"/>
        </w:rPr>
      </w:pPr>
      <w:r w:rsidRPr="00521FBE">
        <w:t>The plan should also contain a detailed analysis of the current data relating to adequate housing disaggregated by each potentially</w:t>
      </w:r>
      <w:r w:rsidR="00006DD9">
        <w:t xml:space="preserve"> vulnerable population group. It should also</w:t>
      </w:r>
      <w:r w:rsidRPr="00521FBE">
        <w:t xml:space="preserve"> contain the policy measures to be undertaken to close those gaps. Ideally, the plan will be endorsed by the Parliament.</w:t>
      </w:r>
    </w:p>
    <w:p w:rsidR="00574FF7" w:rsidRPr="00574FF7" w:rsidRDefault="00D61A6F" w:rsidP="00574FF7">
      <w:pPr>
        <w:jc w:val="both"/>
        <w:rPr>
          <w:i/>
          <w:lang w:val="en-NZ"/>
        </w:rPr>
      </w:pPr>
      <w:r w:rsidRPr="00574FF7">
        <w:rPr>
          <w:i/>
        </w:rPr>
        <w:t>The UN Guiding Principles on Business and Human Rights</w:t>
      </w:r>
    </w:p>
    <w:p w:rsidR="00574FF7" w:rsidRPr="00574FF7" w:rsidRDefault="00855606" w:rsidP="00574FF7">
      <w:pPr>
        <w:pStyle w:val="ListParagraph"/>
        <w:numPr>
          <w:ilvl w:val="0"/>
          <w:numId w:val="11"/>
        </w:numPr>
        <w:ind w:hanging="720"/>
        <w:jc w:val="both"/>
        <w:rPr>
          <w:lang w:val="en-NZ"/>
        </w:rPr>
      </w:pPr>
      <w:r w:rsidRPr="00855606">
        <w:t xml:space="preserve">Another crucial recent development is the unanimous adoption of the United Nations Guiding Principles on Business and Human Rights (the UNGPs). </w:t>
      </w:r>
      <w:r w:rsidR="00D61A6F" w:rsidRPr="00D61A6F">
        <w:t xml:space="preserve">The </w:t>
      </w:r>
      <w:r w:rsidR="006E3212">
        <w:t>UNGPs</w:t>
      </w:r>
      <w:r w:rsidR="00006DD9">
        <w:t xml:space="preserve"> set out </w:t>
      </w:r>
      <w:r w:rsidR="00D61A6F">
        <w:t>a non-binding international framework</w:t>
      </w:r>
      <w:r w:rsidR="00C6257F">
        <w:t xml:space="preserve"> </w:t>
      </w:r>
      <w:r w:rsidR="008005A4">
        <w:t>designed to</w:t>
      </w:r>
      <w:r w:rsidR="00C6257F">
        <w:t xml:space="preserve"> ensure that human rights are prote</w:t>
      </w:r>
      <w:r w:rsidR="008005A4">
        <w:t>cted, respected and enforced in private business activities and in matters where the role and duties of the state and the activities of private enterprise intersect.</w:t>
      </w:r>
    </w:p>
    <w:p w:rsidR="00574FF7" w:rsidRDefault="00574FF7" w:rsidP="00574FF7">
      <w:pPr>
        <w:pStyle w:val="ListParagraph"/>
      </w:pPr>
    </w:p>
    <w:p w:rsidR="00574FF7" w:rsidRPr="00574FF7" w:rsidRDefault="00AB6A50" w:rsidP="00574FF7">
      <w:pPr>
        <w:pStyle w:val="ListParagraph"/>
        <w:numPr>
          <w:ilvl w:val="0"/>
          <w:numId w:val="11"/>
        </w:numPr>
        <w:ind w:hanging="720"/>
        <w:jc w:val="both"/>
        <w:rPr>
          <w:lang w:val="en-NZ"/>
        </w:rPr>
      </w:pPr>
      <w:r w:rsidRPr="00AB6A50">
        <w:t xml:space="preserve">The UNGPs set the authoritative standard on business and human rights </w:t>
      </w:r>
      <w:r>
        <w:t xml:space="preserve">and </w:t>
      </w:r>
      <w:r w:rsidR="00521FBE" w:rsidRPr="00521FBE">
        <w:t xml:space="preserve">have particular application to housing policy and legislation, as they </w:t>
      </w:r>
      <w:r>
        <w:t xml:space="preserve">engage </w:t>
      </w:r>
      <w:r w:rsidR="00521FBE" w:rsidRPr="00521FBE">
        <w:t xml:space="preserve">both the delivery of social housing by private providers on behalf of central and local government and the provision of </w:t>
      </w:r>
      <w:r>
        <w:t xml:space="preserve">private </w:t>
      </w:r>
      <w:r w:rsidR="00521FBE" w:rsidRPr="00521FBE">
        <w:t>rental accommodation by individual landlords and businesses.</w:t>
      </w:r>
      <w:r>
        <w:t xml:space="preserve"> </w:t>
      </w:r>
    </w:p>
    <w:p w:rsidR="00574FF7" w:rsidRDefault="00574FF7" w:rsidP="00574FF7">
      <w:pPr>
        <w:pStyle w:val="ListParagraph"/>
      </w:pPr>
    </w:p>
    <w:p w:rsidR="00574FF7" w:rsidRPr="00574FF7" w:rsidRDefault="00AB6A50" w:rsidP="00574FF7">
      <w:pPr>
        <w:pStyle w:val="ListParagraph"/>
        <w:numPr>
          <w:ilvl w:val="0"/>
          <w:numId w:val="11"/>
        </w:numPr>
        <w:ind w:hanging="720"/>
        <w:jc w:val="both"/>
        <w:rPr>
          <w:lang w:val="en-NZ"/>
        </w:rPr>
      </w:pPr>
      <w:r>
        <w:t>The UNGPs therefore ought to be reflected in the procurement and commissioning arrangements that govern the provision of social housing by private or non-government providers on behalf of government. They should also be reflected in the policy and legislation that defines the relationship and sets out the mutual obligations that exist between a private landlord and tenant.</w:t>
      </w:r>
      <w:r w:rsidR="008631B0">
        <w:t xml:space="preserve"> Landlords are businesses with all the UNGP Pillar 2 responsibilities that carries. The Property Investors Federation has estimated that 75% of private rental housing in New Zealand is owned by landlords who own only one property and do not see it as a business. </w:t>
      </w:r>
    </w:p>
    <w:p w:rsidR="00574FF7" w:rsidRPr="00574FF7" w:rsidRDefault="00CD6A2C" w:rsidP="00574FF7">
      <w:pPr>
        <w:jc w:val="both"/>
        <w:rPr>
          <w:b/>
          <w:lang w:val="en-NZ"/>
        </w:rPr>
      </w:pPr>
      <w:r w:rsidRPr="00574FF7">
        <w:rPr>
          <w:b/>
          <w:lang w:val="en-NZ"/>
        </w:rPr>
        <w:t>RECOMMENDATIONS</w:t>
      </w:r>
    </w:p>
    <w:p w:rsidR="00574FF7" w:rsidRDefault="003B577B" w:rsidP="00247423">
      <w:pPr>
        <w:pStyle w:val="ListParagraph"/>
        <w:numPr>
          <w:ilvl w:val="0"/>
          <w:numId w:val="11"/>
        </w:numPr>
        <w:ind w:hanging="720"/>
        <w:jc w:val="both"/>
        <w:rPr>
          <w:lang w:val="en-NZ"/>
        </w:rPr>
      </w:pPr>
      <w:r w:rsidRPr="00574FF7">
        <w:rPr>
          <w:lang w:val="en-NZ"/>
        </w:rPr>
        <w:t>If New Zealand is going to meet its</w:t>
      </w:r>
      <w:r w:rsidR="00AC2F50" w:rsidRPr="00574FF7">
        <w:rPr>
          <w:lang w:val="en-NZ"/>
        </w:rPr>
        <w:t xml:space="preserve"> human rights</w:t>
      </w:r>
      <w:r w:rsidRPr="00574FF7">
        <w:rPr>
          <w:lang w:val="en-NZ"/>
        </w:rPr>
        <w:t xml:space="preserve"> commitment to provide all people with</w:t>
      </w:r>
      <w:r w:rsidR="003E4934">
        <w:rPr>
          <w:lang w:val="en-NZ"/>
        </w:rPr>
        <w:t xml:space="preserve"> safe, affordable</w:t>
      </w:r>
      <w:r w:rsidR="00DB1A7F">
        <w:rPr>
          <w:lang w:val="en-NZ"/>
        </w:rPr>
        <w:t xml:space="preserve">, </w:t>
      </w:r>
      <w:r w:rsidRPr="00574FF7">
        <w:rPr>
          <w:lang w:val="en-NZ"/>
        </w:rPr>
        <w:t>adequate housing by 20</w:t>
      </w:r>
      <w:r w:rsidR="00AC2F50" w:rsidRPr="00574FF7">
        <w:rPr>
          <w:lang w:val="en-NZ"/>
        </w:rPr>
        <w:t>30</w:t>
      </w:r>
      <w:r w:rsidR="00E9061E" w:rsidRPr="00574FF7">
        <w:rPr>
          <w:lang w:val="en-NZ"/>
        </w:rPr>
        <w:t xml:space="preserve"> and improve the</w:t>
      </w:r>
      <w:r w:rsidR="00AC2F50" w:rsidRPr="00574FF7">
        <w:rPr>
          <w:lang w:val="en-NZ"/>
        </w:rPr>
        <w:t xml:space="preserve"> health and well-being</w:t>
      </w:r>
      <w:r w:rsidR="00E9061E" w:rsidRPr="00574FF7">
        <w:rPr>
          <w:lang w:val="en-NZ"/>
        </w:rPr>
        <w:t xml:space="preserve"> of New Zealand children, a </w:t>
      </w:r>
      <w:r w:rsidR="003E4934">
        <w:rPr>
          <w:lang w:val="en-NZ"/>
        </w:rPr>
        <w:t xml:space="preserve">clear and comprehensive plan </w:t>
      </w:r>
      <w:r w:rsidR="00E9061E" w:rsidRPr="00574FF7">
        <w:rPr>
          <w:lang w:val="en-NZ"/>
        </w:rPr>
        <w:t>will be require</w:t>
      </w:r>
      <w:r w:rsidR="003E4934">
        <w:rPr>
          <w:lang w:val="en-NZ"/>
        </w:rPr>
        <w:t>d and activity should not be confused with achievement.</w:t>
      </w:r>
    </w:p>
    <w:p w:rsidR="00574FF7" w:rsidRPr="00574FF7" w:rsidRDefault="00574FF7" w:rsidP="00574FF7">
      <w:pPr>
        <w:pStyle w:val="ListParagraph"/>
        <w:rPr>
          <w:lang w:val="en-NZ"/>
        </w:rPr>
      </w:pPr>
    </w:p>
    <w:p w:rsidR="00DB1A7F" w:rsidRPr="00DB1A7F" w:rsidRDefault="00F859C1" w:rsidP="00DB1A7F">
      <w:pPr>
        <w:pStyle w:val="ListParagraph"/>
        <w:numPr>
          <w:ilvl w:val="0"/>
          <w:numId w:val="11"/>
        </w:numPr>
        <w:ind w:hanging="720"/>
        <w:jc w:val="both"/>
        <w:rPr>
          <w:lang w:val="en-NZ"/>
        </w:rPr>
      </w:pPr>
      <w:r w:rsidRPr="003E4934">
        <w:rPr>
          <w:lang w:val="en-NZ"/>
        </w:rPr>
        <w:t>The following recommendation</w:t>
      </w:r>
      <w:r w:rsidR="00006DD9">
        <w:rPr>
          <w:lang w:val="en-NZ"/>
        </w:rPr>
        <w:t>s are</w:t>
      </w:r>
      <w:r w:rsidR="003E4934" w:rsidRPr="003E4934">
        <w:rPr>
          <w:lang w:val="en-NZ"/>
        </w:rPr>
        <w:t xml:space="preserve"> </w:t>
      </w:r>
      <w:r w:rsidRPr="009E5FD9">
        <w:rPr>
          <w:lang w:val="en-NZ"/>
        </w:rPr>
        <w:t>designed with that objective in mind</w:t>
      </w:r>
      <w:r w:rsidR="009E5FD9">
        <w:rPr>
          <w:lang w:val="en-NZ"/>
        </w:rPr>
        <w:t>.</w:t>
      </w:r>
    </w:p>
    <w:p w:rsidR="00DB1A7F" w:rsidRDefault="00DB1A7F" w:rsidP="00DB1A7F">
      <w:pPr>
        <w:pStyle w:val="ListParagraph"/>
        <w:ind w:left="1095"/>
        <w:jc w:val="both"/>
        <w:rPr>
          <w:b/>
          <w:lang w:val="en-NZ"/>
        </w:rPr>
      </w:pPr>
    </w:p>
    <w:p w:rsidR="00E876A3" w:rsidRDefault="00DB1A7F" w:rsidP="00DB1A7F">
      <w:pPr>
        <w:pStyle w:val="ListParagraph"/>
        <w:numPr>
          <w:ilvl w:val="1"/>
          <w:numId w:val="11"/>
        </w:numPr>
        <w:jc w:val="both"/>
        <w:rPr>
          <w:b/>
          <w:lang w:val="en-NZ"/>
        </w:rPr>
      </w:pPr>
      <w:r>
        <w:rPr>
          <w:b/>
          <w:lang w:val="en-NZ"/>
        </w:rPr>
        <w:t>We recommend the development and implementation of a</w:t>
      </w:r>
      <w:r w:rsidR="00375E55" w:rsidRPr="0061394F">
        <w:rPr>
          <w:b/>
          <w:lang w:val="en-NZ"/>
        </w:rPr>
        <w:t xml:space="preserve"> comprehensive</w:t>
      </w:r>
      <w:r w:rsidR="008631B0">
        <w:rPr>
          <w:b/>
          <w:lang w:val="en-NZ"/>
        </w:rPr>
        <w:t xml:space="preserve"> and </w:t>
      </w:r>
      <w:r w:rsidR="008631B0" w:rsidRPr="0061394F">
        <w:rPr>
          <w:b/>
          <w:lang w:val="en-NZ"/>
        </w:rPr>
        <w:t>clear</w:t>
      </w:r>
      <w:r w:rsidR="008631B0">
        <w:rPr>
          <w:b/>
          <w:lang w:val="en-NZ"/>
        </w:rPr>
        <w:t xml:space="preserve"> plan that identifies</w:t>
      </w:r>
      <w:r w:rsidR="008631B0" w:rsidRPr="008631B0">
        <w:rPr>
          <w:b/>
          <w:lang w:val="en-NZ"/>
        </w:rPr>
        <w:t xml:space="preserve"> actions, build</w:t>
      </w:r>
      <w:r w:rsidR="008631B0">
        <w:rPr>
          <w:b/>
          <w:lang w:val="en-NZ"/>
        </w:rPr>
        <w:t>s</w:t>
      </w:r>
      <w:r w:rsidR="008631B0" w:rsidRPr="008631B0">
        <w:rPr>
          <w:b/>
          <w:lang w:val="en-NZ"/>
        </w:rPr>
        <w:t xml:space="preserve"> ownership, and measure</w:t>
      </w:r>
      <w:r w:rsidR="008631B0">
        <w:rPr>
          <w:b/>
          <w:lang w:val="en-NZ"/>
        </w:rPr>
        <w:t>s</w:t>
      </w:r>
      <w:r w:rsidR="008631B0" w:rsidRPr="008631B0">
        <w:rPr>
          <w:b/>
          <w:lang w:val="en-NZ"/>
        </w:rPr>
        <w:t xml:space="preserve"> results</w:t>
      </w:r>
      <w:r w:rsidR="008631B0" w:rsidRPr="008631B0" w:rsidDel="008631B0">
        <w:rPr>
          <w:b/>
          <w:lang w:val="en-NZ"/>
        </w:rPr>
        <w:t xml:space="preserve"> </w:t>
      </w:r>
      <w:r w:rsidR="00844191" w:rsidRPr="0061394F">
        <w:rPr>
          <w:b/>
          <w:lang w:val="en-NZ"/>
        </w:rPr>
        <w:t xml:space="preserve">with the primary goal of achieving the SDG Agenda target that all people in New Zealand live in </w:t>
      </w:r>
      <w:r w:rsidR="008631B0">
        <w:rPr>
          <w:b/>
          <w:lang w:val="en-NZ"/>
        </w:rPr>
        <w:t xml:space="preserve">safe, affordable and </w:t>
      </w:r>
      <w:r w:rsidR="00844191" w:rsidRPr="0061394F">
        <w:rPr>
          <w:b/>
          <w:lang w:val="en-NZ"/>
        </w:rPr>
        <w:t>adequate housing by 2030</w:t>
      </w:r>
      <w:r w:rsidR="00531FE8" w:rsidRPr="0061394F">
        <w:rPr>
          <w:b/>
          <w:lang w:val="en-NZ"/>
        </w:rPr>
        <w:t xml:space="preserve"> should be developed</w:t>
      </w:r>
      <w:r w:rsidR="00844191" w:rsidRPr="0061394F">
        <w:rPr>
          <w:b/>
          <w:lang w:val="en-NZ"/>
        </w:rPr>
        <w:t>.</w:t>
      </w:r>
      <w:r w:rsidR="00531FE8" w:rsidRPr="0061394F">
        <w:rPr>
          <w:b/>
          <w:lang w:val="en-NZ"/>
        </w:rPr>
        <w:t xml:space="preserve"> </w:t>
      </w:r>
    </w:p>
    <w:p w:rsidR="00E876A3" w:rsidRDefault="00E876A3" w:rsidP="00E876A3">
      <w:pPr>
        <w:pStyle w:val="ListParagraph"/>
        <w:ind w:left="1095"/>
        <w:jc w:val="both"/>
        <w:rPr>
          <w:b/>
          <w:lang w:val="en-NZ"/>
        </w:rPr>
      </w:pPr>
    </w:p>
    <w:p w:rsidR="00E876A3" w:rsidRDefault="00E876A3" w:rsidP="00DB1A7F">
      <w:pPr>
        <w:pStyle w:val="ListParagraph"/>
        <w:numPr>
          <w:ilvl w:val="1"/>
          <w:numId w:val="11"/>
        </w:numPr>
        <w:jc w:val="both"/>
        <w:rPr>
          <w:b/>
          <w:lang w:val="en-NZ"/>
        </w:rPr>
      </w:pPr>
      <w:r>
        <w:rPr>
          <w:b/>
          <w:lang w:val="en-NZ"/>
        </w:rPr>
        <w:lastRenderedPageBreak/>
        <w:t xml:space="preserve">The plan </w:t>
      </w:r>
      <w:r w:rsidR="00CE70B8" w:rsidRPr="0061394F">
        <w:rPr>
          <w:b/>
          <w:lang w:val="en-NZ"/>
        </w:rPr>
        <w:t>should</w:t>
      </w:r>
      <w:r w:rsidR="00115A28">
        <w:rPr>
          <w:b/>
          <w:lang w:val="en-NZ"/>
        </w:rPr>
        <w:t xml:space="preserve"> ideally have </w:t>
      </w:r>
      <w:proofErr w:type="gramStart"/>
      <w:r w:rsidR="00115A28">
        <w:rPr>
          <w:b/>
          <w:lang w:val="en-NZ"/>
        </w:rPr>
        <w:t>cross</w:t>
      </w:r>
      <w:proofErr w:type="gramEnd"/>
      <w:r w:rsidR="00115A28">
        <w:rPr>
          <w:b/>
          <w:lang w:val="en-NZ"/>
        </w:rPr>
        <w:t>-P</w:t>
      </w:r>
      <w:r w:rsidR="00844191" w:rsidRPr="0061394F">
        <w:rPr>
          <w:b/>
          <w:lang w:val="en-NZ"/>
        </w:rPr>
        <w:t>arliamentary support and inc</w:t>
      </w:r>
      <w:r w:rsidR="007D3A61" w:rsidRPr="0061394F">
        <w:rPr>
          <w:b/>
          <w:lang w:val="en-NZ"/>
        </w:rPr>
        <w:t>lude</w:t>
      </w:r>
      <w:r w:rsidR="00EA53A5" w:rsidRPr="0061394F">
        <w:rPr>
          <w:b/>
          <w:lang w:val="en-NZ"/>
        </w:rPr>
        <w:t xml:space="preserve"> a r</w:t>
      </w:r>
      <w:r w:rsidR="00CE70B8" w:rsidRPr="0061394F">
        <w:rPr>
          <w:b/>
          <w:lang w:val="en-NZ"/>
        </w:rPr>
        <w:t>eview</w:t>
      </w:r>
      <w:r w:rsidR="00EA53A5" w:rsidRPr="0061394F">
        <w:rPr>
          <w:b/>
          <w:lang w:val="en-NZ"/>
        </w:rPr>
        <w:t xml:space="preserve"> of</w:t>
      </w:r>
      <w:r w:rsidR="00CE70B8" w:rsidRPr="0061394F">
        <w:rPr>
          <w:b/>
          <w:lang w:val="en-NZ"/>
        </w:rPr>
        <w:t xml:space="preserve"> all relevant legislation and policy instruments</w:t>
      </w:r>
      <w:r w:rsidR="00EA53A5" w:rsidRPr="0061394F">
        <w:rPr>
          <w:b/>
          <w:lang w:val="en-NZ"/>
        </w:rPr>
        <w:t>,</w:t>
      </w:r>
      <w:r w:rsidR="00CE70B8" w:rsidRPr="0061394F">
        <w:rPr>
          <w:b/>
          <w:lang w:val="en-NZ"/>
        </w:rPr>
        <w:t xml:space="preserve"> </w:t>
      </w:r>
      <w:r w:rsidR="0061394F" w:rsidRPr="0061394F">
        <w:rPr>
          <w:b/>
          <w:lang w:val="en-NZ"/>
        </w:rPr>
        <w:t>including c</w:t>
      </w:r>
      <w:r w:rsidR="007D3A61" w:rsidRPr="0061394F">
        <w:rPr>
          <w:b/>
          <w:lang w:val="en-NZ"/>
        </w:rPr>
        <w:t>onsistency with the</w:t>
      </w:r>
      <w:r w:rsidR="00CE70B8" w:rsidRPr="0061394F">
        <w:rPr>
          <w:b/>
          <w:lang w:val="en-NZ"/>
        </w:rPr>
        <w:t xml:space="preserve"> UNGP</w:t>
      </w:r>
      <w:r w:rsidR="00115A28">
        <w:rPr>
          <w:b/>
          <w:lang w:val="en-NZ"/>
        </w:rPr>
        <w:t>s</w:t>
      </w:r>
      <w:r w:rsidR="00CE70B8" w:rsidRPr="0061394F">
        <w:rPr>
          <w:b/>
          <w:lang w:val="en-NZ"/>
        </w:rPr>
        <w:t xml:space="preserve"> framework</w:t>
      </w:r>
      <w:r w:rsidR="007D3A61" w:rsidRPr="0061394F">
        <w:rPr>
          <w:b/>
          <w:lang w:val="en-NZ"/>
        </w:rPr>
        <w:t xml:space="preserve"> as regards social housing procurement and outsourcing and </w:t>
      </w:r>
      <w:r w:rsidR="003E4934">
        <w:rPr>
          <w:b/>
          <w:lang w:val="en-NZ"/>
        </w:rPr>
        <w:t xml:space="preserve">ensuring </w:t>
      </w:r>
      <w:r w:rsidR="008631B0">
        <w:rPr>
          <w:b/>
          <w:lang w:val="en-NZ"/>
        </w:rPr>
        <w:t>that</w:t>
      </w:r>
      <w:r>
        <w:rPr>
          <w:b/>
          <w:lang w:val="en-NZ"/>
        </w:rPr>
        <w:t xml:space="preserve"> NGO and</w:t>
      </w:r>
      <w:r w:rsidR="008631B0">
        <w:rPr>
          <w:b/>
          <w:lang w:val="en-NZ"/>
        </w:rPr>
        <w:t xml:space="preserve"> </w:t>
      </w:r>
      <w:r w:rsidR="007D3A61" w:rsidRPr="0061394F">
        <w:rPr>
          <w:b/>
          <w:lang w:val="en-NZ"/>
        </w:rPr>
        <w:t>private</w:t>
      </w:r>
      <w:r w:rsidR="003E4934">
        <w:rPr>
          <w:b/>
          <w:lang w:val="en-NZ"/>
        </w:rPr>
        <w:t xml:space="preserve"> </w:t>
      </w:r>
      <w:r w:rsidR="007D3A61" w:rsidRPr="0061394F">
        <w:rPr>
          <w:b/>
          <w:lang w:val="en-NZ"/>
        </w:rPr>
        <w:t>landlords</w:t>
      </w:r>
      <w:r w:rsidR="008631B0">
        <w:rPr>
          <w:b/>
          <w:lang w:val="en-NZ"/>
        </w:rPr>
        <w:t xml:space="preserve"> are aware of and meet their responsibilities under the UNGPs.</w:t>
      </w:r>
      <w:r w:rsidR="003E4934">
        <w:rPr>
          <w:b/>
          <w:lang w:val="en-NZ"/>
        </w:rPr>
        <w:t xml:space="preserve"> </w:t>
      </w:r>
      <w:r w:rsidR="007D2C75">
        <w:rPr>
          <w:b/>
          <w:lang w:val="en-NZ"/>
        </w:rPr>
        <w:t>The Government should report its progress in developing and implementing the plan at its next periodic review by the UN Committee on Economic, Social and Cultural Rights.</w:t>
      </w:r>
      <w:bookmarkStart w:id="0" w:name="_GoBack"/>
      <w:bookmarkEnd w:id="0"/>
    </w:p>
    <w:p w:rsidR="00E876A3" w:rsidRPr="00E876A3" w:rsidRDefault="00E876A3" w:rsidP="00E876A3">
      <w:pPr>
        <w:pStyle w:val="ListParagraph"/>
        <w:rPr>
          <w:b/>
          <w:lang w:val="en-NZ"/>
        </w:rPr>
      </w:pPr>
    </w:p>
    <w:p w:rsidR="00E876A3" w:rsidRDefault="003E4934" w:rsidP="00DB1A7F">
      <w:pPr>
        <w:pStyle w:val="ListParagraph"/>
        <w:numPr>
          <w:ilvl w:val="1"/>
          <w:numId w:val="11"/>
        </w:numPr>
        <w:jc w:val="both"/>
        <w:rPr>
          <w:b/>
          <w:lang w:val="en-NZ"/>
        </w:rPr>
      </w:pPr>
      <w:r>
        <w:rPr>
          <w:b/>
          <w:lang w:val="en-NZ"/>
        </w:rPr>
        <w:t>The plan should include</w:t>
      </w:r>
      <w:r w:rsidR="00E876A3">
        <w:rPr>
          <w:b/>
          <w:lang w:val="en-NZ"/>
        </w:rPr>
        <w:t xml:space="preserve"> the following components:</w:t>
      </w:r>
    </w:p>
    <w:p w:rsidR="00E876A3" w:rsidRPr="00E876A3" w:rsidRDefault="00E876A3" w:rsidP="00E876A3">
      <w:pPr>
        <w:pStyle w:val="ListParagraph"/>
        <w:rPr>
          <w:b/>
          <w:lang w:val="en-NZ"/>
        </w:rPr>
      </w:pPr>
    </w:p>
    <w:p w:rsidR="00E876A3" w:rsidRDefault="00E876A3" w:rsidP="00E876A3">
      <w:pPr>
        <w:pStyle w:val="ListParagraph"/>
        <w:numPr>
          <w:ilvl w:val="0"/>
          <w:numId w:val="14"/>
        </w:numPr>
        <w:jc w:val="both"/>
      </w:pPr>
      <w:r>
        <w:rPr>
          <w:b/>
          <w:lang w:val="en-NZ"/>
        </w:rPr>
        <w:t>Development and implementation of a</w:t>
      </w:r>
      <w:r w:rsidR="003E4934" w:rsidRPr="003E4934">
        <w:rPr>
          <w:b/>
          <w:lang w:val="en-NZ"/>
        </w:rPr>
        <w:t xml:space="preserve"> nationwide, evidence-based, and mandatory rental Warrant of Fitness (WOF)</w:t>
      </w:r>
      <w:r>
        <w:rPr>
          <w:b/>
          <w:lang w:val="en-NZ"/>
        </w:rPr>
        <w:t>,</w:t>
      </w:r>
      <w:r w:rsidR="003E4934" w:rsidRPr="003E4934">
        <w:rPr>
          <w:b/>
          <w:lang w:val="en-NZ"/>
        </w:rPr>
        <w:t xml:space="preserve"> or an alternative mechanism</w:t>
      </w:r>
      <w:r>
        <w:rPr>
          <w:b/>
          <w:lang w:val="en-NZ"/>
        </w:rPr>
        <w:t>,</w:t>
      </w:r>
      <w:r w:rsidR="003E4934" w:rsidRPr="003E4934">
        <w:rPr>
          <w:b/>
          <w:lang w:val="en-NZ"/>
        </w:rPr>
        <w:t xml:space="preserve"> that ensures rental housing is safe and otherwise adequate.</w:t>
      </w:r>
      <w:r w:rsidR="003E4934" w:rsidRPr="003E4934">
        <w:t xml:space="preserve"> </w:t>
      </w:r>
      <w:r w:rsidR="00B81BB2" w:rsidRPr="00E876A3">
        <w:rPr>
          <w:b/>
          <w:lang w:val="en-NZ"/>
        </w:rPr>
        <w:t>Next year, two local councils (Wellington and Dunedin) will implement the rental WOF</w:t>
      </w:r>
      <w:r w:rsidR="009F37C2" w:rsidRPr="00E876A3">
        <w:rPr>
          <w:b/>
          <w:lang w:val="en-NZ"/>
        </w:rPr>
        <w:t xml:space="preserve"> as a pilot, and Hutt City Council and Invercargill City Council will be the control cities</w:t>
      </w:r>
      <w:r w:rsidR="00B81BB2" w:rsidRPr="00E876A3">
        <w:rPr>
          <w:b/>
          <w:lang w:val="en-NZ"/>
        </w:rPr>
        <w:t>. The economic and health effects of this will be me</w:t>
      </w:r>
      <w:r w:rsidR="009F37C2" w:rsidRPr="00E876A3">
        <w:rPr>
          <w:b/>
          <w:lang w:val="en-NZ"/>
        </w:rPr>
        <w:t>as</w:t>
      </w:r>
      <w:r w:rsidR="0061394F" w:rsidRPr="00E876A3">
        <w:rPr>
          <w:b/>
          <w:lang w:val="en-NZ"/>
        </w:rPr>
        <w:t>ured over the course of a three-</w:t>
      </w:r>
      <w:r w:rsidR="009F37C2" w:rsidRPr="00E876A3">
        <w:rPr>
          <w:b/>
          <w:lang w:val="en-NZ"/>
        </w:rPr>
        <w:t>year period</w:t>
      </w:r>
      <w:r w:rsidR="00B81BB2" w:rsidRPr="00E876A3">
        <w:rPr>
          <w:b/>
          <w:lang w:val="en-NZ"/>
        </w:rPr>
        <w:t>. However, on the basis of previous evidence, we recommend that a rental WOF</w:t>
      </w:r>
      <w:r w:rsidR="003E4934" w:rsidRPr="00E876A3">
        <w:rPr>
          <w:b/>
          <w:lang w:val="en-NZ"/>
        </w:rPr>
        <w:t xml:space="preserve"> or an alternative mechanism reaching the same end be</w:t>
      </w:r>
      <w:r w:rsidR="00B81BB2" w:rsidRPr="00E876A3">
        <w:rPr>
          <w:b/>
          <w:lang w:val="en-NZ"/>
        </w:rPr>
        <w:t xml:space="preserve"> implemented nationally as soon as possible</w:t>
      </w:r>
    </w:p>
    <w:p w:rsidR="00912A01" w:rsidRDefault="00912A01" w:rsidP="00912A01">
      <w:pPr>
        <w:pStyle w:val="ListParagraph"/>
        <w:ind w:left="1815"/>
        <w:jc w:val="both"/>
        <w:rPr>
          <w:b/>
          <w:lang w:val="en-NZ"/>
        </w:rPr>
      </w:pPr>
    </w:p>
    <w:p w:rsidR="00DB1A7F" w:rsidRDefault="00E876A3" w:rsidP="00E876A3">
      <w:pPr>
        <w:pStyle w:val="ListParagraph"/>
        <w:numPr>
          <w:ilvl w:val="0"/>
          <w:numId w:val="14"/>
        </w:numPr>
        <w:jc w:val="both"/>
        <w:rPr>
          <w:b/>
          <w:lang w:val="en-NZ"/>
        </w:rPr>
      </w:pPr>
      <w:r>
        <w:rPr>
          <w:b/>
          <w:lang w:val="en-NZ"/>
        </w:rPr>
        <w:t xml:space="preserve">Development and implementation of </w:t>
      </w:r>
      <w:r w:rsidR="003E4934" w:rsidRPr="003E4934">
        <w:rPr>
          <w:b/>
          <w:lang w:val="en-NZ"/>
        </w:rPr>
        <w:t>a regular, comprehensive, and nationwide Housing Survey by Statistics New Zealand (Tier 1 data)</w:t>
      </w:r>
      <w:r>
        <w:rPr>
          <w:rFonts w:eastAsia="Times New Roman" w:cs="Times New Roman"/>
          <w:b/>
          <w:lang w:val="en-NZ"/>
        </w:rPr>
        <w:t>, i</w:t>
      </w:r>
      <w:r w:rsidRPr="00E876A3">
        <w:rPr>
          <w:b/>
          <w:lang w:val="en-NZ"/>
        </w:rPr>
        <w:t>n order to ascertain and monitor the quality of New Zealand’s housing stock</w:t>
      </w:r>
      <w:r w:rsidR="003E4934" w:rsidRPr="003E4934">
        <w:rPr>
          <w:b/>
          <w:lang w:val="en-NZ"/>
        </w:rPr>
        <w:t>.</w:t>
      </w:r>
    </w:p>
    <w:p w:rsidR="00912A01" w:rsidRDefault="00912A01" w:rsidP="00912A01">
      <w:pPr>
        <w:pStyle w:val="ListParagraph"/>
        <w:ind w:left="1815"/>
        <w:jc w:val="both"/>
        <w:rPr>
          <w:b/>
          <w:lang w:val="en-NZ"/>
        </w:rPr>
      </w:pPr>
    </w:p>
    <w:p w:rsidR="00E876A3" w:rsidRDefault="00E876A3" w:rsidP="00E876A3">
      <w:pPr>
        <w:pStyle w:val="ListParagraph"/>
        <w:numPr>
          <w:ilvl w:val="0"/>
          <w:numId w:val="14"/>
        </w:numPr>
        <w:jc w:val="both"/>
        <w:rPr>
          <w:b/>
          <w:lang w:val="en-NZ"/>
        </w:rPr>
      </w:pPr>
      <w:r>
        <w:rPr>
          <w:b/>
          <w:lang w:val="en-NZ"/>
        </w:rPr>
        <w:t>M</w:t>
      </w:r>
      <w:r w:rsidR="003E4934" w:rsidRPr="00E876A3">
        <w:rPr>
          <w:b/>
          <w:lang w:val="en-NZ"/>
        </w:rPr>
        <w:t>easures to</w:t>
      </w:r>
      <w:r>
        <w:rPr>
          <w:b/>
          <w:lang w:val="en-NZ"/>
        </w:rPr>
        <w:t xml:space="preserve"> increase the provision of safe</w:t>
      </w:r>
      <w:r w:rsidR="003E4934" w:rsidRPr="00E876A3">
        <w:rPr>
          <w:b/>
          <w:lang w:val="en-NZ"/>
        </w:rPr>
        <w:t>, adequate and affordable</w:t>
      </w:r>
      <w:r>
        <w:rPr>
          <w:b/>
          <w:lang w:val="en-NZ"/>
        </w:rPr>
        <w:t xml:space="preserve"> </w:t>
      </w:r>
      <w:r w:rsidR="003E4934" w:rsidRPr="00E876A3">
        <w:rPr>
          <w:b/>
          <w:lang w:val="en-NZ"/>
        </w:rPr>
        <w:t>social housing.</w:t>
      </w:r>
    </w:p>
    <w:p w:rsidR="00912A01" w:rsidRDefault="00912A01" w:rsidP="00912A01">
      <w:pPr>
        <w:pStyle w:val="ListParagraph"/>
        <w:ind w:left="1815"/>
        <w:jc w:val="both"/>
        <w:rPr>
          <w:b/>
          <w:lang w:val="en-NZ"/>
        </w:rPr>
      </w:pPr>
    </w:p>
    <w:p w:rsidR="00E876A3" w:rsidRDefault="00E876A3" w:rsidP="00E876A3">
      <w:pPr>
        <w:pStyle w:val="ListParagraph"/>
        <w:numPr>
          <w:ilvl w:val="0"/>
          <w:numId w:val="14"/>
        </w:numPr>
        <w:jc w:val="both"/>
        <w:rPr>
          <w:b/>
          <w:lang w:val="en-NZ"/>
        </w:rPr>
      </w:pPr>
      <w:r>
        <w:rPr>
          <w:b/>
          <w:lang w:val="en-NZ"/>
        </w:rPr>
        <w:t xml:space="preserve">A </w:t>
      </w:r>
      <w:r w:rsidR="003E4934" w:rsidRPr="00E876A3">
        <w:rPr>
          <w:b/>
          <w:lang w:val="en-NZ"/>
        </w:rPr>
        <w:t xml:space="preserve">review </w:t>
      </w:r>
      <w:r>
        <w:rPr>
          <w:b/>
          <w:lang w:val="en-NZ"/>
        </w:rPr>
        <w:t xml:space="preserve">of </w:t>
      </w:r>
      <w:r w:rsidR="003E4934" w:rsidRPr="00E876A3">
        <w:rPr>
          <w:b/>
          <w:lang w:val="en-NZ"/>
        </w:rPr>
        <w:t>current policy settings with a view to amending the Residential Tenancies Act to provide for greater protections for tenants – in particular, tenants with dependent children – including in respect of duration of tenure, grounds for termination or rent adjustments, notice periods and preferential purchase options upon sale</w:t>
      </w:r>
    </w:p>
    <w:p w:rsidR="00912A01" w:rsidRDefault="00912A01" w:rsidP="00912A01">
      <w:pPr>
        <w:pStyle w:val="ListParagraph"/>
        <w:ind w:left="1815"/>
        <w:jc w:val="both"/>
        <w:rPr>
          <w:b/>
          <w:lang w:val="en-NZ"/>
        </w:rPr>
      </w:pPr>
    </w:p>
    <w:p w:rsidR="00E876A3" w:rsidRDefault="003E4934" w:rsidP="00E876A3">
      <w:pPr>
        <w:pStyle w:val="ListParagraph"/>
        <w:numPr>
          <w:ilvl w:val="0"/>
          <w:numId w:val="14"/>
        </w:numPr>
        <w:jc w:val="both"/>
        <w:rPr>
          <w:b/>
          <w:lang w:val="en-NZ"/>
        </w:rPr>
      </w:pPr>
      <w:r w:rsidRPr="00E876A3">
        <w:rPr>
          <w:b/>
          <w:lang w:val="en-NZ"/>
        </w:rPr>
        <w:t>In order to improve affordability for households with children, the plan should design housing subsidies (the Accommodation Supplement and Income-related rents) to target support at low-income households, households living in high rent areas and households with multiple disadvantage</w:t>
      </w:r>
      <w:r w:rsidR="00E876A3">
        <w:rPr>
          <w:b/>
          <w:lang w:val="en-NZ"/>
        </w:rPr>
        <w:t xml:space="preserve">s, along the lines of the </w:t>
      </w:r>
      <w:r w:rsidRPr="00E876A3">
        <w:rPr>
          <w:b/>
          <w:lang w:val="en-NZ"/>
        </w:rPr>
        <w:t>2012 recommendation</w:t>
      </w:r>
      <w:r w:rsidR="00E876A3">
        <w:rPr>
          <w:b/>
          <w:lang w:val="en-NZ"/>
        </w:rPr>
        <w:t xml:space="preserve"> of the Expert Advisory Group on Solutions to Child Poverty.</w:t>
      </w:r>
    </w:p>
    <w:p w:rsidR="0061394F" w:rsidRPr="0061394F" w:rsidRDefault="0061394F" w:rsidP="0061394F">
      <w:pPr>
        <w:pStyle w:val="ListParagraph"/>
        <w:rPr>
          <w:b/>
          <w:lang w:val="en-NZ"/>
        </w:rPr>
      </w:pPr>
    </w:p>
    <w:p w:rsidR="0061394F" w:rsidRPr="0061394F" w:rsidRDefault="0061394F" w:rsidP="00E876A3">
      <w:pPr>
        <w:pStyle w:val="ListParagraph"/>
        <w:ind w:left="1095"/>
        <w:jc w:val="both"/>
        <w:rPr>
          <w:b/>
          <w:lang w:val="en-NZ"/>
        </w:rPr>
      </w:pPr>
    </w:p>
    <w:p w:rsidR="0061394F" w:rsidRPr="0061394F" w:rsidRDefault="0061394F" w:rsidP="0061394F">
      <w:pPr>
        <w:pStyle w:val="ListParagraph"/>
        <w:rPr>
          <w:b/>
          <w:lang w:val="en-NZ"/>
        </w:rPr>
      </w:pPr>
    </w:p>
    <w:p w:rsidR="0061394F" w:rsidRPr="0061394F" w:rsidRDefault="0061394F" w:rsidP="0061394F">
      <w:pPr>
        <w:pStyle w:val="ListParagraph"/>
        <w:rPr>
          <w:b/>
          <w:lang w:val="en-NZ"/>
        </w:rPr>
      </w:pPr>
    </w:p>
    <w:p w:rsidR="00854E1C" w:rsidRPr="00854E1C" w:rsidRDefault="00854E1C" w:rsidP="00854E1C">
      <w:pPr>
        <w:pStyle w:val="ListParagraph"/>
        <w:rPr>
          <w:lang w:val="en-NZ"/>
        </w:rPr>
      </w:pPr>
    </w:p>
    <w:p w:rsidR="00854E1C" w:rsidRPr="00F267AC" w:rsidRDefault="00854E1C" w:rsidP="00F859C1">
      <w:pPr>
        <w:pStyle w:val="ListParagraph"/>
        <w:rPr>
          <w:lang w:val="en-NZ"/>
        </w:rPr>
      </w:pPr>
    </w:p>
    <w:sectPr w:rsidR="00854E1C" w:rsidRPr="00F267AC" w:rsidSect="00506576">
      <w:footerReference w:type="default" r:id="rId10"/>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DDE" w:rsidRDefault="00361DDE" w:rsidP="00AB328D">
      <w:pPr>
        <w:spacing w:after="0" w:line="240" w:lineRule="auto"/>
      </w:pPr>
      <w:r>
        <w:separator/>
      </w:r>
    </w:p>
  </w:endnote>
  <w:endnote w:type="continuationSeparator" w:id="0">
    <w:p w:rsidR="00361DDE" w:rsidRDefault="00361DDE" w:rsidP="00AB328D">
      <w:pPr>
        <w:spacing w:after="0" w:line="240" w:lineRule="auto"/>
      </w:pPr>
      <w:r>
        <w:continuationSeparator/>
      </w:r>
    </w:p>
  </w:endnote>
  <w:endnote w:id="1">
    <w:p w:rsidR="00764C16" w:rsidRPr="00AB328D" w:rsidRDefault="00764C16" w:rsidP="00764C16">
      <w:pPr>
        <w:pStyle w:val="EndnoteText"/>
        <w:rPr>
          <w:lang w:val="en-NZ"/>
        </w:rPr>
      </w:pPr>
      <w:r>
        <w:rPr>
          <w:rStyle w:val="EndnoteReference"/>
        </w:rPr>
        <w:endnoteRef/>
      </w:r>
      <w:r>
        <w:t xml:space="preserve"> </w:t>
      </w:r>
      <w:r>
        <w:rPr>
          <w:lang w:val="en-NZ"/>
        </w:rPr>
        <w:t xml:space="preserve">Howden-Chapman P, Carroll P. </w:t>
      </w:r>
      <w:proofErr w:type="gramStart"/>
      <w:r>
        <w:rPr>
          <w:lang w:val="en-NZ"/>
        </w:rPr>
        <w:t>eds.</w:t>
      </w:r>
      <w:proofErr w:type="gramEnd"/>
      <w:r>
        <w:rPr>
          <w:lang w:val="en-NZ"/>
        </w:rPr>
        <w:t xml:space="preserve"> </w:t>
      </w:r>
      <w:r>
        <w:rPr>
          <w:i/>
          <w:lang w:val="en-NZ"/>
        </w:rPr>
        <w:t xml:space="preserve">Housing and Health: Research, Policy and Innovation. </w:t>
      </w:r>
      <w:r>
        <w:rPr>
          <w:lang w:val="en-NZ"/>
        </w:rPr>
        <w:t>Wellington (NZ): Roger Steele, 2004.</w:t>
      </w:r>
    </w:p>
  </w:endnote>
  <w:endnote w:id="2">
    <w:p w:rsidR="001A6E44" w:rsidRPr="001A6E44" w:rsidRDefault="001A6E44">
      <w:pPr>
        <w:pStyle w:val="EndnoteText"/>
        <w:rPr>
          <w:lang w:val="en-NZ"/>
        </w:rPr>
      </w:pPr>
      <w:r>
        <w:rPr>
          <w:rStyle w:val="EndnoteReference"/>
        </w:rPr>
        <w:endnoteRef/>
      </w:r>
      <w:r>
        <w:t xml:space="preserve"> </w:t>
      </w:r>
      <w:r w:rsidRPr="001A6E44">
        <w:rPr>
          <w:lang w:val="en-NZ"/>
        </w:rPr>
        <w:t xml:space="preserve">Ministry of Health. 2014. </w:t>
      </w:r>
      <w:r w:rsidRPr="001A6E44">
        <w:rPr>
          <w:i/>
          <w:lang w:val="en-NZ"/>
        </w:rPr>
        <w:t>Analysis of Household Crowding based on Census 2013 data</w:t>
      </w:r>
      <w:r w:rsidRPr="001A6E44">
        <w:rPr>
          <w:lang w:val="en-NZ"/>
        </w:rPr>
        <w:t>. Wellington: Ministry of Health</w:t>
      </w:r>
    </w:p>
  </w:endnote>
  <w:endnote w:id="3">
    <w:p w:rsidR="001A6E44" w:rsidRPr="001A6E44" w:rsidRDefault="001A6E44">
      <w:pPr>
        <w:pStyle w:val="EndnoteText"/>
        <w:rPr>
          <w:lang w:val="en-NZ"/>
        </w:rPr>
      </w:pPr>
      <w:r>
        <w:rPr>
          <w:rStyle w:val="EndnoteReference"/>
        </w:rPr>
        <w:endnoteRef/>
      </w:r>
      <w:r>
        <w:t xml:space="preserve"> </w:t>
      </w:r>
      <w:r w:rsidRPr="001A6E44">
        <w:t xml:space="preserve">Social Policy Evaluation and Research Unit, </w:t>
      </w:r>
      <w:r w:rsidRPr="001A6E44">
        <w:rPr>
          <w:lang w:val="en-NZ"/>
        </w:rPr>
        <w:t xml:space="preserve">2016 </w:t>
      </w:r>
      <w:r w:rsidRPr="001A6E44">
        <w:rPr>
          <w:i/>
          <w:lang w:val="en-NZ"/>
        </w:rPr>
        <w:t>Families and Whanau Status Report</w:t>
      </w:r>
      <w:r w:rsidRPr="001A6E44">
        <w:t>, p 33</w:t>
      </w:r>
      <w:r w:rsidRPr="001A6E44">
        <w:rPr>
          <w:lang w:val="en-NZ"/>
        </w:rPr>
        <w:t xml:space="preserve"> accessed http://www.superu.govt.nz/sites/default/files/F%26W%20Status%20Report%202016_0.pdf</w:t>
      </w:r>
    </w:p>
  </w:endnote>
  <w:endnote w:id="4">
    <w:p w:rsidR="006B47B9" w:rsidRPr="00031E10" w:rsidRDefault="006B47B9" w:rsidP="006B47B9">
      <w:pPr>
        <w:pStyle w:val="EndnoteText"/>
        <w:rPr>
          <w:lang w:val="en-NZ"/>
        </w:rPr>
      </w:pPr>
      <w:r>
        <w:rPr>
          <w:rStyle w:val="EndnoteReference"/>
        </w:rPr>
        <w:endnoteRef/>
      </w:r>
      <w:r>
        <w:t xml:space="preserve"> </w:t>
      </w:r>
      <w:r>
        <w:rPr>
          <w:lang w:val="en-NZ"/>
        </w:rPr>
        <w:t xml:space="preserve">Perry, Bryan. </w:t>
      </w:r>
      <w:r>
        <w:rPr>
          <w:i/>
          <w:lang w:val="en-NZ"/>
        </w:rPr>
        <w:t xml:space="preserve">Household Incomes in New Zealand; Trends in Indicators of Inequality and Hardship. </w:t>
      </w:r>
      <w:r>
        <w:rPr>
          <w:lang w:val="en-NZ"/>
        </w:rPr>
        <w:t>Wellington (NZ): Ministry of Social Development, 2014.</w:t>
      </w:r>
    </w:p>
  </w:endnote>
  <w:endnote w:id="5">
    <w:p w:rsidR="006B47B9" w:rsidRPr="0094570F" w:rsidRDefault="006B47B9" w:rsidP="006B47B9">
      <w:pPr>
        <w:pStyle w:val="EndnoteText"/>
        <w:rPr>
          <w:lang w:val="en-NZ"/>
        </w:rPr>
      </w:pPr>
      <w:r>
        <w:rPr>
          <w:rStyle w:val="EndnoteReference"/>
        </w:rPr>
        <w:endnoteRef/>
      </w:r>
      <w:r>
        <w:t xml:space="preserve"> </w:t>
      </w:r>
      <w:r>
        <w:rPr>
          <w:lang w:val="en-NZ"/>
        </w:rPr>
        <w:t xml:space="preserve">Amore K, </w:t>
      </w:r>
      <w:proofErr w:type="spellStart"/>
      <w:r>
        <w:rPr>
          <w:lang w:val="en-NZ"/>
        </w:rPr>
        <w:t>Viggers</w:t>
      </w:r>
      <w:proofErr w:type="spellEnd"/>
      <w:r>
        <w:rPr>
          <w:lang w:val="en-NZ"/>
        </w:rPr>
        <w:t xml:space="preserve"> H, Baker M, Howden-Chapman P. </w:t>
      </w:r>
      <w:r>
        <w:rPr>
          <w:i/>
          <w:lang w:val="en-NZ"/>
        </w:rPr>
        <w:t xml:space="preserve">Severe Housing Deprivation: The problem and its measurement. </w:t>
      </w:r>
      <w:r>
        <w:rPr>
          <w:lang w:val="en-NZ"/>
        </w:rPr>
        <w:t>Wellington (NZ): Statistics New Zealand, 2013.</w:t>
      </w:r>
    </w:p>
  </w:endnote>
  <w:endnote w:id="6">
    <w:p w:rsidR="000239EB" w:rsidRPr="000239EB" w:rsidRDefault="000239EB">
      <w:pPr>
        <w:pStyle w:val="EndnoteText"/>
        <w:rPr>
          <w:lang w:val="en-NZ"/>
        </w:rPr>
      </w:pPr>
      <w:r>
        <w:rPr>
          <w:rStyle w:val="EndnoteReference"/>
        </w:rPr>
        <w:endnoteRef/>
      </w:r>
      <w:r>
        <w:t xml:space="preserve"> </w:t>
      </w:r>
      <w:r>
        <w:rPr>
          <w:lang w:val="en-NZ"/>
        </w:rPr>
        <w:t xml:space="preserve">Howden-Chapman P, Crane J, Matheson A, </w:t>
      </w:r>
      <w:proofErr w:type="spellStart"/>
      <w:r>
        <w:rPr>
          <w:lang w:val="en-NZ"/>
        </w:rPr>
        <w:t>Viggers</w:t>
      </w:r>
      <w:proofErr w:type="spellEnd"/>
      <w:r>
        <w:rPr>
          <w:lang w:val="en-NZ"/>
        </w:rPr>
        <w:t xml:space="preserve"> H, Cunningham M, Blakely T, et al. Retrofitting houses with insulation to reduce health inequalities: Aims and methods of a clustered, randomised community-based trial. </w:t>
      </w:r>
      <w:r>
        <w:rPr>
          <w:i/>
          <w:lang w:val="en-NZ"/>
        </w:rPr>
        <w:t xml:space="preserve">Social Science and Medicine, </w:t>
      </w:r>
      <w:r>
        <w:rPr>
          <w:lang w:val="en-NZ"/>
        </w:rPr>
        <w:t>61(2005): 2600-2610.</w:t>
      </w:r>
    </w:p>
  </w:endnote>
  <w:endnote w:id="7">
    <w:p w:rsidR="00013D3E" w:rsidRPr="00013D3E" w:rsidRDefault="00013D3E">
      <w:pPr>
        <w:pStyle w:val="EndnoteText"/>
        <w:rPr>
          <w:lang w:val="en-NZ"/>
        </w:rPr>
      </w:pPr>
      <w:r>
        <w:rPr>
          <w:rStyle w:val="EndnoteReference"/>
        </w:rPr>
        <w:endnoteRef/>
      </w:r>
      <w:r>
        <w:t xml:space="preserve"> </w:t>
      </w:r>
      <w:r>
        <w:rPr>
          <w:lang w:val="en-NZ"/>
        </w:rPr>
        <w:t xml:space="preserve">Howden-Chapman P, Crane J, Matheson A, </w:t>
      </w:r>
      <w:proofErr w:type="spellStart"/>
      <w:r>
        <w:rPr>
          <w:lang w:val="en-NZ"/>
        </w:rPr>
        <w:t>Viggers</w:t>
      </w:r>
      <w:proofErr w:type="spellEnd"/>
      <w:r>
        <w:rPr>
          <w:lang w:val="en-NZ"/>
        </w:rPr>
        <w:t xml:space="preserve"> H, Cunningham M, Blakely T, et al. Retrofitting houses with insulation to reduce health inequalities: Aims and methods of a clustered, randomised community-based trial. </w:t>
      </w:r>
      <w:r>
        <w:rPr>
          <w:i/>
          <w:lang w:val="en-NZ"/>
        </w:rPr>
        <w:t xml:space="preserve">Social Science and Medicine, </w:t>
      </w:r>
      <w:r>
        <w:rPr>
          <w:lang w:val="en-NZ"/>
        </w:rPr>
        <w:t>61(2005): 2600-2610.</w:t>
      </w:r>
    </w:p>
  </w:endnote>
  <w:endnote w:id="8">
    <w:p w:rsidR="00064835" w:rsidRPr="00064835" w:rsidRDefault="00064835">
      <w:pPr>
        <w:pStyle w:val="EndnoteText"/>
        <w:rPr>
          <w:lang w:val="en-NZ"/>
        </w:rPr>
      </w:pPr>
      <w:r>
        <w:rPr>
          <w:rStyle w:val="EndnoteReference"/>
        </w:rPr>
        <w:endnoteRef/>
      </w:r>
      <w:r>
        <w:t xml:space="preserve"> </w:t>
      </w:r>
      <w:proofErr w:type="spellStart"/>
      <w:r>
        <w:rPr>
          <w:lang w:val="en-NZ"/>
        </w:rPr>
        <w:t>Jaakkola</w:t>
      </w:r>
      <w:proofErr w:type="spellEnd"/>
      <w:r>
        <w:rPr>
          <w:lang w:val="en-NZ"/>
        </w:rPr>
        <w:t xml:space="preserve"> JJK, Hwang B-F, </w:t>
      </w:r>
      <w:proofErr w:type="spellStart"/>
      <w:r>
        <w:rPr>
          <w:lang w:val="en-NZ"/>
        </w:rPr>
        <w:t>Jaakkola</w:t>
      </w:r>
      <w:proofErr w:type="spellEnd"/>
      <w:r>
        <w:rPr>
          <w:lang w:val="en-NZ"/>
        </w:rPr>
        <w:t xml:space="preserve"> MS. Home dampness and moulds as determinants of allergic rhinitis in childhood: A 6-year, population-based cohort study. </w:t>
      </w:r>
      <w:r>
        <w:rPr>
          <w:i/>
          <w:lang w:val="en-NZ"/>
        </w:rPr>
        <w:t xml:space="preserve">American Journal of Epidemiology. </w:t>
      </w:r>
      <w:r>
        <w:rPr>
          <w:lang w:val="en-NZ"/>
        </w:rPr>
        <w:t>172(4), 2010: 451-459.</w:t>
      </w:r>
    </w:p>
  </w:endnote>
  <w:endnote w:id="9">
    <w:p w:rsidR="00D266FC" w:rsidRPr="00D266FC" w:rsidRDefault="00D266FC">
      <w:pPr>
        <w:pStyle w:val="EndnoteText"/>
        <w:rPr>
          <w:lang w:val="en-NZ"/>
        </w:rPr>
      </w:pPr>
      <w:r>
        <w:rPr>
          <w:rStyle w:val="EndnoteReference"/>
        </w:rPr>
        <w:endnoteRef/>
      </w:r>
      <w:r>
        <w:t xml:space="preserve"> </w:t>
      </w:r>
      <w:r>
        <w:rPr>
          <w:lang w:val="en-NZ"/>
        </w:rPr>
        <w:t xml:space="preserve">Howden-Chapman P, Pierse N, Nicholls S, Gillespie-Bennett J, </w:t>
      </w:r>
      <w:proofErr w:type="spellStart"/>
      <w:r>
        <w:rPr>
          <w:lang w:val="en-NZ"/>
        </w:rPr>
        <w:t>Viggers</w:t>
      </w:r>
      <w:proofErr w:type="spellEnd"/>
      <w:r>
        <w:rPr>
          <w:lang w:val="en-NZ"/>
        </w:rPr>
        <w:t xml:space="preserve"> H, Cunningham M, et al. Effects of improved home heating on asthma in community dwelling children: Randomised community study. </w:t>
      </w:r>
      <w:r>
        <w:rPr>
          <w:i/>
          <w:lang w:val="en-NZ"/>
        </w:rPr>
        <w:t xml:space="preserve">British Medical Journal. </w:t>
      </w:r>
      <w:r>
        <w:rPr>
          <w:lang w:val="en-NZ"/>
        </w:rPr>
        <w:t>337(2008): 852-855.</w:t>
      </w:r>
    </w:p>
  </w:endnote>
  <w:endnote w:id="10">
    <w:p w:rsidR="00F95FA4" w:rsidRPr="00F95FA4" w:rsidRDefault="00F95FA4">
      <w:pPr>
        <w:pStyle w:val="EndnoteText"/>
        <w:rPr>
          <w:lang w:val="en-NZ"/>
        </w:rPr>
      </w:pPr>
      <w:r>
        <w:rPr>
          <w:rStyle w:val="EndnoteReference"/>
        </w:rPr>
        <w:endnoteRef/>
      </w:r>
      <w:r>
        <w:t xml:space="preserve"> </w:t>
      </w:r>
      <w:proofErr w:type="spellStart"/>
      <w:r>
        <w:rPr>
          <w:lang w:val="en-NZ"/>
        </w:rPr>
        <w:t>Bonnefoy</w:t>
      </w:r>
      <w:proofErr w:type="spellEnd"/>
      <w:r>
        <w:rPr>
          <w:lang w:val="en-NZ"/>
        </w:rPr>
        <w:t xml:space="preserve"> X, </w:t>
      </w:r>
      <w:proofErr w:type="spellStart"/>
      <w:r>
        <w:rPr>
          <w:lang w:val="en-NZ"/>
        </w:rPr>
        <w:t>Braubach</w:t>
      </w:r>
      <w:proofErr w:type="spellEnd"/>
      <w:r>
        <w:rPr>
          <w:lang w:val="en-NZ"/>
        </w:rPr>
        <w:t xml:space="preserve"> M, </w:t>
      </w:r>
      <w:proofErr w:type="spellStart"/>
      <w:r>
        <w:rPr>
          <w:lang w:val="en-NZ"/>
        </w:rPr>
        <w:t>Moissonnier</w:t>
      </w:r>
      <w:proofErr w:type="spellEnd"/>
      <w:r>
        <w:rPr>
          <w:lang w:val="en-NZ"/>
        </w:rPr>
        <w:t xml:space="preserve"> B, </w:t>
      </w:r>
      <w:proofErr w:type="spellStart"/>
      <w:r>
        <w:rPr>
          <w:lang w:val="en-NZ"/>
        </w:rPr>
        <w:t>Monolbaey</w:t>
      </w:r>
      <w:proofErr w:type="spellEnd"/>
      <w:r>
        <w:rPr>
          <w:lang w:val="en-NZ"/>
        </w:rPr>
        <w:t xml:space="preserve"> K, </w:t>
      </w:r>
      <w:proofErr w:type="spellStart"/>
      <w:r>
        <w:rPr>
          <w:lang w:val="en-NZ"/>
        </w:rPr>
        <w:t>Robbel</w:t>
      </w:r>
      <w:proofErr w:type="spellEnd"/>
      <w:r>
        <w:rPr>
          <w:lang w:val="en-NZ"/>
        </w:rPr>
        <w:t xml:space="preserve"> N. Housing and Health in Europe: Preliminary results of a </w:t>
      </w:r>
      <w:proofErr w:type="gramStart"/>
      <w:r>
        <w:rPr>
          <w:lang w:val="en-NZ"/>
        </w:rPr>
        <w:t>pan</w:t>
      </w:r>
      <w:proofErr w:type="gramEnd"/>
      <w:r>
        <w:rPr>
          <w:lang w:val="en-NZ"/>
        </w:rPr>
        <w:t xml:space="preserve">-European study. </w:t>
      </w:r>
      <w:r>
        <w:rPr>
          <w:i/>
          <w:lang w:val="en-NZ"/>
        </w:rPr>
        <w:t xml:space="preserve">American Journal of Public Health. </w:t>
      </w:r>
      <w:r>
        <w:rPr>
          <w:lang w:val="en-NZ"/>
        </w:rPr>
        <w:t>93(9), 2003: 1559-1563.</w:t>
      </w:r>
    </w:p>
  </w:endnote>
  <w:endnote w:id="11">
    <w:p w:rsidR="00CF514C" w:rsidRPr="00CF514C" w:rsidRDefault="00CF514C">
      <w:pPr>
        <w:pStyle w:val="EndnoteText"/>
        <w:rPr>
          <w:lang w:val="en-NZ"/>
        </w:rPr>
      </w:pPr>
      <w:r>
        <w:rPr>
          <w:rStyle w:val="EndnoteReference"/>
        </w:rPr>
        <w:endnoteRef/>
      </w:r>
      <w:r>
        <w:t xml:space="preserve"> Pierse N, Arnold R, </w:t>
      </w:r>
      <w:proofErr w:type="spellStart"/>
      <w:r>
        <w:t>Keall</w:t>
      </w:r>
      <w:proofErr w:type="spellEnd"/>
      <w:r>
        <w:t xml:space="preserve"> M, Howden-Chapman P, Crane J, Cunningham M, and the Housing, Heating and Health Research Group. Modelling the effects of low indoor temperatures on the lung function of children with asthma. </w:t>
      </w:r>
      <w:r>
        <w:rPr>
          <w:i/>
        </w:rPr>
        <w:t xml:space="preserve">Journal of Epidemiology and Community Health. </w:t>
      </w:r>
      <w:r>
        <w:t xml:space="preserve">2013. </w:t>
      </w:r>
      <w:proofErr w:type="spellStart"/>
      <w:r>
        <w:t>Doi</w:t>
      </w:r>
      <w:proofErr w:type="spellEnd"/>
      <w:r>
        <w:t>: s10,1136/jech-2013-202632.</w:t>
      </w:r>
    </w:p>
  </w:endnote>
  <w:endnote w:id="12">
    <w:p w:rsidR="00353265" w:rsidRPr="00353265" w:rsidRDefault="00353265">
      <w:pPr>
        <w:pStyle w:val="EndnoteText"/>
        <w:rPr>
          <w:lang w:val="en-NZ"/>
        </w:rPr>
      </w:pPr>
      <w:r>
        <w:rPr>
          <w:rStyle w:val="EndnoteReference"/>
        </w:rPr>
        <w:endnoteRef/>
      </w:r>
      <w:r>
        <w:t xml:space="preserve"> </w:t>
      </w:r>
      <w:r>
        <w:rPr>
          <w:lang w:val="en-NZ"/>
        </w:rPr>
        <w:t xml:space="preserve">Baker M, </w:t>
      </w:r>
      <w:proofErr w:type="spellStart"/>
      <w:r>
        <w:rPr>
          <w:lang w:val="en-NZ"/>
        </w:rPr>
        <w:t>Telfar</w:t>
      </w:r>
      <w:proofErr w:type="spellEnd"/>
      <w:r>
        <w:rPr>
          <w:lang w:val="en-NZ"/>
        </w:rPr>
        <w:t xml:space="preserve">-Barnard L, </w:t>
      </w:r>
      <w:proofErr w:type="spellStart"/>
      <w:r>
        <w:rPr>
          <w:lang w:val="en-NZ"/>
        </w:rPr>
        <w:t>Kvalsvig</w:t>
      </w:r>
      <w:proofErr w:type="spellEnd"/>
      <w:r>
        <w:rPr>
          <w:lang w:val="en-NZ"/>
        </w:rPr>
        <w:t xml:space="preserve"> A, </w:t>
      </w:r>
      <w:proofErr w:type="spellStart"/>
      <w:r>
        <w:rPr>
          <w:lang w:val="en-NZ"/>
        </w:rPr>
        <w:t>Verrall</w:t>
      </w:r>
      <w:proofErr w:type="spellEnd"/>
      <w:r>
        <w:rPr>
          <w:lang w:val="en-NZ"/>
        </w:rPr>
        <w:t xml:space="preserve"> A, Zhang J, </w:t>
      </w:r>
      <w:proofErr w:type="spellStart"/>
      <w:r>
        <w:rPr>
          <w:lang w:val="en-NZ"/>
        </w:rPr>
        <w:t>Keall</w:t>
      </w:r>
      <w:proofErr w:type="spellEnd"/>
      <w:r>
        <w:rPr>
          <w:lang w:val="en-NZ"/>
        </w:rPr>
        <w:t xml:space="preserve"> M, Wilson N, Wall T, Howden-Chapman P. Increasing incidence of Serious Infectious Diseases and Inequalities in New Zealand: A National </w:t>
      </w:r>
      <w:proofErr w:type="spellStart"/>
      <w:r>
        <w:rPr>
          <w:lang w:val="en-NZ"/>
        </w:rPr>
        <w:t>Epidemiologival</w:t>
      </w:r>
      <w:proofErr w:type="spellEnd"/>
      <w:r>
        <w:rPr>
          <w:lang w:val="en-NZ"/>
        </w:rPr>
        <w:t xml:space="preserve"> Study. </w:t>
      </w:r>
      <w:r>
        <w:rPr>
          <w:i/>
          <w:lang w:val="en-NZ"/>
        </w:rPr>
        <w:t xml:space="preserve">The Lancet. </w:t>
      </w:r>
      <w:r>
        <w:rPr>
          <w:lang w:val="en-NZ"/>
        </w:rPr>
        <w:t>379(9821), 2012: 1112-1119.</w:t>
      </w:r>
    </w:p>
  </w:endnote>
  <w:endnote w:id="13">
    <w:p w:rsidR="0054798F" w:rsidRPr="0054798F" w:rsidRDefault="0054798F">
      <w:pPr>
        <w:pStyle w:val="EndnoteText"/>
        <w:rPr>
          <w:lang w:val="en-NZ"/>
        </w:rPr>
      </w:pPr>
      <w:r>
        <w:rPr>
          <w:rStyle w:val="EndnoteReference"/>
        </w:rPr>
        <w:endnoteRef/>
      </w:r>
      <w:r>
        <w:t xml:space="preserve"> </w:t>
      </w:r>
      <w:r>
        <w:rPr>
          <w:lang w:val="en-NZ"/>
        </w:rPr>
        <w:t xml:space="preserve">Gillespie-Bennet J, Pierse N, </w:t>
      </w:r>
      <w:proofErr w:type="spellStart"/>
      <w:r>
        <w:rPr>
          <w:lang w:val="en-NZ"/>
        </w:rPr>
        <w:t>Wickens</w:t>
      </w:r>
      <w:proofErr w:type="spellEnd"/>
      <w:r>
        <w:rPr>
          <w:lang w:val="en-NZ"/>
        </w:rPr>
        <w:t xml:space="preserve"> K, Crane J, Howden-Chapman P, and the Housing, Heating and Health Research Group. The respiratory effects of nitrogen dioxide in children with asthma. </w:t>
      </w:r>
      <w:r>
        <w:rPr>
          <w:i/>
          <w:lang w:val="en-NZ"/>
        </w:rPr>
        <w:t xml:space="preserve">European Respiratory Journal. </w:t>
      </w:r>
      <w:r>
        <w:rPr>
          <w:lang w:val="en-NZ"/>
        </w:rPr>
        <w:t xml:space="preserve">2011, 38. </w:t>
      </w:r>
      <w:proofErr w:type="spellStart"/>
      <w:r>
        <w:rPr>
          <w:lang w:val="en-NZ"/>
        </w:rPr>
        <w:t>Doi</w:t>
      </w:r>
      <w:proofErr w:type="spellEnd"/>
      <w:r>
        <w:rPr>
          <w:lang w:val="en-NZ"/>
        </w:rPr>
        <w:t>: 10.1183/09031936.00115409.</w:t>
      </w:r>
    </w:p>
  </w:endnote>
  <w:endnote w:id="14">
    <w:p w:rsidR="0096032F" w:rsidRPr="0096032F" w:rsidRDefault="0096032F">
      <w:pPr>
        <w:pStyle w:val="EndnoteText"/>
        <w:rPr>
          <w:lang w:val="en-NZ"/>
        </w:rPr>
      </w:pPr>
      <w:r>
        <w:rPr>
          <w:rStyle w:val="EndnoteReference"/>
        </w:rPr>
        <w:endnoteRef/>
      </w:r>
      <w:r>
        <w:t xml:space="preserve"> </w:t>
      </w:r>
      <w:r>
        <w:rPr>
          <w:lang w:val="en-NZ"/>
        </w:rPr>
        <w:t xml:space="preserve">Free S, Howden-Chapman P, Pierse N, </w:t>
      </w:r>
      <w:proofErr w:type="spellStart"/>
      <w:r>
        <w:rPr>
          <w:lang w:val="en-NZ"/>
        </w:rPr>
        <w:t>Viggers</w:t>
      </w:r>
      <w:proofErr w:type="spellEnd"/>
      <w:r>
        <w:rPr>
          <w:lang w:val="en-NZ"/>
        </w:rPr>
        <w:t xml:space="preserve"> H, and the Housing, Health and Health Research Group. More effective home heating reduces school absences for children with asthma. </w:t>
      </w:r>
      <w:r>
        <w:rPr>
          <w:i/>
          <w:lang w:val="en-NZ"/>
        </w:rPr>
        <w:t xml:space="preserve">Journal of Epidemiology and Community Health. </w:t>
      </w:r>
      <w:r w:rsidR="00416CA0">
        <w:rPr>
          <w:lang w:val="en-NZ"/>
        </w:rPr>
        <w:t xml:space="preserve">64(3), 2010: 379-386. </w:t>
      </w:r>
      <w:proofErr w:type="spellStart"/>
      <w:r w:rsidR="00416CA0">
        <w:rPr>
          <w:lang w:val="en-NZ"/>
        </w:rPr>
        <w:t>d</w:t>
      </w:r>
      <w:r>
        <w:rPr>
          <w:lang w:val="en-NZ"/>
        </w:rPr>
        <w:t>oi</w:t>
      </w:r>
      <w:proofErr w:type="spellEnd"/>
      <w:r>
        <w:rPr>
          <w:lang w:val="en-NZ"/>
        </w:rPr>
        <w:t>: 10.1136/jech.2008.086520.</w:t>
      </w:r>
    </w:p>
  </w:endnote>
  <w:endnote w:id="15">
    <w:p w:rsidR="00C208C4" w:rsidRPr="00C208C4" w:rsidRDefault="00C208C4">
      <w:pPr>
        <w:pStyle w:val="EndnoteText"/>
        <w:rPr>
          <w:lang w:val="en-NZ"/>
        </w:rPr>
      </w:pPr>
      <w:r>
        <w:rPr>
          <w:rStyle w:val="EndnoteReference"/>
        </w:rPr>
        <w:endnoteRef/>
      </w:r>
      <w:r>
        <w:t xml:space="preserve"> </w:t>
      </w:r>
      <w:r>
        <w:rPr>
          <w:lang w:val="en-NZ"/>
        </w:rPr>
        <w:t xml:space="preserve">Howden-Chapman P, Pierse N, Nicholls S, Gillespie-Bennett J, </w:t>
      </w:r>
      <w:proofErr w:type="spellStart"/>
      <w:r>
        <w:rPr>
          <w:lang w:val="en-NZ"/>
        </w:rPr>
        <w:t>Viggers</w:t>
      </w:r>
      <w:proofErr w:type="spellEnd"/>
      <w:r>
        <w:rPr>
          <w:lang w:val="en-NZ"/>
        </w:rPr>
        <w:t xml:space="preserve"> H, Cunningham M, Phipps R, et al. Effects of Improved Home Heating on Asthma in Community Dwelling Children: Randomised Community Study. </w:t>
      </w:r>
      <w:r>
        <w:rPr>
          <w:i/>
          <w:lang w:val="en-NZ"/>
        </w:rPr>
        <w:t xml:space="preserve">British Medical Journal. </w:t>
      </w:r>
      <w:r>
        <w:rPr>
          <w:lang w:val="en-NZ"/>
        </w:rPr>
        <w:t>337(1411), 2008: 852-855.</w:t>
      </w:r>
    </w:p>
  </w:endnote>
  <w:endnote w:id="16">
    <w:p w:rsidR="005068D4" w:rsidRPr="005068D4" w:rsidRDefault="005068D4">
      <w:pPr>
        <w:pStyle w:val="EndnoteText"/>
        <w:rPr>
          <w:lang w:val="en-NZ"/>
        </w:rPr>
      </w:pPr>
      <w:r>
        <w:rPr>
          <w:rStyle w:val="EndnoteReference"/>
        </w:rPr>
        <w:endnoteRef/>
      </w:r>
      <w:r>
        <w:t xml:space="preserve"> </w:t>
      </w:r>
      <w:r>
        <w:rPr>
          <w:lang w:val="en-NZ"/>
        </w:rPr>
        <w:t xml:space="preserve">Miller C. Damp House led to Toddler’s Death. NZ Herald [Internet]. June 4, 2015. Available from: </w:t>
      </w:r>
      <w:r w:rsidRPr="005068D4">
        <w:rPr>
          <w:lang w:val="en-NZ"/>
        </w:rPr>
        <w:t>http://www.nzherald.co.nz/nz/news/article.cfm?c_id=1&amp;objectid=11459813</w:t>
      </w:r>
    </w:p>
  </w:endnote>
  <w:endnote w:id="17">
    <w:p w:rsidR="000955E1" w:rsidRPr="000955E1" w:rsidRDefault="000955E1">
      <w:pPr>
        <w:pStyle w:val="EndnoteText"/>
        <w:rPr>
          <w:lang w:val="en-NZ"/>
        </w:rPr>
      </w:pPr>
      <w:r>
        <w:rPr>
          <w:rStyle w:val="EndnoteReference"/>
        </w:rPr>
        <w:endnoteRef/>
      </w:r>
      <w:r>
        <w:t xml:space="preserve"> </w:t>
      </w:r>
      <w:r>
        <w:rPr>
          <w:lang w:val="en-NZ"/>
        </w:rPr>
        <w:t xml:space="preserve">Beehive.govt.nz. Tenancy Law Changes to Include Insulation and Smoke Alarm Requirements. [Internet]. Wellington (NZ): Government of New Zealand, 2015. Available from: </w:t>
      </w:r>
      <w:r w:rsidRPr="000955E1">
        <w:rPr>
          <w:lang w:val="en-NZ"/>
        </w:rPr>
        <w:t>https://www.beehive.govt.nz/release/tenancy-law-changes-include-insulation-and-smoke-alarm-requirements</w:t>
      </w:r>
    </w:p>
  </w:endnote>
  <w:endnote w:id="18">
    <w:p w:rsidR="00F02F96" w:rsidRPr="00F02F96" w:rsidRDefault="00F02F96">
      <w:pPr>
        <w:pStyle w:val="EndnoteText"/>
        <w:rPr>
          <w:lang w:val="en-NZ"/>
        </w:rPr>
      </w:pPr>
      <w:r>
        <w:rPr>
          <w:rStyle w:val="EndnoteReference"/>
        </w:rPr>
        <w:endnoteRef/>
      </w:r>
      <w:r>
        <w:t xml:space="preserve"> </w:t>
      </w:r>
      <w:proofErr w:type="spellStart"/>
      <w:r>
        <w:rPr>
          <w:lang w:val="en-NZ"/>
        </w:rPr>
        <w:t>Bierre</w:t>
      </w:r>
      <w:proofErr w:type="spellEnd"/>
      <w:r>
        <w:rPr>
          <w:lang w:val="en-NZ"/>
        </w:rPr>
        <w:t xml:space="preserve"> S, Bennett M, Howden-Chapman P. Decent Expectations? The interpretation of housing quality standards in tenancy tribunals in New Zealand. </w:t>
      </w:r>
      <w:r>
        <w:rPr>
          <w:i/>
          <w:lang w:val="en-NZ"/>
        </w:rPr>
        <w:t xml:space="preserve">New Zealand Universities Law Review. </w:t>
      </w:r>
      <w:r>
        <w:rPr>
          <w:lang w:val="en-NZ"/>
        </w:rPr>
        <w:t>26(2), 2014: 153-185.</w:t>
      </w:r>
    </w:p>
  </w:endnote>
  <w:endnote w:id="19">
    <w:p w:rsidR="00F00598" w:rsidRPr="002227E2" w:rsidRDefault="00F00598">
      <w:pPr>
        <w:pStyle w:val="EndnoteText"/>
        <w:rPr>
          <w:i/>
          <w:lang w:val="en-NZ"/>
        </w:rPr>
      </w:pPr>
      <w:r>
        <w:rPr>
          <w:rStyle w:val="EndnoteReference"/>
        </w:rPr>
        <w:endnoteRef/>
      </w:r>
      <w:r>
        <w:t xml:space="preserve"> </w:t>
      </w:r>
      <w:proofErr w:type="spellStart"/>
      <w:r w:rsidRPr="00DB1A7F">
        <w:rPr>
          <w:lang w:val="en-NZ"/>
        </w:rPr>
        <w:t>Bierre</w:t>
      </w:r>
      <w:proofErr w:type="spellEnd"/>
      <w:r w:rsidRPr="00DB1A7F">
        <w:rPr>
          <w:lang w:val="en-NZ"/>
        </w:rPr>
        <w:t xml:space="preserve"> S, Bennett M, Howden-Chapman P. Decent Expectations? The interpretation of housing quality standards in tenancy tribunals in New Zealand. </w:t>
      </w:r>
      <w:r w:rsidRPr="00DB1A7F">
        <w:rPr>
          <w:i/>
          <w:lang w:val="en-NZ"/>
        </w:rPr>
        <w:t xml:space="preserve">New Zealand Universities Law Review. </w:t>
      </w:r>
      <w:r w:rsidRPr="00DB1A7F">
        <w:rPr>
          <w:lang w:val="en-NZ"/>
        </w:rPr>
        <w:t>26(2), 2014: 153-185.</w:t>
      </w:r>
      <w:r w:rsidR="002227E2" w:rsidRPr="00DB1A7F">
        <w:rPr>
          <w:i/>
          <w:lang w:val="en-NZ"/>
        </w:rPr>
        <w:t>Duplicate</w:t>
      </w:r>
    </w:p>
  </w:endnote>
  <w:endnote w:id="20">
    <w:p w:rsidR="00727E87" w:rsidRPr="00727E87" w:rsidRDefault="00727E87">
      <w:pPr>
        <w:pStyle w:val="EndnoteText"/>
        <w:rPr>
          <w:lang w:val="en-NZ"/>
        </w:rPr>
      </w:pPr>
      <w:r>
        <w:rPr>
          <w:rStyle w:val="EndnoteReference"/>
        </w:rPr>
        <w:endnoteRef/>
      </w:r>
      <w:r>
        <w:t xml:space="preserve"> </w:t>
      </w:r>
      <w:r w:rsidRPr="00727E87">
        <w:t xml:space="preserve">Housing and Health He </w:t>
      </w:r>
      <w:proofErr w:type="spellStart"/>
      <w:r w:rsidRPr="00727E87">
        <w:t>Kainga</w:t>
      </w:r>
      <w:proofErr w:type="spellEnd"/>
      <w:r w:rsidRPr="00727E87">
        <w:t xml:space="preserve"> </w:t>
      </w:r>
      <w:proofErr w:type="spellStart"/>
      <w:r w:rsidRPr="00727E87">
        <w:t>Oranga</w:t>
      </w:r>
      <w:proofErr w:type="spellEnd"/>
      <w:r w:rsidRPr="00727E87">
        <w:t xml:space="preserve">, </w:t>
      </w:r>
      <w:r w:rsidRPr="00727E87">
        <w:rPr>
          <w:i/>
        </w:rPr>
        <w:t xml:space="preserve">Summary Paper Two: Evaluation of Warm Up New Zealand: Heat Smart </w:t>
      </w:r>
      <w:proofErr w:type="spellStart"/>
      <w:r w:rsidRPr="00727E87">
        <w:rPr>
          <w:i/>
        </w:rPr>
        <w:t>Programme</w:t>
      </w:r>
      <w:proofErr w:type="spellEnd"/>
      <w:r w:rsidRPr="00727E87">
        <w:t>, July 2016</w:t>
      </w:r>
    </w:p>
  </w:endnote>
  <w:endnote w:id="21">
    <w:p w:rsidR="00727E87" w:rsidRPr="00727E87" w:rsidRDefault="00727E87">
      <w:pPr>
        <w:pStyle w:val="EndnoteText"/>
        <w:rPr>
          <w:lang w:val="en-NZ"/>
        </w:rPr>
      </w:pPr>
      <w:r>
        <w:rPr>
          <w:rStyle w:val="EndnoteReference"/>
        </w:rPr>
        <w:endnoteRef/>
      </w:r>
      <w:r>
        <w:t xml:space="preserve"> </w:t>
      </w:r>
      <w:proofErr w:type="spellStart"/>
      <w:r w:rsidRPr="00727E87">
        <w:t>Preval</w:t>
      </w:r>
      <w:proofErr w:type="spellEnd"/>
      <w:r w:rsidRPr="00727E87">
        <w:t xml:space="preserve">, N. (2015). Statistical and Policy Analysis of Large-scale Public Health Interventions (Thesis, Doctor of Philosophy). University of Otago. Retrieved from </w:t>
      </w:r>
      <w:hyperlink r:id="rId1" w:history="1">
        <w:r w:rsidRPr="00727E87">
          <w:rPr>
            <w:rStyle w:val="Hyperlink"/>
          </w:rPr>
          <w:t>http://hdl.handle.net/10523/5722</w:t>
        </w:r>
      </w:hyperlink>
      <w:r w:rsidRPr="00727E87">
        <w:t xml:space="preserve"> (accessed 10 August, 2016)</w:t>
      </w:r>
    </w:p>
  </w:endnote>
  <w:endnote w:id="22">
    <w:p w:rsidR="00727E87" w:rsidRPr="00727E87" w:rsidRDefault="00727E87">
      <w:pPr>
        <w:pStyle w:val="EndnoteText"/>
        <w:rPr>
          <w:lang w:val="en-NZ"/>
        </w:rPr>
      </w:pPr>
      <w:r>
        <w:rPr>
          <w:rStyle w:val="EndnoteReference"/>
        </w:rPr>
        <w:endnoteRef/>
      </w:r>
      <w:r>
        <w:t xml:space="preserve"> </w:t>
      </w:r>
      <w:r w:rsidRPr="00727E87">
        <w:t xml:space="preserve">Housing and Health He </w:t>
      </w:r>
      <w:proofErr w:type="spellStart"/>
      <w:r w:rsidRPr="00727E87">
        <w:t>Kainga</w:t>
      </w:r>
      <w:proofErr w:type="spellEnd"/>
      <w:r w:rsidRPr="00727E87">
        <w:t xml:space="preserve"> </w:t>
      </w:r>
      <w:proofErr w:type="spellStart"/>
      <w:r w:rsidRPr="00727E87">
        <w:t>Oranga</w:t>
      </w:r>
      <w:proofErr w:type="spellEnd"/>
      <w:r w:rsidRPr="00727E87">
        <w:t xml:space="preserve">, Summary Paper Two: Evaluation of Warm Up New Zealand: Heat Smart </w:t>
      </w:r>
      <w:proofErr w:type="spellStart"/>
      <w:r w:rsidRPr="00727E87">
        <w:t>Programme</w:t>
      </w:r>
      <w:proofErr w:type="spellEnd"/>
      <w:r w:rsidRPr="00727E87">
        <w:t>, July 2016</w:t>
      </w:r>
    </w:p>
  </w:endnote>
  <w:endnote w:id="23">
    <w:p w:rsidR="00995E00" w:rsidRPr="00995E00" w:rsidRDefault="00995E00">
      <w:pPr>
        <w:pStyle w:val="EndnoteText"/>
        <w:rPr>
          <w:lang w:val="en-NZ"/>
        </w:rPr>
      </w:pPr>
      <w:r>
        <w:rPr>
          <w:rStyle w:val="EndnoteReference"/>
        </w:rPr>
        <w:endnoteRef/>
      </w:r>
      <w:r>
        <w:t xml:space="preserve"> </w:t>
      </w:r>
      <w:r>
        <w:rPr>
          <w:lang w:val="en-NZ"/>
        </w:rPr>
        <w:t xml:space="preserve">Bennett J, Howden-Chapman P, Chisholm E, </w:t>
      </w:r>
      <w:proofErr w:type="spellStart"/>
      <w:r>
        <w:rPr>
          <w:lang w:val="en-NZ"/>
        </w:rPr>
        <w:t>Keall</w:t>
      </w:r>
      <w:proofErr w:type="spellEnd"/>
      <w:r>
        <w:rPr>
          <w:lang w:val="en-NZ"/>
        </w:rPr>
        <w:t xml:space="preserve"> M, Baker M. Towards an agreed quality standard for rental housing: field testing of a New Zealand housing WOF tool. </w:t>
      </w:r>
      <w:r>
        <w:rPr>
          <w:i/>
          <w:lang w:val="en-NZ"/>
        </w:rPr>
        <w:t xml:space="preserve">Australian and New Zealand Journal of Public Health. </w:t>
      </w:r>
      <w:r>
        <w:rPr>
          <w:lang w:val="en-NZ"/>
        </w:rPr>
        <w:t xml:space="preserve">2016, </w:t>
      </w:r>
      <w:proofErr w:type="spellStart"/>
      <w:r>
        <w:rPr>
          <w:lang w:val="en-NZ"/>
        </w:rPr>
        <w:t>doi</w:t>
      </w:r>
      <w:proofErr w:type="spellEnd"/>
      <w:r>
        <w:rPr>
          <w:lang w:val="en-NZ"/>
        </w:rPr>
        <w:t>: 10.1111/1753-6405,12519.</w:t>
      </w:r>
    </w:p>
  </w:endnote>
  <w:endnote w:id="24">
    <w:p w:rsidR="00F11338" w:rsidRPr="00F11338" w:rsidRDefault="00F11338">
      <w:pPr>
        <w:pStyle w:val="EndnoteText"/>
        <w:rPr>
          <w:lang w:val="en-NZ"/>
        </w:rPr>
      </w:pPr>
      <w:r>
        <w:rPr>
          <w:rStyle w:val="EndnoteReference"/>
        </w:rPr>
        <w:endnoteRef/>
      </w:r>
      <w:r>
        <w:t xml:space="preserve"> </w:t>
      </w:r>
      <w:r>
        <w:rPr>
          <w:lang w:val="en-NZ"/>
        </w:rPr>
        <w:t xml:space="preserve">Howden-Chapman P, Pierse N, Nicholls S, Gillespie-Bennett J, </w:t>
      </w:r>
      <w:proofErr w:type="spellStart"/>
      <w:r>
        <w:rPr>
          <w:lang w:val="en-NZ"/>
        </w:rPr>
        <w:t>Viggers</w:t>
      </w:r>
      <w:proofErr w:type="spellEnd"/>
      <w:r>
        <w:rPr>
          <w:lang w:val="en-NZ"/>
        </w:rPr>
        <w:t xml:space="preserve"> H, Cunningham M, Phipps R, et al. Effects of Improved Home Heating on Asthma in Community Dwelling Children: Randomised Community Study. </w:t>
      </w:r>
      <w:r>
        <w:rPr>
          <w:i/>
          <w:lang w:val="en-NZ"/>
        </w:rPr>
        <w:t xml:space="preserve">British Medical Journal. </w:t>
      </w:r>
      <w:r>
        <w:rPr>
          <w:lang w:val="en-NZ"/>
        </w:rPr>
        <w:t>337(1411), 2008: 852-855.</w:t>
      </w:r>
    </w:p>
  </w:endnote>
  <w:endnote w:id="25">
    <w:p w:rsidR="00492D22" w:rsidRPr="00492D22" w:rsidRDefault="00492D22">
      <w:pPr>
        <w:pStyle w:val="EndnoteText"/>
        <w:rPr>
          <w:lang w:val="en-NZ"/>
        </w:rPr>
      </w:pPr>
      <w:r>
        <w:rPr>
          <w:rStyle w:val="EndnoteReference"/>
        </w:rPr>
        <w:endnoteRef/>
      </w:r>
      <w:r>
        <w:t xml:space="preserve"> </w:t>
      </w:r>
      <w:r>
        <w:rPr>
          <w:lang w:val="en-NZ"/>
        </w:rPr>
        <w:t xml:space="preserve">Gillespie-Bennet J, Pierse N, </w:t>
      </w:r>
      <w:proofErr w:type="spellStart"/>
      <w:r>
        <w:rPr>
          <w:lang w:val="en-NZ"/>
        </w:rPr>
        <w:t>Wickens</w:t>
      </w:r>
      <w:proofErr w:type="spellEnd"/>
      <w:r>
        <w:rPr>
          <w:lang w:val="en-NZ"/>
        </w:rPr>
        <w:t xml:space="preserve"> K, Crane J, Howden-Chapman P, and the Housing, Heating and Health Research Group. The respiratory effects of nitrogen dioxide in children with asthma. </w:t>
      </w:r>
      <w:r>
        <w:rPr>
          <w:i/>
          <w:lang w:val="en-NZ"/>
        </w:rPr>
        <w:t xml:space="preserve">European Respiratory Journal. </w:t>
      </w:r>
      <w:r w:rsidR="00416CA0">
        <w:rPr>
          <w:lang w:val="en-NZ"/>
        </w:rPr>
        <w:t xml:space="preserve">2011, 38. </w:t>
      </w:r>
      <w:proofErr w:type="spellStart"/>
      <w:r w:rsidR="00416CA0">
        <w:rPr>
          <w:lang w:val="en-NZ"/>
        </w:rPr>
        <w:t>d</w:t>
      </w:r>
      <w:r>
        <w:rPr>
          <w:lang w:val="en-NZ"/>
        </w:rPr>
        <w:t>oi</w:t>
      </w:r>
      <w:proofErr w:type="spellEnd"/>
      <w:r>
        <w:rPr>
          <w:lang w:val="en-NZ"/>
        </w:rPr>
        <w:t>: 10.1183/09031936.00115409.</w:t>
      </w:r>
    </w:p>
  </w:endnote>
  <w:endnote w:id="26">
    <w:p w:rsidR="00EB01F4" w:rsidRPr="00EB01F4" w:rsidRDefault="00EB01F4">
      <w:pPr>
        <w:pStyle w:val="EndnoteText"/>
        <w:rPr>
          <w:lang w:val="en-NZ"/>
        </w:rPr>
      </w:pPr>
      <w:r>
        <w:rPr>
          <w:rStyle w:val="EndnoteReference"/>
        </w:rPr>
        <w:endnoteRef/>
      </w:r>
      <w:r>
        <w:t xml:space="preserve"> </w:t>
      </w:r>
      <w:r>
        <w:rPr>
          <w:lang w:val="en-NZ"/>
        </w:rPr>
        <w:t xml:space="preserve">Free S, Howden-Chapman P, Pierse N, </w:t>
      </w:r>
      <w:proofErr w:type="spellStart"/>
      <w:r>
        <w:rPr>
          <w:lang w:val="en-NZ"/>
        </w:rPr>
        <w:t>Viggers</w:t>
      </w:r>
      <w:proofErr w:type="spellEnd"/>
      <w:r>
        <w:rPr>
          <w:lang w:val="en-NZ"/>
        </w:rPr>
        <w:t xml:space="preserve"> H, and the Housing, Health and Health Research Group. More effective home heating reduces school absences for children with asthma. </w:t>
      </w:r>
      <w:r>
        <w:rPr>
          <w:i/>
          <w:lang w:val="en-NZ"/>
        </w:rPr>
        <w:t xml:space="preserve">Journal of Epidemiology and Community Health. </w:t>
      </w:r>
      <w:r w:rsidR="00416CA0">
        <w:rPr>
          <w:lang w:val="en-NZ"/>
        </w:rPr>
        <w:t xml:space="preserve">64(3), 2010: 379-386. </w:t>
      </w:r>
      <w:proofErr w:type="spellStart"/>
      <w:r w:rsidR="00416CA0">
        <w:rPr>
          <w:lang w:val="en-NZ"/>
        </w:rPr>
        <w:t>d</w:t>
      </w:r>
      <w:r>
        <w:rPr>
          <w:lang w:val="en-NZ"/>
        </w:rPr>
        <w:t>oi</w:t>
      </w:r>
      <w:proofErr w:type="spellEnd"/>
      <w:r>
        <w:rPr>
          <w:lang w:val="en-NZ"/>
        </w:rPr>
        <w:t>: 10.1136/jech.2008.086520.</w:t>
      </w:r>
    </w:p>
  </w:endnote>
  <w:endnote w:id="27">
    <w:p w:rsidR="00803341" w:rsidRPr="00803341" w:rsidRDefault="00803341">
      <w:pPr>
        <w:pStyle w:val="EndnoteText"/>
        <w:rPr>
          <w:lang w:val="en-NZ"/>
        </w:rPr>
      </w:pPr>
      <w:r>
        <w:rPr>
          <w:rStyle w:val="EndnoteReference"/>
        </w:rPr>
        <w:endnoteRef/>
      </w:r>
      <w:r>
        <w:t xml:space="preserve"> </w:t>
      </w:r>
      <w:r>
        <w:rPr>
          <w:lang w:val="en-NZ"/>
        </w:rPr>
        <w:t xml:space="preserve">Howden-Chapman P, Crane J, Chapman R, </w:t>
      </w:r>
      <w:proofErr w:type="spellStart"/>
      <w:r>
        <w:rPr>
          <w:lang w:val="en-NZ"/>
        </w:rPr>
        <w:t>Fougere</w:t>
      </w:r>
      <w:proofErr w:type="spellEnd"/>
      <w:r>
        <w:rPr>
          <w:lang w:val="en-NZ"/>
        </w:rPr>
        <w:t xml:space="preserve"> G. Improving health and energy efficiency through community-based housing interventions. </w:t>
      </w:r>
      <w:r>
        <w:rPr>
          <w:i/>
          <w:lang w:val="en-NZ"/>
        </w:rPr>
        <w:t xml:space="preserve">International Journal of Public Health. </w:t>
      </w:r>
      <w:r>
        <w:rPr>
          <w:lang w:val="en-NZ"/>
        </w:rPr>
        <w:t>56(6), 2011: 583-588.</w:t>
      </w:r>
    </w:p>
  </w:endnote>
  <w:endnote w:id="28">
    <w:p w:rsidR="009679AD" w:rsidRPr="009679AD" w:rsidRDefault="009679AD">
      <w:pPr>
        <w:pStyle w:val="EndnoteText"/>
        <w:rPr>
          <w:lang w:val="en-NZ"/>
        </w:rPr>
      </w:pPr>
      <w:r>
        <w:rPr>
          <w:rStyle w:val="EndnoteReference"/>
        </w:rPr>
        <w:endnoteRef/>
      </w:r>
      <w:r>
        <w:t xml:space="preserve"> </w:t>
      </w:r>
      <w:proofErr w:type="spellStart"/>
      <w:r>
        <w:rPr>
          <w:lang w:val="en-NZ"/>
        </w:rPr>
        <w:t>Keall</w:t>
      </w:r>
      <w:proofErr w:type="spellEnd"/>
      <w:r>
        <w:rPr>
          <w:lang w:val="en-NZ"/>
        </w:rPr>
        <w:t xml:space="preserve"> M, Pierse N, Howden-Chapman P, Cunningham C, Cunningham M, </w:t>
      </w:r>
      <w:proofErr w:type="spellStart"/>
      <w:r>
        <w:rPr>
          <w:lang w:val="en-NZ"/>
        </w:rPr>
        <w:t>Guria</w:t>
      </w:r>
      <w:proofErr w:type="spellEnd"/>
      <w:r>
        <w:rPr>
          <w:lang w:val="en-NZ"/>
        </w:rPr>
        <w:t xml:space="preserve"> J, et al. Home modifications to reduce injuries from falls in the Home Injury Prevention (HIPI) Study: A cluster-randomised controlled trial. </w:t>
      </w:r>
      <w:r>
        <w:rPr>
          <w:i/>
          <w:lang w:val="en-NZ"/>
        </w:rPr>
        <w:t xml:space="preserve">Lancet. </w:t>
      </w:r>
      <w:r>
        <w:rPr>
          <w:lang w:val="en-NZ"/>
        </w:rPr>
        <w:t>385(9964), 2015: 231-238.</w:t>
      </w:r>
    </w:p>
  </w:endnote>
  <w:endnote w:id="29">
    <w:p w:rsidR="00D352F2" w:rsidRPr="00D352F2" w:rsidRDefault="00D352F2">
      <w:pPr>
        <w:pStyle w:val="EndnoteText"/>
        <w:rPr>
          <w:lang w:val="en-NZ"/>
        </w:rPr>
      </w:pPr>
      <w:r>
        <w:rPr>
          <w:rStyle w:val="EndnoteReference"/>
        </w:rPr>
        <w:endnoteRef/>
      </w:r>
      <w:r>
        <w:t xml:space="preserve"> </w:t>
      </w:r>
      <w:proofErr w:type="spellStart"/>
      <w:r>
        <w:rPr>
          <w:lang w:val="en-NZ"/>
        </w:rPr>
        <w:t>Keall</w:t>
      </w:r>
      <w:proofErr w:type="spellEnd"/>
      <w:r>
        <w:rPr>
          <w:lang w:val="en-NZ"/>
        </w:rPr>
        <w:t xml:space="preserve"> M, Crane J, Baker M, et al. A measure for quantifying the impact of housing quality on respiratory health: A cross-sectional study. </w:t>
      </w:r>
      <w:r>
        <w:rPr>
          <w:i/>
          <w:lang w:val="en-NZ"/>
        </w:rPr>
        <w:t xml:space="preserve">Environmental Health. </w:t>
      </w:r>
      <w:r>
        <w:rPr>
          <w:lang w:val="en-NZ"/>
        </w:rPr>
        <w:t>11, 2012: 33.</w:t>
      </w:r>
    </w:p>
  </w:endnote>
  <w:endnote w:id="30">
    <w:p w:rsidR="00F26466" w:rsidRPr="00F26466" w:rsidRDefault="00F26466">
      <w:pPr>
        <w:pStyle w:val="EndnoteText"/>
        <w:rPr>
          <w:lang w:val="en-NZ"/>
        </w:rPr>
      </w:pPr>
      <w:r>
        <w:rPr>
          <w:rStyle w:val="EndnoteReference"/>
        </w:rPr>
        <w:endnoteRef/>
      </w:r>
      <w:r>
        <w:t xml:space="preserve"> </w:t>
      </w:r>
      <w:r>
        <w:rPr>
          <w:lang w:val="en-NZ"/>
        </w:rPr>
        <w:t xml:space="preserve">O’Sullivan K, </w:t>
      </w:r>
      <w:proofErr w:type="spellStart"/>
      <w:r>
        <w:rPr>
          <w:lang w:val="en-NZ"/>
        </w:rPr>
        <w:t>Telfar</w:t>
      </w:r>
      <w:proofErr w:type="spellEnd"/>
      <w:r>
        <w:rPr>
          <w:lang w:val="en-NZ"/>
        </w:rPr>
        <w:t xml:space="preserve">-Barnard L, </w:t>
      </w:r>
      <w:proofErr w:type="spellStart"/>
      <w:r>
        <w:rPr>
          <w:lang w:val="en-NZ"/>
        </w:rPr>
        <w:t>Viggers</w:t>
      </w:r>
      <w:proofErr w:type="spellEnd"/>
      <w:r>
        <w:rPr>
          <w:lang w:val="en-NZ"/>
        </w:rPr>
        <w:t xml:space="preserve"> H, Howden-Chapman P. Child and youth fuel poverty: assessing the known and unknown. </w:t>
      </w:r>
      <w:r>
        <w:rPr>
          <w:i/>
          <w:lang w:val="en-NZ"/>
        </w:rPr>
        <w:t xml:space="preserve">People, Place and Policy. </w:t>
      </w:r>
      <w:r>
        <w:rPr>
          <w:lang w:val="en-NZ"/>
        </w:rPr>
        <w:t>10(1), 2016.</w:t>
      </w:r>
    </w:p>
  </w:endnote>
  <w:endnote w:id="31">
    <w:p w:rsidR="00C0113D" w:rsidRPr="00C0113D" w:rsidRDefault="00C0113D">
      <w:pPr>
        <w:pStyle w:val="EndnoteText"/>
        <w:rPr>
          <w:lang w:val="en-NZ"/>
        </w:rPr>
      </w:pPr>
      <w:r>
        <w:rPr>
          <w:rStyle w:val="EndnoteReference"/>
        </w:rPr>
        <w:endnoteRef/>
      </w:r>
      <w:r>
        <w:t xml:space="preserve"> </w:t>
      </w:r>
      <w:r>
        <w:rPr>
          <w:lang w:val="en-NZ"/>
        </w:rPr>
        <w:t xml:space="preserve">Bhattacharya J, </w:t>
      </w:r>
      <w:proofErr w:type="spellStart"/>
      <w:r>
        <w:rPr>
          <w:lang w:val="en-NZ"/>
        </w:rPr>
        <w:t>Deleire</w:t>
      </w:r>
      <w:proofErr w:type="spellEnd"/>
      <w:r>
        <w:rPr>
          <w:lang w:val="en-NZ"/>
        </w:rPr>
        <w:t xml:space="preserve"> T, </w:t>
      </w:r>
      <w:proofErr w:type="spellStart"/>
      <w:r>
        <w:rPr>
          <w:lang w:val="en-NZ"/>
        </w:rPr>
        <w:t>Haider</w:t>
      </w:r>
      <w:proofErr w:type="spellEnd"/>
      <w:r>
        <w:rPr>
          <w:lang w:val="en-NZ"/>
        </w:rPr>
        <w:t xml:space="preserve"> S, Currie J. Heat or Eat? Cold-Weather Shocks and Nutrition in Poor American Families. </w:t>
      </w:r>
      <w:r>
        <w:rPr>
          <w:i/>
          <w:lang w:val="en-NZ"/>
        </w:rPr>
        <w:t xml:space="preserve">American Journal of Public Health. </w:t>
      </w:r>
      <w:r>
        <w:rPr>
          <w:lang w:val="en-NZ"/>
        </w:rPr>
        <w:t>93, 2003: 1149-1154.</w:t>
      </w:r>
    </w:p>
  </w:endnote>
  <w:endnote w:id="32">
    <w:p w:rsidR="00311A20" w:rsidRPr="00311A20" w:rsidRDefault="00311A20">
      <w:pPr>
        <w:pStyle w:val="EndnoteText"/>
        <w:rPr>
          <w:lang w:val="en-NZ"/>
        </w:rPr>
      </w:pPr>
      <w:r>
        <w:rPr>
          <w:rStyle w:val="EndnoteReference"/>
        </w:rPr>
        <w:endnoteRef/>
      </w:r>
      <w:r>
        <w:t xml:space="preserve"> </w:t>
      </w:r>
      <w:r>
        <w:rPr>
          <w:lang w:val="en-NZ"/>
        </w:rPr>
        <w:t xml:space="preserve">Frank D, </w:t>
      </w:r>
      <w:proofErr w:type="spellStart"/>
      <w:r>
        <w:rPr>
          <w:lang w:val="en-NZ"/>
        </w:rPr>
        <w:t>Neault</w:t>
      </w:r>
      <w:proofErr w:type="spellEnd"/>
      <w:r>
        <w:rPr>
          <w:lang w:val="en-NZ"/>
        </w:rPr>
        <w:t xml:space="preserve"> N, </w:t>
      </w:r>
      <w:proofErr w:type="spellStart"/>
      <w:r>
        <w:rPr>
          <w:lang w:val="en-NZ"/>
        </w:rPr>
        <w:t>Skalicky</w:t>
      </w:r>
      <w:proofErr w:type="spellEnd"/>
      <w:r>
        <w:rPr>
          <w:lang w:val="en-NZ"/>
        </w:rPr>
        <w:t xml:space="preserve"> A, Cook J, Wilson J, </w:t>
      </w:r>
      <w:proofErr w:type="spellStart"/>
      <w:r>
        <w:rPr>
          <w:lang w:val="en-NZ"/>
        </w:rPr>
        <w:t>Levenson</w:t>
      </w:r>
      <w:proofErr w:type="spellEnd"/>
      <w:r>
        <w:rPr>
          <w:lang w:val="en-NZ"/>
        </w:rPr>
        <w:t xml:space="preserve"> S, Meyers A, </w:t>
      </w:r>
      <w:proofErr w:type="spellStart"/>
      <w:r>
        <w:rPr>
          <w:lang w:val="en-NZ"/>
        </w:rPr>
        <w:t>Heeren</w:t>
      </w:r>
      <w:proofErr w:type="spellEnd"/>
      <w:r>
        <w:rPr>
          <w:lang w:val="en-NZ"/>
        </w:rPr>
        <w:t xml:space="preserve"> T, </w:t>
      </w:r>
      <w:proofErr w:type="spellStart"/>
      <w:r>
        <w:rPr>
          <w:lang w:val="en-NZ"/>
        </w:rPr>
        <w:t>Cutts</w:t>
      </w:r>
      <w:proofErr w:type="spellEnd"/>
      <w:r>
        <w:rPr>
          <w:lang w:val="en-NZ"/>
        </w:rPr>
        <w:t xml:space="preserve"> D, Casey P, Black M, Berkowitz C. Heat or Eat: The Low Income Home Energy Assistance Program and Nutritional and Health Risks Among Children Less than 3 Years of Age. </w:t>
      </w:r>
      <w:proofErr w:type="spellStart"/>
      <w:r>
        <w:rPr>
          <w:i/>
          <w:lang w:val="en-NZ"/>
        </w:rPr>
        <w:t>Pediatrics</w:t>
      </w:r>
      <w:proofErr w:type="spellEnd"/>
      <w:r>
        <w:rPr>
          <w:i/>
          <w:lang w:val="en-NZ"/>
        </w:rPr>
        <w:t xml:space="preserve">. </w:t>
      </w:r>
      <w:r>
        <w:rPr>
          <w:lang w:val="en-NZ"/>
        </w:rPr>
        <w:t>118. E1293-e1302.</w:t>
      </w:r>
    </w:p>
  </w:endnote>
  <w:endnote w:id="33">
    <w:p w:rsidR="00903D86" w:rsidRPr="00903D86" w:rsidRDefault="00903D86">
      <w:pPr>
        <w:pStyle w:val="EndnoteText"/>
        <w:rPr>
          <w:lang w:val="en-NZ"/>
        </w:rPr>
      </w:pPr>
      <w:r>
        <w:rPr>
          <w:rStyle w:val="EndnoteReference"/>
        </w:rPr>
        <w:endnoteRef/>
      </w:r>
      <w:r>
        <w:t xml:space="preserve"> </w:t>
      </w:r>
      <w:r>
        <w:rPr>
          <w:lang w:val="en-NZ"/>
        </w:rPr>
        <w:t xml:space="preserve">Cook J, Frank D, Casey P, Rose-Jacobs R, Black M, Chilton M, </w:t>
      </w:r>
      <w:proofErr w:type="spellStart"/>
      <w:r>
        <w:rPr>
          <w:lang w:val="en-NZ"/>
        </w:rPr>
        <w:t>Decuba</w:t>
      </w:r>
      <w:proofErr w:type="spellEnd"/>
      <w:r>
        <w:rPr>
          <w:lang w:val="en-NZ"/>
        </w:rPr>
        <w:t xml:space="preserve"> S, </w:t>
      </w:r>
      <w:proofErr w:type="spellStart"/>
      <w:r>
        <w:rPr>
          <w:lang w:val="en-NZ"/>
        </w:rPr>
        <w:t>Appugliese</w:t>
      </w:r>
      <w:proofErr w:type="spellEnd"/>
      <w:r>
        <w:rPr>
          <w:lang w:val="en-NZ"/>
        </w:rPr>
        <w:t xml:space="preserve"> D, Coleman D, </w:t>
      </w:r>
      <w:proofErr w:type="spellStart"/>
      <w:r>
        <w:rPr>
          <w:lang w:val="en-NZ"/>
        </w:rPr>
        <w:t>Heeren</w:t>
      </w:r>
      <w:proofErr w:type="spellEnd"/>
      <w:r>
        <w:rPr>
          <w:lang w:val="en-NZ"/>
        </w:rPr>
        <w:t xml:space="preserve"> T, Berkowitz C, </w:t>
      </w:r>
      <w:proofErr w:type="spellStart"/>
      <w:r>
        <w:rPr>
          <w:lang w:val="en-NZ"/>
        </w:rPr>
        <w:t>Cutts</w:t>
      </w:r>
      <w:proofErr w:type="spellEnd"/>
      <w:r>
        <w:rPr>
          <w:lang w:val="en-NZ"/>
        </w:rPr>
        <w:t xml:space="preserve"> D. A Brief Indicator of Household Energy Security: Associations with Food Security, Child Health, and Child Development in US Infants and Toddlers. </w:t>
      </w:r>
      <w:proofErr w:type="spellStart"/>
      <w:r>
        <w:rPr>
          <w:i/>
          <w:lang w:val="en-NZ"/>
        </w:rPr>
        <w:t>Pediatrics</w:t>
      </w:r>
      <w:proofErr w:type="spellEnd"/>
      <w:r>
        <w:rPr>
          <w:i/>
          <w:lang w:val="en-NZ"/>
        </w:rPr>
        <w:t xml:space="preserve">. </w:t>
      </w:r>
      <w:r>
        <w:rPr>
          <w:lang w:val="en-NZ"/>
        </w:rPr>
        <w:t>122, e867-e875.</w:t>
      </w:r>
    </w:p>
  </w:endnote>
  <w:endnote w:id="34">
    <w:p w:rsidR="004C43C5" w:rsidRPr="004C43C5" w:rsidRDefault="004C43C5">
      <w:pPr>
        <w:pStyle w:val="EndnoteText"/>
        <w:rPr>
          <w:lang w:val="en-NZ"/>
        </w:rPr>
      </w:pPr>
      <w:r>
        <w:rPr>
          <w:rStyle w:val="EndnoteReference"/>
        </w:rPr>
        <w:endnoteRef/>
      </w:r>
      <w:r>
        <w:t xml:space="preserve"> </w:t>
      </w:r>
      <w:r>
        <w:rPr>
          <w:lang w:val="en-NZ"/>
        </w:rPr>
        <w:t xml:space="preserve">Liddell C, Morris C. Fuel poverty and human health: A review of recent evidence. </w:t>
      </w:r>
      <w:r>
        <w:rPr>
          <w:i/>
          <w:lang w:val="en-NZ"/>
        </w:rPr>
        <w:t xml:space="preserve">Energy Policy. </w:t>
      </w:r>
      <w:r>
        <w:rPr>
          <w:lang w:val="en-NZ"/>
        </w:rPr>
        <w:t>38: 2987-2997.</w:t>
      </w:r>
    </w:p>
  </w:endnote>
  <w:endnote w:id="35">
    <w:p w:rsidR="00727E87" w:rsidRPr="00727E87" w:rsidRDefault="00727E87">
      <w:pPr>
        <w:pStyle w:val="EndnoteText"/>
        <w:rPr>
          <w:lang w:val="en-NZ"/>
        </w:rPr>
      </w:pPr>
      <w:r>
        <w:rPr>
          <w:rStyle w:val="EndnoteReference"/>
        </w:rPr>
        <w:endnoteRef/>
      </w:r>
      <w:r>
        <w:t xml:space="preserve"> </w:t>
      </w:r>
      <w:r w:rsidRPr="00727E87">
        <w:rPr>
          <w:lang w:val="en-NZ"/>
        </w:rPr>
        <w:t xml:space="preserve">Perry, Bryan. </w:t>
      </w:r>
      <w:r w:rsidRPr="00727E87">
        <w:rPr>
          <w:i/>
          <w:lang w:val="en-NZ"/>
        </w:rPr>
        <w:t xml:space="preserve">Household Incomes in New Zealand; Trends in Indicators of Inequality and Hardship. </w:t>
      </w:r>
      <w:r w:rsidRPr="00727E87">
        <w:rPr>
          <w:lang w:val="en-NZ"/>
        </w:rPr>
        <w:t>Wellington (NZ): Ministry of Social Development, 2014</w:t>
      </w:r>
    </w:p>
  </w:endnote>
  <w:endnote w:id="36">
    <w:p w:rsidR="00727E87" w:rsidRPr="00727E87" w:rsidRDefault="00727E87">
      <w:pPr>
        <w:pStyle w:val="EndnoteText"/>
        <w:rPr>
          <w:lang w:val="en-NZ"/>
        </w:rPr>
      </w:pPr>
      <w:r>
        <w:rPr>
          <w:rStyle w:val="EndnoteReference"/>
        </w:rPr>
        <w:endnoteRef/>
      </w:r>
      <w:r>
        <w:t xml:space="preserve"> </w:t>
      </w:r>
      <w:r w:rsidRPr="00727E87">
        <w:t>C</w:t>
      </w:r>
      <w:r>
        <w:t xml:space="preserve">hild </w:t>
      </w:r>
      <w:r w:rsidRPr="00727E87">
        <w:t>P</w:t>
      </w:r>
      <w:r>
        <w:t xml:space="preserve">overty </w:t>
      </w:r>
      <w:r w:rsidRPr="00727E87">
        <w:t>A</w:t>
      </w:r>
      <w:r>
        <w:t xml:space="preserve">ction </w:t>
      </w:r>
      <w:r w:rsidRPr="00727E87">
        <w:t>G</w:t>
      </w:r>
      <w:r>
        <w:t xml:space="preserve">roup, </w:t>
      </w:r>
      <w:r w:rsidRPr="00727E87">
        <w:t>Housing Briefing Paper</w:t>
      </w:r>
      <w:r>
        <w:t>, 2015</w:t>
      </w:r>
      <w:r w:rsidRPr="00727E87">
        <w:t xml:space="preserve"> http://www.cpag.org.nz/assets/Housing%20briefing%20paper%20-%20May15%20CPAG.pdf</w:t>
      </w:r>
    </w:p>
  </w:endnote>
  <w:endnote w:id="37">
    <w:p w:rsidR="00727E87" w:rsidRPr="00727E87" w:rsidRDefault="00727E87">
      <w:pPr>
        <w:pStyle w:val="EndnoteText"/>
        <w:rPr>
          <w:lang w:val="en-NZ"/>
        </w:rPr>
      </w:pPr>
      <w:r>
        <w:rPr>
          <w:rStyle w:val="EndnoteReference"/>
        </w:rPr>
        <w:endnoteRef/>
      </w:r>
      <w:r>
        <w:t xml:space="preserve"> </w:t>
      </w:r>
      <w:r w:rsidRPr="00727E87">
        <w:t>Child Poverty Action Group, Housing Briefing Paper, 2015 http://www.cpag.org.nz/assets/Housing%20briefing%20paper%20-%20May15%20CPAG.pdf</w:t>
      </w:r>
    </w:p>
  </w:endnote>
  <w:endnote w:id="38">
    <w:p w:rsidR="00FE05ED" w:rsidRPr="0015505B" w:rsidRDefault="00FE05ED">
      <w:pPr>
        <w:pStyle w:val="EndnoteText"/>
        <w:rPr>
          <w:i/>
          <w:lang w:val="en-NZ"/>
        </w:rPr>
      </w:pPr>
      <w:r>
        <w:rPr>
          <w:rStyle w:val="EndnoteReference"/>
        </w:rPr>
        <w:endnoteRef/>
      </w:r>
      <w:r>
        <w:t xml:space="preserve"> </w:t>
      </w:r>
      <w:r w:rsidRPr="00DB1A7F">
        <w:rPr>
          <w:lang w:val="en-NZ"/>
        </w:rPr>
        <w:t xml:space="preserve">Amore K, </w:t>
      </w:r>
      <w:proofErr w:type="spellStart"/>
      <w:r w:rsidRPr="00DB1A7F">
        <w:rPr>
          <w:lang w:val="en-NZ"/>
        </w:rPr>
        <w:t>Viggers</w:t>
      </w:r>
      <w:proofErr w:type="spellEnd"/>
      <w:r w:rsidRPr="00DB1A7F">
        <w:rPr>
          <w:lang w:val="en-NZ"/>
        </w:rPr>
        <w:t xml:space="preserve"> H, Baker M, Howden-Chapman P. </w:t>
      </w:r>
      <w:r w:rsidRPr="00DB1A7F">
        <w:rPr>
          <w:i/>
          <w:lang w:val="en-NZ"/>
        </w:rPr>
        <w:t xml:space="preserve">Severe Housing Deprivation: The problem and its measurement. </w:t>
      </w:r>
      <w:r w:rsidRPr="00DB1A7F">
        <w:rPr>
          <w:lang w:val="en-NZ"/>
        </w:rPr>
        <w:t>Wellington (NZ): Statistics New Zealand, 2013.</w:t>
      </w:r>
      <w:r w:rsidR="0015505B" w:rsidRPr="00DB1A7F">
        <w:rPr>
          <w:i/>
          <w:lang w:val="en-NZ"/>
        </w:rPr>
        <w:t>duplicate of iii</w:t>
      </w:r>
    </w:p>
  </w:endnote>
  <w:endnote w:id="39">
    <w:p w:rsidR="006A138F" w:rsidRPr="00F03A1B" w:rsidRDefault="006A138F" w:rsidP="006A138F">
      <w:pPr>
        <w:pStyle w:val="EndnoteText"/>
        <w:rPr>
          <w:lang w:val="en-NZ"/>
        </w:rPr>
      </w:pPr>
      <w:r>
        <w:rPr>
          <w:rStyle w:val="EndnoteReference"/>
        </w:rPr>
        <w:endnoteRef/>
      </w:r>
      <w:r>
        <w:t xml:space="preserve"> </w:t>
      </w:r>
      <w:r>
        <w:rPr>
          <w:lang w:val="en-NZ"/>
        </w:rPr>
        <w:t xml:space="preserve">Howden-Chapman P, </w:t>
      </w:r>
      <w:r>
        <w:rPr>
          <w:i/>
          <w:lang w:val="en-NZ"/>
        </w:rPr>
        <w:t xml:space="preserve">Home Truths: Confronting New Zealand’s Housing Crisis. </w:t>
      </w:r>
      <w:r>
        <w:rPr>
          <w:lang w:val="en-NZ"/>
        </w:rPr>
        <w:t xml:space="preserve">Wellington (NZ), Bridget Williams Books, 2015, endnote 35, p. 97, from K Amore, </w:t>
      </w:r>
      <w:r>
        <w:rPr>
          <w:i/>
          <w:lang w:val="en-NZ"/>
        </w:rPr>
        <w:t xml:space="preserve">Severe Housing Deprivation 2001-2013, </w:t>
      </w:r>
      <w:r>
        <w:rPr>
          <w:lang w:val="en-NZ"/>
        </w:rPr>
        <w:t xml:space="preserve">He </w:t>
      </w:r>
      <w:proofErr w:type="spellStart"/>
      <w:r>
        <w:rPr>
          <w:lang w:val="en-NZ"/>
        </w:rPr>
        <w:t>Kainga</w:t>
      </w:r>
      <w:proofErr w:type="spellEnd"/>
      <w:r>
        <w:rPr>
          <w:lang w:val="en-NZ"/>
        </w:rPr>
        <w:t xml:space="preserve"> </w:t>
      </w:r>
      <w:proofErr w:type="spellStart"/>
      <w:r>
        <w:rPr>
          <w:lang w:val="en-NZ"/>
        </w:rPr>
        <w:t>Oranga</w:t>
      </w:r>
      <w:proofErr w:type="spellEnd"/>
      <w:r>
        <w:rPr>
          <w:lang w:val="en-NZ"/>
        </w:rPr>
        <w:t>/Housing and Health Research Programme, Wellington, forthcoming.</w:t>
      </w:r>
    </w:p>
  </w:endnote>
  <w:endnote w:id="40">
    <w:p w:rsidR="00727E87" w:rsidRPr="00727E87" w:rsidRDefault="00727E87">
      <w:pPr>
        <w:pStyle w:val="EndnoteText"/>
        <w:rPr>
          <w:lang w:val="en-NZ"/>
        </w:rPr>
      </w:pPr>
      <w:r>
        <w:rPr>
          <w:rStyle w:val="EndnoteReference"/>
        </w:rPr>
        <w:endnoteRef/>
      </w:r>
      <w:r>
        <w:t xml:space="preserve"> </w:t>
      </w:r>
      <w:r w:rsidRPr="00727E87">
        <w:rPr>
          <w:lang w:val="en-NZ"/>
        </w:rPr>
        <w:t xml:space="preserve">Ministry of Health. 2014. </w:t>
      </w:r>
      <w:r w:rsidRPr="00727E87">
        <w:rPr>
          <w:i/>
          <w:lang w:val="en-NZ"/>
        </w:rPr>
        <w:t>Analysis of Household Crowding based on Census 2013 data</w:t>
      </w:r>
      <w:r w:rsidRPr="00727E87">
        <w:rPr>
          <w:lang w:val="en-NZ"/>
        </w:rPr>
        <w:t>. Wellington: Ministry of Health, p vi http://www.health.govt.nz/publication/analysis-household-crowding-based-census-2013-data</w:t>
      </w:r>
    </w:p>
  </w:endnote>
  <w:endnote w:id="41">
    <w:p w:rsidR="00727E87" w:rsidRPr="00727E87" w:rsidRDefault="00727E87">
      <w:pPr>
        <w:pStyle w:val="EndnoteText"/>
        <w:rPr>
          <w:lang w:val="en-NZ"/>
        </w:rPr>
      </w:pPr>
      <w:r>
        <w:rPr>
          <w:rStyle w:val="EndnoteReference"/>
        </w:rPr>
        <w:endnoteRef/>
      </w:r>
      <w:r>
        <w:t xml:space="preserve"> </w:t>
      </w:r>
      <w:r w:rsidRPr="00727E87">
        <w:t xml:space="preserve">Danish Institute for Human Rights, </w:t>
      </w:r>
      <w:r w:rsidRPr="00727E87">
        <w:rPr>
          <w:lang w:val="en-AU"/>
        </w:rPr>
        <w:t>http://www.humanrights.dk/our-work/sustainable-development/human-rights-sdgs</w:t>
      </w:r>
    </w:p>
  </w:endnote>
  <w:endnote w:id="42">
    <w:p w:rsidR="00727E87" w:rsidRPr="00727E87" w:rsidRDefault="00727E87">
      <w:pPr>
        <w:pStyle w:val="EndnoteText"/>
        <w:rPr>
          <w:lang w:val="en-NZ"/>
        </w:rPr>
      </w:pPr>
      <w:r>
        <w:rPr>
          <w:rStyle w:val="EndnoteReference"/>
        </w:rPr>
        <w:endnoteRef/>
      </w:r>
      <w:r>
        <w:t xml:space="preserve"> </w:t>
      </w:r>
      <w:r w:rsidRPr="00727E87">
        <w:t xml:space="preserve">UN Committee on Economic, Social and Cultural Rights (CESCR), </w:t>
      </w:r>
      <w:r w:rsidRPr="00727E87">
        <w:rPr>
          <w:i/>
          <w:iCs/>
        </w:rPr>
        <w:t>General Comment No. 4: The Right to Adequate Housing (Art. 11 (1) of the Covenant)</w:t>
      </w:r>
      <w:r w:rsidRPr="00727E87">
        <w:t>, 13 December 1991, E/1992/23, available at: http://www.refworld.org/docid/47a7079a1.html [accessed 16 August 2016]</w:t>
      </w:r>
      <w:r>
        <w:t>, para 8</w:t>
      </w:r>
    </w:p>
  </w:endnote>
  <w:endnote w:id="43">
    <w:p w:rsidR="00727E87" w:rsidRPr="00727E87" w:rsidRDefault="00727E87">
      <w:pPr>
        <w:pStyle w:val="EndnoteText"/>
        <w:rPr>
          <w:lang w:val="en-NZ"/>
        </w:rPr>
      </w:pPr>
      <w:r>
        <w:rPr>
          <w:rStyle w:val="EndnoteReference"/>
        </w:rPr>
        <w:endnoteRef/>
      </w:r>
      <w:r>
        <w:t xml:space="preserve"> </w:t>
      </w:r>
      <w:r w:rsidRPr="00727E87">
        <w:t>Speech of Minister Bennett - https://www.mfat.govt.nz/en/media-and-resources/ministry-statements-and-speeches/statement-on-achieving-sustainable-development-goals/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527563"/>
      <w:docPartObj>
        <w:docPartGallery w:val="Page Numbers (Bottom of Page)"/>
        <w:docPartUnique/>
      </w:docPartObj>
    </w:sdtPr>
    <w:sdtEndPr>
      <w:rPr>
        <w:noProof/>
      </w:rPr>
    </w:sdtEndPr>
    <w:sdtContent>
      <w:p w:rsidR="007D2C75" w:rsidRDefault="007D2C75">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7222D2" w:rsidRDefault="0072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DDE" w:rsidRDefault="00361DDE" w:rsidP="00AB328D">
      <w:pPr>
        <w:spacing w:after="0" w:line="240" w:lineRule="auto"/>
      </w:pPr>
      <w:r>
        <w:separator/>
      </w:r>
    </w:p>
  </w:footnote>
  <w:footnote w:type="continuationSeparator" w:id="0">
    <w:p w:rsidR="00361DDE" w:rsidRDefault="00361DDE" w:rsidP="00AB32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6DED"/>
    <w:multiLevelType w:val="hybridMultilevel"/>
    <w:tmpl w:val="E2207442"/>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 w15:restartNumberingAfterBreak="0">
    <w:nsid w:val="0CC22EA2"/>
    <w:multiLevelType w:val="multilevel"/>
    <w:tmpl w:val="97121D50"/>
    <w:lvl w:ilvl="0">
      <w:start w:val="1"/>
      <w:numFmt w:val="decimal"/>
      <w:lvlText w:val="%1."/>
      <w:lvlJc w:val="left"/>
      <w:pPr>
        <w:ind w:left="720" w:hanging="360"/>
      </w:pPr>
      <w:rPr>
        <w:rFonts w:hint="default"/>
      </w:rPr>
    </w:lvl>
    <w:lvl w:ilvl="1">
      <w:start w:val="1"/>
      <w:numFmt w:val="upperLetter"/>
      <w:isLgl/>
      <w:lvlText w:val="%2."/>
      <w:lvlJc w:val="left"/>
      <w:pPr>
        <w:ind w:left="1095" w:hanging="375"/>
      </w:pPr>
      <w:rPr>
        <w:rFonts w:asciiTheme="minorHAnsi" w:eastAsiaTheme="minorHAnsi" w:hAnsiTheme="minorHAnsi" w:cstheme="minorBidi"/>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D3B3B76"/>
    <w:multiLevelType w:val="hybridMultilevel"/>
    <w:tmpl w:val="C764CE80"/>
    <w:lvl w:ilvl="0" w:tplc="8BA83266">
      <w:numFmt w:val="bullet"/>
      <w:lvlText w:val="-"/>
      <w:lvlJc w:val="left"/>
      <w:pPr>
        <w:ind w:left="1069" w:hanging="360"/>
      </w:pPr>
      <w:rPr>
        <w:rFonts w:ascii="Calibri" w:eastAsiaTheme="minorHAnsi" w:hAnsi="Calibri" w:cstheme="minorBidi" w:hint="default"/>
      </w:rPr>
    </w:lvl>
    <w:lvl w:ilvl="1" w:tplc="14090003" w:tentative="1">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3" w15:restartNumberingAfterBreak="0">
    <w:nsid w:val="1C813346"/>
    <w:multiLevelType w:val="hybridMultilevel"/>
    <w:tmpl w:val="86F6F7BE"/>
    <w:lvl w:ilvl="0" w:tplc="14090001">
      <w:start w:val="1"/>
      <w:numFmt w:val="bullet"/>
      <w:lvlText w:val=""/>
      <w:lvlJc w:val="left"/>
      <w:pPr>
        <w:ind w:left="1125" w:hanging="360"/>
      </w:pPr>
      <w:rPr>
        <w:rFonts w:ascii="Symbol" w:hAnsi="Symbol" w:hint="default"/>
      </w:rPr>
    </w:lvl>
    <w:lvl w:ilvl="1" w:tplc="14090003" w:tentative="1">
      <w:start w:val="1"/>
      <w:numFmt w:val="bullet"/>
      <w:lvlText w:val="o"/>
      <w:lvlJc w:val="left"/>
      <w:pPr>
        <w:ind w:left="1845" w:hanging="360"/>
      </w:pPr>
      <w:rPr>
        <w:rFonts w:ascii="Courier New" w:hAnsi="Courier New" w:cs="Courier New" w:hint="default"/>
      </w:rPr>
    </w:lvl>
    <w:lvl w:ilvl="2" w:tplc="14090005" w:tentative="1">
      <w:start w:val="1"/>
      <w:numFmt w:val="bullet"/>
      <w:lvlText w:val=""/>
      <w:lvlJc w:val="left"/>
      <w:pPr>
        <w:ind w:left="2565" w:hanging="360"/>
      </w:pPr>
      <w:rPr>
        <w:rFonts w:ascii="Wingdings" w:hAnsi="Wingdings" w:hint="default"/>
      </w:rPr>
    </w:lvl>
    <w:lvl w:ilvl="3" w:tplc="14090001" w:tentative="1">
      <w:start w:val="1"/>
      <w:numFmt w:val="bullet"/>
      <w:lvlText w:val=""/>
      <w:lvlJc w:val="left"/>
      <w:pPr>
        <w:ind w:left="3285" w:hanging="360"/>
      </w:pPr>
      <w:rPr>
        <w:rFonts w:ascii="Symbol" w:hAnsi="Symbol" w:hint="default"/>
      </w:rPr>
    </w:lvl>
    <w:lvl w:ilvl="4" w:tplc="14090003" w:tentative="1">
      <w:start w:val="1"/>
      <w:numFmt w:val="bullet"/>
      <w:lvlText w:val="o"/>
      <w:lvlJc w:val="left"/>
      <w:pPr>
        <w:ind w:left="4005" w:hanging="360"/>
      </w:pPr>
      <w:rPr>
        <w:rFonts w:ascii="Courier New" w:hAnsi="Courier New" w:cs="Courier New" w:hint="default"/>
      </w:rPr>
    </w:lvl>
    <w:lvl w:ilvl="5" w:tplc="14090005" w:tentative="1">
      <w:start w:val="1"/>
      <w:numFmt w:val="bullet"/>
      <w:lvlText w:val=""/>
      <w:lvlJc w:val="left"/>
      <w:pPr>
        <w:ind w:left="4725" w:hanging="360"/>
      </w:pPr>
      <w:rPr>
        <w:rFonts w:ascii="Wingdings" w:hAnsi="Wingdings" w:hint="default"/>
      </w:rPr>
    </w:lvl>
    <w:lvl w:ilvl="6" w:tplc="14090001" w:tentative="1">
      <w:start w:val="1"/>
      <w:numFmt w:val="bullet"/>
      <w:lvlText w:val=""/>
      <w:lvlJc w:val="left"/>
      <w:pPr>
        <w:ind w:left="5445" w:hanging="360"/>
      </w:pPr>
      <w:rPr>
        <w:rFonts w:ascii="Symbol" w:hAnsi="Symbol" w:hint="default"/>
      </w:rPr>
    </w:lvl>
    <w:lvl w:ilvl="7" w:tplc="14090003" w:tentative="1">
      <w:start w:val="1"/>
      <w:numFmt w:val="bullet"/>
      <w:lvlText w:val="o"/>
      <w:lvlJc w:val="left"/>
      <w:pPr>
        <w:ind w:left="6165" w:hanging="360"/>
      </w:pPr>
      <w:rPr>
        <w:rFonts w:ascii="Courier New" w:hAnsi="Courier New" w:cs="Courier New" w:hint="default"/>
      </w:rPr>
    </w:lvl>
    <w:lvl w:ilvl="8" w:tplc="14090005" w:tentative="1">
      <w:start w:val="1"/>
      <w:numFmt w:val="bullet"/>
      <w:lvlText w:val=""/>
      <w:lvlJc w:val="left"/>
      <w:pPr>
        <w:ind w:left="6885" w:hanging="360"/>
      </w:pPr>
      <w:rPr>
        <w:rFonts w:ascii="Wingdings" w:hAnsi="Wingdings" w:hint="default"/>
      </w:rPr>
    </w:lvl>
  </w:abstractNum>
  <w:abstractNum w:abstractNumId="4" w15:restartNumberingAfterBreak="0">
    <w:nsid w:val="1D11468C"/>
    <w:multiLevelType w:val="hybridMultilevel"/>
    <w:tmpl w:val="819CBF34"/>
    <w:lvl w:ilvl="0" w:tplc="1409000F">
      <w:start w:val="2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13B3EC2"/>
    <w:multiLevelType w:val="hybridMultilevel"/>
    <w:tmpl w:val="CD08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820FC9"/>
    <w:multiLevelType w:val="hybridMultilevel"/>
    <w:tmpl w:val="A558B5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60D2B44"/>
    <w:multiLevelType w:val="hybridMultilevel"/>
    <w:tmpl w:val="8E9C6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BD7289"/>
    <w:multiLevelType w:val="hybridMultilevel"/>
    <w:tmpl w:val="C42C8234"/>
    <w:lvl w:ilvl="0" w:tplc="6DE2D1EC">
      <w:numFmt w:val="bullet"/>
      <w:lvlText w:val="-"/>
      <w:lvlJc w:val="left"/>
      <w:pPr>
        <w:ind w:left="1530" w:hanging="360"/>
      </w:pPr>
      <w:rPr>
        <w:rFonts w:ascii="Calibri" w:eastAsiaTheme="minorHAnsi" w:hAnsi="Calibri" w:cstheme="minorBidi" w:hint="default"/>
      </w:rPr>
    </w:lvl>
    <w:lvl w:ilvl="1" w:tplc="14090003" w:tentative="1">
      <w:start w:val="1"/>
      <w:numFmt w:val="bullet"/>
      <w:lvlText w:val="o"/>
      <w:lvlJc w:val="left"/>
      <w:pPr>
        <w:ind w:left="2250" w:hanging="360"/>
      </w:pPr>
      <w:rPr>
        <w:rFonts w:ascii="Courier New" w:hAnsi="Courier New" w:cs="Courier New" w:hint="default"/>
      </w:rPr>
    </w:lvl>
    <w:lvl w:ilvl="2" w:tplc="14090005" w:tentative="1">
      <w:start w:val="1"/>
      <w:numFmt w:val="bullet"/>
      <w:lvlText w:val=""/>
      <w:lvlJc w:val="left"/>
      <w:pPr>
        <w:ind w:left="2970" w:hanging="360"/>
      </w:pPr>
      <w:rPr>
        <w:rFonts w:ascii="Wingdings" w:hAnsi="Wingdings" w:hint="default"/>
      </w:rPr>
    </w:lvl>
    <w:lvl w:ilvl="3" w:tplc="14090001" w:tentative="1">
      <w:start w:val="1"/>
      <w:numFmt w:val="bullet"/>
      <w:lvlText w:val=""/>
      <w:lvlJc w:val="left"/>
      <w:pPr>
        <w:ind w:left="3690" w:hanging="360"/>
      </w:pPr>
      <w:rPr>
        <w:rFonts w:ascii="Symbol" w:hAnsi="Symbol" w:hint="default"/>
      </w:rPr>
    </w:lvl>
    <w:lvl w:ilvl="4" w:tplc="14090003" w:tentative="1">
      <w:start w:val="1"/>
      <w:numFmt w:val="bullet"/>
      <w:lvlText w:val="o"/>
      <w:lvlJc w:val="left"/>
      <w:pPr>
        <w:ind w:left="4410" w:hanging="360"/>
      </w:pPr>
      <w:rPr>
        <w:rFonts w:ascii="Courier New" w:hAnsi="Courier New" w:cs="Courier New" w:hint="default"/>
      </w:rPr>
    </w:lvl>
    <w:lvl w:ilvl="5" w:tplc="14090005" w:tentative="1">
      <w:start w:val="1"/>
      <w:numFmt w:val="bullet"/>
      <w:lvlText w:val=""/>
      <w:lvlJc w:val="left"/>
      <w:pPr>
        <w:ind w:left="5130" w:hanging="360"/>
      </w:pPr>
      <w:rPr>
        <w:rFonts w:ascii="Wingdings" w:hAnsi="Wingdings" w:hint="default"/>
      </w:rPr>
    </w:lvl>
    <w:lvl w:ilvl="6" w:tplc="14090001" w:tentative="1">
      <w:start w:val="1"/>
      <w:numFmt w:val="bullet"/>
      <w:lvlText w:val=""/>
      <w:lvlJc w:val="left"/>
      <w:pPr>
        <w:ind w:left="5850" w:hanging="360"/>
      </w:pPr>
      <w:rPr>
        <w:rFonts w:ascii="Symbol" w:hAnsi="Symbol" w:hint="default"/>
      </w:rPr>
    </w:lvl>
    <w:lvl w:ilvl="7" w:tplc="14090003" w:tentative="1">
      <w:start w:val="1"/>
      <w:numFmt w:val="bullet"/>
      <w:lvlText w:val="o"/>
      <w:lvlJc w:val="left"/>
      <w:pPr>
        <w:ind w:left="6570" w:hanging="360"/>
      </w:pPr>
      <w:rPr>
        <w:rFonts w:ascii="Courier New" w:hAnsi="Courier New" w:cs="Courier New" w:hint="default"/>
      </w:rPr>
    </w:lvl>
    <w:lvl w:ilvl="8" w:tplc="14090005" w:tentative="1">
      <w:start w:val="1"/>
      <w:numFmt w:val="bullet"/>
      <w:lvlText w:val=""/>
      <w:lvlJc w:val="left"/>
      <w:pPr>
        <w:ind w:left="7290" w:hanging="360"/>
      </w:pPr>
      <w:rPr>
        <w:rFonts w:ascii="Wingdings" w:hAnsi="Wingdings" w:hint="default"/>
      </w:rPr>
    </w:lvl>
  </w:abstractNum>
  <w:abstractNum w:abstractNumId="9" w15:restartNumberingAfterBreak="0">
    <w:nsid w:val="5BD709F2"/>
    <w:multiLevelType w:val="hybridMultilevel"/>
    <w:tmpl w:val="50BA5F5A"/>
    <w:lvl w:ilvl="0" w:tplc="F35A8172">
      <w:start w:val="1"/>
      <w:numFmt w:val="lowerRoman"/>
      <w:lvlText w:val="(%1)"/>
      <w:lvlJc w:val="left"/>
      <w:pPr>
        <w:ind w:left="1815" w:hanging="720"/>
      </w:pPr>
      <w:rPr>
        <w:rFonts w:hint="default"/>
        <w:b/>
      </w:rPr>
    </w:lvl>
    <w:lvl w:ilvl="1" w:tplc="14090019" w:tentative="1">
      <w:start w:val="1"/>
      <w:numFmt w:val="lowerLetter"/>
      <w:lvlText w:val="%2."/>
      <w:lvlJc w:val="left"/>
      <w:pPr>
        <w:ind w:left="2175" w:hanging="360"/>
      </w:pPr>
    </w:lvl>
    <w:lvl w:ilvl="2" w:tplc="1409001B" w:tentative="1">
      <w:start w:val="1"/>
      <w:numFmt w:val="lowerRoman"/>
      <w:lvlText w:val="%3."/>
      <w:lvlJc w:val="right"/>
      <w:pPr>
        <w:ind w:left="2895" w:hanging="180"/>
      </w:pPr>
    </w:lvl>
    <w:lvl w:ilvl="3" w:tplc="1409000F" w:tentative="1">
      <w:start w:val="1"/>
      <w:numFmt w:val="decimal"/>
      <w:lvlText w:val="%4."/>
      <w:lvlJc w:val="left"/>
      <w:pPr>
        <w:ind w:left="3615" w:hanging="360"/>
      </w:pPr>
    </w:lvl>
    <w:lvl w:ilvl="4" w:tplc="14090019" w:tentative="1">
      <w:start w:val="1"/>
      <w:numFmt w:val="lowerLetter"/>
      <w:lvlText w:val="%5."/>
      <w:lvlJc w:val="left"/>
      <w:pPr>
        <w:ind w:left="4335" w:hanging="360"/>
      </w:pPr>
    </w:lvl>
    <w:lvl w:ilvl="5" w:tplc="1409001B" w:tentative="1">
      <w:start w:val="1"/>
      <w:numFmt w:val="lowerRoman"/>
      <w:lvlText w:val="%6."/>
      <w:lvlJc w:val="right"/>
      <w:pPr>
        <w:ind w:left="5055" w:hanging="180"/>
      </w:pPr>
    </w:lvl>
    <w:lvl w:ilvl="6" w:tplc="1409000F" w:tentative="1">
      <w:start w:val="1"/>
      <w:numFmt w:val="decimal"/>
      <w:lvlText w:val="%7."/>
      <w:lvlJc w:val="left"/>
      <w:pPr>
        <w:ind w:left="5775" w:hanging="360"/>
      </w:pPr>
    </w:lvl>
    <w:lvl w:ilvl="7" w:tplc="14090019" w:tentative="1">
      <w:start w:val="1"/>
      <w:numFmt w:val="lowerLetter"/>
      <w:lvlText w:val="%8."/>
      <w:lvlJc w:val="left"/>
      <w:pPr>
        <w:ind w:left="6495" w:hanging="360"/>
      </w:pPr>
    </w:lvl>
    <w:lvl w:ilvl="8" w:tplc="1409001B" w:tentative="1">
      <w:start w:val="1"/>
      <w:numFmt w:val="lowerRoman"/>
      <w:lvlText w:val="%9."/>
      <w:lvlJc w:val="right"/>
      <w:pPr>
        <w:ind w:left="7215" w:hanging="180"/>
      </w:pPr>
    </w:lvl>
  </w:abstractNum>
  <w:abstractNum w:abstractNumId="10" w15:restartNumberingAfterBreak="0">
    <w:nsid w:val="64D05A33"/>
    <w:multiLevelType w:val="hybridMultilevel"/>
    <w:tmpl w:val="8B70E8F6"/>
    <w:lvl w:ilvl="0" w:tplc="CD90BD94">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A77467"/>
    <w:multiLevelType w:val="hybridMultilevel"/>
    <w:tmpl w:val="188C2170"/>
    <w:lvl w:ilvl="0" w:tplc="9602536E">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 w15:restartNumberingAfterBreak="0">
    <w:nsid w:val="769E5112"/>
    <w:multiLevelType w:val="hybridMultilevel"/>
    <w:tmpl w:val="E0687F66"/>
    <w:lvl w:ilvl="0" w:tplc="DEFAAF20">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3" w15:restartNumberingAfterBreak="0">
    <w:nsid w:val="79B44379"/>
    <w:multiLevelType w:val="hybridMultilevel"/>
    <w:tmpl w:val="4C12CB42"/>
    <w:lvl w:ilvl="0" w:tplc="C13CC3A8">
      <w:numFmt w:val="bullet"/>
      <w:lvlText w:val="-"/>
      <w:lvlJc w:val="left"/>
      <w:pPr>
        <w:ind w:left="1125" w:hanging="360"/>
      </w:pPr>
      <w:rPr>
        <w:rFonts w:ascii="Calibri" w:eastAsiaTheme="minorHAnsi" w:hAnsi="Calibri" w:cstheme="minorBidi" w:hint="default"/>
      </w:rPr>
    </w:lvl>
    <w:lvl w:ilvl="1" w:tplc="14090003" w:tentative="1">
      <w:start w:val="1"/>
      <w:numFmt w:val="bullet"/>
      <w:lvlText w:val="o"/>
      <w:lvlJc w:val="left"/>
      <w:pPr>
        <w:ind w:left="1845" w:hanging="360"/>
      </w:pPr>
      <w:rPr>
        <w:rFonts w:ascii="Courier New" w:hAnsi="Courier New" w:cs="Courier New" w:hint="default"/>
      </w:rPr>
    </w:lvl>
    <w:lvl w:ilvl="2" w:tplc="14090005" w:tentative="1">
      <w:start w:val="1"/>
      <w:numFmt w:val="bullet"/>
      <w:lvlText w:val=""/>
      <w:lvlJc w:val="left"/>
      <w:pPr>
        <w:ind w:left="2565" w:hanging="360"/>
      </w:pPr>
      <w:rPr>
        <w:rFonts w:ascii="Wingdings" w:hAnsi="Wingdings" w:hint="default"/>
      </w:rPr>
    </w:lvl>
    <w:lvl w:ilvl="3" w:tplc="14090001" w:tentative="1">
      <w:start w:val="1"/>
      <w:numFmt w:val="bullet"/>
      <w:lvlText w:val=""/>
      <w:lvlJc w:val="left"/>
      <w:pPr>
        <w:ind w:left="3285" w:hanging="360"/>
      </w:pPr>
      <w:rPr>
        <w:rFonts w:ascii="Symbol" w:hAnsi="Symbol" w:hint="default"/>
      </w:rPr>
    </w:lvl>
    <w:lvl w:ilvl="4" w:tplc="14090003" w:tentative="1">
      <w:start w:val="1"/>
      <w:numFmt w:val="bullet"/>
      <w:lvlText w:val="o"/>
      <w:lvlJc w:val="left"/>
      <w:pPr>
        <w:ind w:left="4005" w:hanging="360"/>
      </w:pPr>
      <w:rPr>
        <w:rFonts w:ascii="Courier New" w:hAnsi="Courier New" w:cs="Courier New" w:hint="default"/>
      </w:rPr>
    </w:lvl>
    <w:lvl w:ilvl="5" w:tplc="14090005" w:tentative="1">
      <w:start w:val="1"/>
      <w:numFmt w:val="bullet"/>
      <w:lvlText w:val=""/>
      <w:lvlJc w:val="left"/>
      <w:pPr>
        <w:ind w:left="4725" w:hanging="360"/>
      </w:pPr>
      <w:rPr>
        <w:rFonts w:ascii="Wingdings" w:hAnsi="Wingdings" w:hint="default"/>
      </w:rPr>
    </w:lvl>
    <w:lvl w:ilvl="6" w:tplc="14090001" w:tentative="1">
      <w:start w:val="1"/>
      <w:numFmt w:val="bullet"/>
      <w:lvlText w:val=""/>
      <w:lvlJc w:val="left"/>
      <w:pPr>
        <w:ind w:left="5445" w:hanging="360"/>
      </w:pPr>
      <w:rPr>
        <w:rFonts w:ascii="Symbol" w:hAnsi="Symbol" w:hint="default"/>
      </w:rPr>
    </w:lvl>
    <w:lvl w:ilvl="7" w:tplc="14090003" w:tentative="1">
      <w:start w:val="1"/>
      <w:numFmt w:val="bullet"/>
      <w:lvlText w:val="o"/>
      <w:lvlJc w:val="left"/>
      <w:pPr>
        <w:ind w:left="6165" w:hanging="360"/>
      </w:pPr>
      <w:rPr>
        <w:rFonts w:ascii="Courier New" w:hAnsi="Courier New" w:cs="Courier New" w:hint="default"/>
      </w:rPr>
    </w:lvl>
    <w:lvl w:ilvl="8" w:tplc="14090005" w:tentative="1">
      <w:start w:val="1"/>
      <w:numFmt w:val="bullet"/>
      <w:lvlText w:val=""/>
      <w:lvlJc w:val="left"/>
      <w:pPr>
        <w:ind w:left="6885" w:hanging="360"/>
      </w:pPr>
      <w:rPr>
        <w:rFonts w:ascii="Wingdings" w:hAnsi="Wingdings" w:hint="default"/>
      </w:rPr>
    </w:lvl>
  </w:abstractNum>
  <w:num w:numId="1">
    <w:abstractNumId w:val="10"/>
  </w:num>
  <w:num w:numId="2">
    <w:abstractNumId w:val="5"/>
  </w:num>
  <w:num w:numId="3">
    <w:abstractNumId w:val="7"/>
  </w:num>
  <w:num w:numId="4">
    <w:abstractNumId w:val="6"/>
  </w:num>
  <w:num w:numId="5">
    <w:abstractNumId w:val="0"/>
  </w:num>
  <w:num w:numId="6">
    <w:abstractNumId w:val="3"/>
  </w:num>
  <w:num w:numId="7">
    <w:abstractNumId w:val="2"/>
  </w:num>
  <w:num w:numId="8">
    <w:abstractNumId w:val="8"/>
  </w:num>
  <w:num w:numId="9">
    <w:abstractNumId w:val="13"/>
  </w:num>
  <w:num w:numId="10">
    <w:abstractNumId w:val="12"/>
  </w:num>
  <w:num w:numId="11">
    <w:abstractNumId w:val="1"/>
  </w:num>
  <w:num w:numId="12">
    <w:abstractNumId w:val="11"/>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4DB"/>
    <w:rsid w:val="00006DD9"/>
    <w:rsid w:val="00013D3E"/>
    <w:rsid w:val="000239EB"/>
    <w:rsid w:val="00024E43"/>
    <w:rsid w:val="00031E10"/>
    <w:rsid w:val="00045956"/>
    <w:rsid w:val="00054AAB"/>
    <w:rsid w:val="0005726B"/>
    <w:rsid w:val="00062228"/>
    <w:rsid w:val="00064835"/>
    <w:rsid w:val="00082847"/>
    <w:rsid w:val="000955E1"/>
    <w:rsid w:val="000A3FA2"/>
    <w:rsid w:val="000D0822"/>
    <w:rsid w:val="000D78BC"/>
    <w:rsid w:val="000E12F5"/>
    <w:rsid w:val="000E1959"/>
    <w:rsid w:val="00115A28"/>
    <w:rsid w:val="00142461"/>
    <w:rsid w:val="00144BC9"/>
    <w:rsid w:val="001464DB"/>
    <w:rsid w:val="0015505B"/>
    <w:rsid w:val="00166ABA"/>
    <w:rsid w:val="00185870"/>
    <w:rsid w:val="00185B14"/>
    <w:rsid w:val="001A6E44"/>
    <w:rsid w:val="001D4FF6"/>
    <w:rsid w:val="001D4FFB"/>
    <w:rsid w:val="001D772C"/>
    <w:rsid w:val="00211D2C"/>
    <w:rsid w:val="002227E2"/>
    <w:rsid w:val="0024273A"/>
    <w:rsid w:val="00247423"/>
    <w:rsid w:val="00277EBF"/>
    <w:rsid w:val="00283D8E"/>
    <w:rsid w:val="00296203"/>
    <w:rsid w:val="002A2D3E"/>
    <w:rsid w:val="002D3C1F"/>
    <w:rsid w:val="002F18BB"/>
    <w:rsid w:val="002F50E3"/>
    <w:rsid w:val="00311A20"/>
    <w:rsid w:val="00311E8C"/>
    <w:rsid w:val="00330719"/>
    <w:rsid w:val="00330945"/>
    <w:rsid w:val="0034700C"/>
    <w:rsid w:val="00352589"/>
    <w:rsid w:val="00353265"/>
    <w:rsid w:val="00361DDE"/>
    <w:rsid w:val="003679AD"/>
    <w:rsid w:val="00375E55"/>
    <w:rsid w:val="003A587B"/>
    <w:rsid w:val="003B1712"/>
    <w:rsid w:val="003B577B"/>
    <w:rsid w:val="003D2A05"/>
    <w:rsid w:val="003E4934"/>
    <w:rsid w:val="004024FD"/>
    <w:rsid w:val="00403A04"/>
    <w:rsid w:val="00403A46"/>
    <w:rsid w:val="004069AB"/>
    <w:rsid w:val="00410661"/>
    <w:rsid w:val="00416CA0"/>
    <w:rsid w:val="00427BE5"/>
    <w:rsid w:val="004370FF"/>
    <w:rsid w:val="004708AA"/>
    <w:rsid w:val="00471EE2"/>
    <w:rsid w:val="004736BE"/>
    <w:rsid w:val="004813E5"/>
    <w:rsid w:val="00483B14"/>
    <w:rsid w:val="004875F3"/>
    <w:rsid w:val="00492D22"/>
    <w:rsid w:val="004A1558"/>
    <w:rsid w:val="004A35AE"/>
    <w:rsid w:val="004A59EE"/>
    <w:rsid w:val="004A6CD8"/>
    <w:rsid w:val="004C43C5"/>
    <w:rsid w:val="00503A41"/>
    <w:rsid w:val="00506576"/>
    <w:rsid w:val="005068D4"/>
    <w:rsid w:val="0051693E"/>
    <w:rsid w:val="00521FBE"/>
    <w:rsid w:val="00530330"/>
    <w:rsid w:val="00531FE8"/>
    <w:rsid w:val="00547117"/>
    <w:rsid w:val="0054798F"/>
    <w:rsid w:val="00550E2E"/>
    <w:rsid w:val="00552DC1"/>
    <w:rsid w:val="00570F61"/>
    <w:rsid w:val="00571DD2"/>
    <w:rsid w:val="00574FF7"/>
    <w:rsid w:val="00583FF7"/>
    <w:rsid w:val="005840DD"/>
    <w:rsid w:val="00587646"/>
    <w:rsid w:val="005B7AC9"/>
    <w:rsid w:val="005B7ACE"/>
    <w:rsid w:val="005D7DD3"/>
    <w:rsid w:val="005F2A3D"/>
    <w:rsid w:val="005F3D0B"/>
    <w:rsid w:val="005F7177"/>
    <w:rsid w:val="006121E6"/>
    <w:rsid w:val="0061394F"/>
    <w:rsid w:val="006A138F"/>
    <w:rsid w:val="006A59BB"/>
    <w:rsid w:val="006B47B9"/>
    <w:rsid w:val="006C5FCB"/>
    <w:rsid w:val="006C687D"/>
    <w:rsid w:val="006E3212"/>
    <w:rsid w:val="006E5B37"/>
    <w:rsid w:val="00714A6C"/>
    <w:rsid w:val="007222D2"/>
    <w:rsid w:val="0072661D"/>
    <w:rsid w:val="00727E87"/>
    <w:rsid w:val="0076149B"/>
    <w:rsid w:val="007633B3"/>
    <w:rsid w:val="00764C16"/>
    <w:rsid w:val="007661F4"/>
    <w:rsid w:val="00776A1D"/>
    <w:rsid w:val="007827EE"/>
    <w:rsid w:val="007B15C2"/>
    <w:rsid w:val="007D220B"/>
    <w:rsid w:val="007D2C75"/>
    <w:rsid w:val="007D3A61"/>
    <w:rsid w:val="007F218E"/>
    <w:rsid w:val="008005A4"/>
    <w:rsid w:val="00803341"/>
    <w:rsid w:val="00804E43"/>
    <w:rsid w:val="008053A8"/>
    <w:rsid w:val="00824053"/>
    <w:rsid w:val="00844191"/>
    <w:rsid w:val="00854DF7"/>
    <w:rsid w:val="00854E1C"/>
    <w:rsid w:val="00855606"/>
    <w:rsid w:val="008565DD"/>
    <w:rsid w:val="008624A9"/>
    <w:rsid w:val="008631B0"/>
    <w:rsid w:val="00877BBE"/>
    <w:rsid w:val="008843E1"/>
    <w:rsid w:val="008C2ECB"/>
    <w:rsid w:val="008F30E6"/>
    <w:rsid w:val="00903D86"/>
    <w:rsid w:val="00912A01"/>
    <w:rsid w:val="0094570F"/>
    <w:rsid w:val="0096032F"/>
    <w:rsid w:val="009679AD"/>
    <w:rsid w:val="00971544"/>
    <w:rsid w:val="00974077"/>
    <w:rsid w:val="009753DA"/>
    <w:rsid w:val="00984EE1"/>
    <w:rsid w:val="00995E00"/>
    <w:rsid w:val="009E5FD9"/>
    <w:rsid w:val="009F063C"/>
    <w:rsid w:val="009F37C2"/>
    <w:rsid w:val="00A046B3"/>
    <w:rsid w:val="00A11CDD"/>
    <w:rsid w:val="00A30EE1"/>
    <w:rsid w:val="00AB328D"/>
    <w:rsid w:val="00AB6A50"/>
    <w:rsid w:val="00AC2F50"/>
    <w:rsid w:val="00AD56A2"/>
    <w:rsid w:val="00B61693"/>
    <w:rsid w:val="00B75EEC"/>
    <w:rsid w:val="00B76383"/>
    <w:rsid w:val="00B76B68"/>
    <w:rsid w:val="00B81BB2"/>
    <w:rsid w:val="00B93545"/>
    <w:rsid w:val="00BA6A8F"/>
    <w:rsid w:val="00BC1C3F"/>
    <w:rsid w:val="00BD73B8"/>
    <w:rsid w:val="00C0113D"/>
    <w:rsid w:val="00C0199B"/>
    <w:rsid w:val="00C208C4"/>
    <w:rsid w:val="00C232D0"/>
    <w:rsid w:val="00C32B7B"/>
    <w:rsid w:val="00C6257F"/>
    <w:rsid w:val="00C733D2"/>
    <w:rsid w:val="00C80FCA"/>
    <w:rsid w:val="00C868DD"/>
    <w:rsid w:val="00C92126"/>
    <w:rsid w:val="00CA1938"/>
    <w:rsid w:val="00CB287C"/>
    <w:rsid w:val="00CB6271"/>
    <w:rsid w:val="00CD6A2C"/>
    <w:rsid w:val="00CE70B8"/>
    <w:rsid w:val="00CF514C"/>
    <w:rsid w:val="00D10B82"/>
    <w:rsid w:val="00D266FC"/>
    <w:rsid w:val="00D352F2"/>
    <w:rsid w:val="00D61A6F"/>
    <w:rsid w:val="00D726F0"/>
    <w:rsid w:val="00D87EC1"/>
    <w:rsid w:val="00DA473C"/>
    <w:rsid w:val="00DA65F5"/>
    <w:rsid w:val="00DB1A7F"/>
    <w:rsid w:val="00DB69A4"/>
    <w:rsid w:val="00DC123E"/>
    <w:rsid w:val="00DD626E"/>
    <w:rsid w:val="00E22559"/>
    <w:rsid w:val="00E7659F"/>
    <w:rsid w:val="00E77B2E"/>
    <w:rsid w:val="00E77DA2"/>
    <w:rsid w:val="00E876A3"/>
    <w:rsid w:val="00E9061E"/>
    <w:rsid w:val="00E9748A"/>
    <w:rsid w:val="00EA1C25"/>
    <w:rsid w:val="00EA53A5"/>
    <w:rsid w:val="00EB01F4"/>
    <w:rsid w:val="00EB1842"/>
    <w:rsid w:val="00EB4A54"/>
    <w:rsid w:val="00ED3D1A"/>
    <w:rsid w:val="00F00598"/>
    <w:rsid w:val="00F010E0"/>
    <w:rsid w:val="00F02F96"/>
    <w:rsid w:val="00F03A1B"/>
    <w:rsid w:val="00F11338"/>
    <w:rsid w:val="00F26466"/>
    <w:rsid w:val="00F267AC"/>
    <w:rsid w:val="00F631AD"/>
    <w:rsid w:val="00F70D94"/>
    <w:rsid w:val="00F859C1"/>
    <w:rsid w:val="00F95FA4"/>
    <w:rsid w:val="00FA3309"/>
    <w:rsid w:val="00FC7D6A"/>
    <w:rsid w:val="00FE0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A86EC"/>
  <w15:docId w15:val="{626B2AF6-460D-4D93-A853-67A1E5480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28D"/>
    <w:rPr>
      <w:rFonts w:ascii="Tahoma" w:hAnsi="Tahoma" w:cs="Tahoma"/>
      <w:sz w:val="16"/>
      <w:szCs w:val="16"/>
    </w:rPr>
  </w:style>
  <w:style w:type="paragraph" w:styleId="EndnoteText">
    <w:name w:val="endnote text"/>
    <w:basedOn w:val="Normal"/>
    <w:link w:val="EndnoteTextChar"/>
    <w:uiPriority w:val="99"/>
    <w:semiHidden/>
    <w:unhideWhenUsed/>
    <w:rsid w:val="00AB328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328D"/>
    <w:rPr>
      <w:sz w:val="20"/>
      <w:szCs w:val="20"/>
    </w:rPr>
  </w:style>
  <w:style w:type="character" w:styleId="EndnoteReference">
    <w:name w:val="endnote reference"/>
    <w:basedOn w:val="DefaultParagraphFont"/>
    <w:uiPriority w:val="99"/>
    <w:semiHidden/>
    <w:unhideWhenUsed/>
    <w:rsid w:val="00AB328D"/>
    <w:rPr>
      <w:vertAlign w:val="superscript"/>
    </w:rPr>
  </w:style>
  <w:style w:type="paragraph" w:styleId="ListParagraph">
    <w:name w:val="List Paragraph"/>
    <w:basedOn w:val="Normal"/>
    <w:uiPriority w:val="34"/>
    <w:qFormat/>
    <w:rsid w:val="00995E00"/>
    <w:pPr>
      <w:ind w:left="720"/>
      <w:contextualSpacing/>
    </w:pPr>
  </w:style>
  <w:style w:type="character" w:styleId="Hyperlink">
    <w:name w:val="Hyperlink"/>
    <w:basedOn w:val="DefaultParagraphFont"/>
    <w:uiPriority w:val="99"/>
    <w:unhideWhenUsed/>
    <w:rsid w:val="00416CA0"/>
    <w:rPr>
      <w:color w:val="0000FF" w:themeColor="hyperlink"/>
      <w:u w:val="single"/>
    </w:rPr>
  </w:style>
  <w:style w:type="paragraph" w:styleId="FootnoteText">
    <w:name w:val="footnote text"/>
    <w:basedOn w:val="Normal"/>
    <w:link w:val="FootnoteTextChar"/>
    <w:uiPriority w:val="99"/>
    <w:semiHidden/>
    <w:unhideWhenUsed/>
    <w:rsid w:val="008F30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0E6"/>
    <w:rPr>
      <w:sz w:val="20"/>
      <w:szCs w:val="20"/>
    </w:rPr>
  </w:style>
  <w:style w:type="character" w:styleId="FootnoteReference">
    <w:name w:val="footnote reference"/>
    <w:basedOn w:val="DefaultParagraphFont"/>
    <w:uiPriority w:val="99"/>
    <w:unhideWhenUsed/>
    <w:rsid w:val="008F30E6"/>
    <w:rPr>
      <w:rFonts w:cs="Times New Roman"/>
      <w:vertAlign w:val="superscript"/>
    </w:rPr>
  </w:style>
  <w:style w:type="paragraph" w:styleId="Header">
    <w:name w:val="header"/>
    <w:basedOn w:val="Normal"/>
    <w:link w:val="HeaderChar"/>
    <w:uiPriority w:val="99"/>
    <w:unhideWhenUsed/>
    <w:rsid w:val="007222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2D2"/>
  </w:style>
  <w:style w:type="paragraph" w:styleId="Footer">
    <w:name w:val="footer"/>
    <w:basedOn w:val="Normal"/>
    <w:link w:val="FooterChar"/>
    <w:uiPriority w:val="99"/>
    <w:unhideWhenUsed/>
    <w:rsid w:val="007222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2D2"/>
  </w:style>
  <w:style w:type="character" w:styleId="CommentReference">
    <w:name w:val="annotation reference"/>
    <w:basedOn w:val="DefaultParagraphFont"/>
    <w:uiPriority w:val="99"/>
    <w:semiHidden/>
    <w:unhideWhenUsed/>
    <w:rsid w:val="00E77DA2"/>
    <w:rPr>
      <w:sz w:val="16"/>
      <w:szCs w:val="16"/>
    </w:rPr>
  </w:style>
  <w:style w:type="paragraph" w:styleId="CommentText">
    <w:name w:val="annotation text"/>
    <w:basedOn w:val="Normal"/>
    <w:link w:val="CommentTextChar"/>
    <w:uiPriority w:val="99"/>
    <w:semiHidden/>
    <w:unhideWhenUsed/>
    <w:rsid w:val="00E77DA2"/>
    <w:pPr>
      <w:spacing w:line="240" w:lineRule="auto"/>
    </w:pPr>
    <w:rPr>
      <w:sz w:val="20"/>
      <w:szCs w:val="20"/>
    </w:rPr>
  </w:style>
  <w:style w:type="character" w:customStyle="1" w:styleId="CommentTextChar">
    <w:name w:val="Comment Text Char"/>
    <w:basedOn w:val="DefaultParagraphFont"/>
    <w:link w:val="CommentText"/>
    <w:uiPriority w:val="99"/>
    <w:semiHidden/>
    <w:rsid w:val="00E77DA2"/>
    <w:rPr>
      <w:sz w:val="20"/>
      <w:szCs w:val="20"/>
    </w:rPr>
  </w:style>
  <w:style w:type="paragraph" w:styleId="CommentSubject">
    <w:name w:val="annotation subject"/>
    <w:basedOn w:val="CommentText"/>
    <w:next w:val="CommentText"/>
    <w:link w:val="CommentSubjectChar"/>
    <w:uiPriority w:val="99"/>
    <w:semiHidden/>
    <w:unhideWhenUsed/>
    <w:rsid w:val="00E77DA2"/>
    <w:rPr>
      <w:b/>
      <w:bCs/>
    </w:rPr>
  </w:style>
  <w:style w:type="character" w:customStyle="1" w:styleId="CommentSubjectChar">
    <w:name w:val="Comment Subject Char"/>
    <w:basedOn w:val="CommentTextChar"/>
    <w:link w:val="CommentSubject"/>
    <w:uiPriority w:val="99"/>
    <w:semiHidden/>
    <w:rsid w:val="00E77D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5398">
      <w:bodyDiv w:val="1"/>
      <w:marLeft w:val="0"/>
      <w:marRight w:val="0"/>
      <w:marTop w:val="0"/>
      <w:marBottom w:val="0"/>
      <w:divBdr>
        <w:top w:val="none" w:sz="0" w:space="0" w:color="auto"/>
        <w:left w:val="none" w:sz="0" w:space="0" w:color="auto"/>
        <w:bottom w:val="none" w:sz="0" w:space="0" w:color="auto"/>
        <w:right w:val="none" w:sz="0" w:space="0" w:color="auto"/>
      </w:divBdr>
    </w:div>
    <w:div w:id="59795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yhousing.org.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rc.co.nz"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hdl.handle.net/10523/57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0BC94-1305-41CB-96BD-A4FED11AB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8</Pages>
  <Words>2591</Words>
  <Characters>14769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UOW</Company>
  <LinksUpToDate>false</LinksUpToDate>
  <CharactersWithSpaces>17326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Ombler</dc:creator>
  <cp:lastModifiedBy>John Hancock</cp:lastModifiedBy>
  <cp:revision>13</cp:revision>
  <cp:lastPrinted>2016-08-15T22:57:00Z</cp:lastPrinted>
  <dcterms:created xsi:type="dcterms:W3CDTF">2016-08-15T22:07:00Z</dcterms:created>
  <dcterms:modified xsi:type="dcterms:W3CDTF">2016-08-16T06:51:00Z</dcterms:modified>
</cp:coreProperties>
</file>